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13"/>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桐城师范高等专科学校人工智能深度学习应用技术训练平台建设项目</w:t>
      </w:r>
    </w:p>
    <w:p w14:paraId="012F5E32">
      <w:pPr>
        <w:pStyle w:val="48"/>
        <w:rPr>
          <w:rFonts w:hint="eastAsia"/>
          <w:color w:val="auto"/>
          <w:highlight w:val="none"/>
        </w:rPr>
      </w:pPr>
    </w:p>
    <w:p w14:paraId="027929B2">
      <w:pPr>
        <w:pStyle w:val="48"/>
        <w:ind w:left="0" w:leftChars="0" w:firstLine="0" w:firstLineChars="0"/>
        <w:rPr>
          <w:rFonts w:hint="eastAsia"/>
          <w:color w:val="auto"/>
          <w:highlight w:val="none"/>
        </w:rPr>
      </w:pPr>
    </w:p>
    <w:p w14:paraId="16BD5BFA">
      <w:pPr>
        <w:spacing w:line="480" w:lineRule="exact"/>
        <w:rPr>
          <w:rFonts w:ascii="宋体"/>
          <w:color w:val="auto"/>
          <w:sz w:val="44"/>
          <w:szCs w:val="44"/>
          <w:highlight w:val="none"/>
        </w:rPr>
      </w:pPr>
    </w:p>
    <w:p w14:paraId="2E845CB9">
      <w:pPr>
        <w:pStyle w:val="48"/>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竞争性磋商文件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6</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024</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default" w:ascii="仿宋" w:hAnsi="仿宋" w:eastAsia="仿宋" w:cs="仿宋"/>
          <w:b/>
          <w:color w:val="auto"/>
          <w:szCs w:val="21"/>
          <w:highlight w:val="none"/>
          <w:lang w:val="en-US"/>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安徽文都招标代理咨询有限公司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0C2CB5DA">
      <w:pPr>
        <w:spacing w:line="480" w:lineRule="exact"/>
        <w:jc w:val="center"/>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48"/>
        <w:rPr>
          <w:color w:val="auto"/>
          <w:highlight w:val="none"/>
          <w:lang w:val="zh-CN"/>
        </w:rPr>
      </w:pPr>
    </w:p>
    <w:p w14:paraId="6F456B90">
      <w:pPr>
        <w:pStyle w:val="29"/>
        <w:tabs>
          <w:tab w:val="right" w:leader="dot" w:pos="9070"/>
        </w:tabs>
        <w:spacing w:line="360" w:lineRule="auto"/>
        <w:rPr>
          <w:color w:val="auto"/>
          <w:sz w:val="28"/>
          <w:szCs w:val="24"/>
          <w:highlight w:val="none"/>
        </w:rPr>
      </w:pPr>
      <w:bookmarkStart w:id="0" w:name="_Toc23467"/>
      <w:bookmarkStart w:id="1" w:name="_Toc54941328"/>
      <w:bookmarkStart w:id="2" w:name="_Toc21464"/>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磋商邀请</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p>
    <w:p w14:paraId="25820FA5">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rPr>
        <w:t>供应商</w:t>
      </w:r>
      <w:r>
        <w:rPr>
          <w:rFonts w:ascii="Arial" w:hAnsi="Arial"/>
          <w:color w:val="auto"/>
          <w:kern w:val="2"/>
          <w:sz w:val="28"/>
          <w:szCs w:val="44"/>
          <w:highlight w:val="none"/>
        </w:rPr>
        <w:t>须知</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p>
    <w:p w14:paraId="4473F2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4</w:t>
      </w:r>
    </w:p>
    <w:p w14:paraId="4DE78E20">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7143EA3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6</w:t>
      </w:r>
    </w:p>
    <w:p w14:paraId="1B92A2FD">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_Toc1812 \h </w:instrText>
      </w:r>
      <w:r>
        <w:rPr>
          <w:color w:val="auto"/>
          <w:sz w:val="28"/>
          <w:szCs w:val="24"/>
          <w:highlight w:val="none"/>
        </w:rPr>
        <w:fldChar w:fldCharType="separate"/>
      </w:r>
      <w:r>
        <w:rPr>
          <w:color w:val="auto"/>
          <w:sz w:val="28"/>
          <w:szCs w:val="24"/>
          <w:highlight w:val="none"/>
        </w:rPr>
        <w:t>30</w:t>
      </w:r>
      <w:r>
        <w:rPr>
          <w:color w:val="auto"/>
          <w:sz w:val="28"/>
          <w:szCs w:val="24"/>
          <w:highlight w:val="none"/>
        </w:rPr>
        <w:fldChar w:fldCharType="end"/>
      </w:r>
      <w:r>
        <w:rPr>
          <w:color w:val="auto"/>
          <w:sz w:val="28"/>
          <w:szCs w:val="40"/>
          <w:highlight w:val="none"/>
        </w:rPr>
        <w:fldChar w:fldCharType="end"/>
      </w:r>
    </w:p>
    <w:p w14:paraId="78B5310B">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第七章  政府采购供应商询问函和质疑函范本</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r>
        <w:rPr>
          <w:rFonts w:hint="eastAsia"/>
          <w:color w:val="auto"/>
          <w:sz w:val="28"/>
          <w:szCs w:val="40"/>
          <w:highlight w:val="none"/>
          <w:lang w:val="en-US" w:eastAsia="zh-CN"/>
        </w:rPr>
        <w:t>1</w:t>
      </w:r>
    </w:p>
    <w:p w14:paraId="6989B8C6">
      <w:pPr>
        <w:pStyle w:val="20"/>
        <w:tabs>
          <w:tab w:val="right" w:leader="dot" w:pos="9060"/>
        </w:tabs>
        <w:spacing w:line="360" w:lineRule="auto"/>
        <w:rPr>
          <w:color w:val="auto"/>
          <w:szCs w:val="21"/>
          <w:highlight w:val="none"/>
        </w:rPr>
        <w:sectPr>
          <w:footerReference r:id="rId7"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color w:val="auto"/>
          <w:sz w:val="28"/>
          <w:szCs w:val="40"/>
          <w:highlight w:val="none"/>
        </w:rPr>
        <w:fldChar w:fldCharType="end"/>
      </w:r>
      <w:bookmarkStart w:id="4" w:name="_Toc7432"/>
    </w:p>
    <w:p w14:paraId="35D3DCA8">
      <w:pPr>
        <w:pStyle w:val="20"/>
        <w:tabs>
          <w:tab w:val="right" w:leader="dot" w:pos="9060"/>
        </w:tabs>
        <w:spacing w:line="360" w:lineRule="auto"/>
        <w:jc w:val="center"/>
        <w:rPr>
          <w:rFonts w:hint="eastAsia" w:ascii="Arial" w:hAnsi="Arial" w:eastAsia="宋体"/>
          <w:b/>
          <w:bCs/>
          <w:i w:val="0"/>
          <w:iCs/>
          <w:color w:val="auto"/>
          <w:sz w:val="32"/>
          <w:szCs w:val="32"/>
          <w:highlight w:val="none"/>
          <w:lang w:eastAsia="zh-CN"/>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eastAsia="zh-CN"/>
        </w:rPr>
        <w:t>磋商</w:t>
      </w:r>
      <w:r>
        <w:rPr>
          <w:rFonts w:hint="eastAsia"/>
          <w:b/>
          <w:bCs/>
          <w:i w:val="0"/>
          <w:iCs/>
          <w:color w:val="auto"/>
          <w:sz w:val="32"/>
          <w:szCs w:val="32"/>
          <w:highlight w:val="none"/>
        </w:rPr>
        <w:t>邀请</w:t>
      </w:r>
    </w:p>
    <w:p w14:paraId="2B113C03">
      <w:pPr>
        <w:spacing w:line="360" w:lineRule="auto"/>
        <w:ind w:firstLine="435"/>
        <w:outlineLvl w:val="1"/>
        <w:rPr>
          <w:rFonts w:ascii="宋体" w:hAnsi="宋体" w:eastAsia="宋体"/>
          <w:b/>
          <w:bCs/>
          <w:color w:val="auto"/>
          <w:sz w:val="24"/>
          <w:szCs w:val="18"/>
          <w:highlight w:val="none"/>
        </w:rPr>
      </w:pPr>
      <w:bookmarkStart w:id="5" w:name="_Toc7340"/>
      <w:bookmarkStart w:id="6" w:name="_Toc24610"/>
      <w:bookmarkStart w:id="7" w:name="_Toc21967"/>
      <w:r>
        <w:rPr>
          <w:rFonts w:hint="eastAsia" w:ascii="宋体" w:hAnsi="宋体" w:eastAsia="宋体"/>
          <w:b/>
          <w:bCs/>
          <w:color w:val="auto"/>
          <w:sz w:val="24"/>
          <w:szCs w:val="18"/>
          <w:highlight w:val="none"/>
        </w:rPr>
        <w:t>一、项目名称及内容</w:t>
      </w:r>
      <w:bookmarkEnd w:id="5"/>
      <w:bookmarkEnd w:id="6"/>
      <w:bookmarkEnd w:id="7"/>
    </w:p>
    <w:p w14:paraId="77A859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1.项目编号：</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eastAsia="zh-CN"/>
        </w:rPr>
        <w:t>TCSZCG(202</w:t>
      </w:r>
      <w:r>
        <w:rPr>
          <w:rFonts w:hint="eastAsia" w:ascii="宋体" w:hAnsi="宋体" w:eastAsia="宋体"/>
          <w:color w:val="auto"/>
          <w:sz w:val="24"/>
          <w:szCs w:val="18"/>
          <w:highlight w:val="none"/>
          <w:u w:val="single"/>
          <w:lang w:val="en-US" w:eastAsia="zh-CN"/>
        </w:rPr>
        <w:t>6</w:t>
      </w:r>
      <w:r>
        <w:rPr>
          <w:rFonts w:hint="eastAsia" w:ascii="宋体" w:hAnsi="宋体" w:eastAsia="宋体"/>
          <w:color w:val="auto"/>
          <w:sz w:val="24"/>
          <w:szCs w:val="18"/>
          <w:highlight w:val="none"/>
          <w:u w:val="single"/>
          <w:lang w:eastAsia="zh-CN"/>
        </w:rPr>
        <w:t xml:space="preserve">) </w:t>
      </w:r>
      <w:r>
        <w:rPr>
          <w:rFonts w:hint="eastAsia" w:ascii="宋体" w:hAnsi="宋体" w:eastAsia="宋体"/>
          <w:color w:val="auto"/>
          <w:sz w:val="24"/>
          <w:szCs w:val="18"/>
          <w:highlight w:val="none"/>
          <w:u w:val="single"/>
          <w:lang w:val="en-US" w:eastAsia="zh-CN"/>
        </w:rPr>
        <w:t>0</w:t>
      </w:r>
      <w:r>
        <w:rPr>
          <w:rFonts w:hint="eastAsia" w:ascii="宋体" w:hAnsi="宋体"/>
          <w:color w:val="auto"/>
          <w:sz w:val="24"/>
          <w:szCs w:val="18"/>
          <w:highlight w:val="none"/>
          <w:u w:val="single"/>
          <w:lang w:val="en-US" w:eastAsia="zh-CN"/>
        </w:rPr>
        <w:t>24</w:t>
      </w:r>
      <w:r>
        <w:rPr>
          <w:rFonts w:hint="eastAsia" w:ascii="宋体" w:hAnsi="宋体" w:eastAsia="宋体"/>
          <w:color w:val="auto"/>
          <w:sz w:val="24"/>
          <w:szCs w:val="18"/>
          <w:highlight w:val="none"/>
          <w:u w:val="single"/>
          <w:lang w:eastAsia="zh-CN"/>
        </w:rPr>
        <w:t>号</w:t>
      </w:r>
    </w:p>
    <w:p w14:paraId="7258789B">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2.项目名称：</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val="en-US" w:eastAsia="zh-CN"/>
        </w:rPr>
        <w:t>桐城师范高等专科学校人工智能深度学习应用技术训练平台</w:t>
      </w:r>
      <w:r>
        <w:rPr>
          <w:rFonts w:hint="eastAsia" w:ascii="宋体" w:hAnsi="宋体"/>
          <w:color w:val="auto"/>
          <w:sz w:val="24"/>
          <w:szCs w:val="18"/>
          <w:highlight w:val="none"/>
          <w:u w:val="single"/>
          <w:lang w:val="en-US" w:eastAsia="zh-CN"/>
        </w:rPr>
        <w:t>建设</w:t>
      </w:r>
      <w:r>
        <w:rPr>
          <w:rFonts w:hint="eastAsia" w:ascii="宋体" w:hAnsi="宋体" w:eastAsia="宋体"/>
          <w:color w:val="auto"/>
          <w:sz w:val="24"/>
          <w:szCs w:val="18"/>
          <w:highlight w:val="none"/>
          <w:u w:val="single"/>
          <w:lang w:val="en-US" w:eastAsia="zh-CN"/>
        </w:rPr>
        <w:t>项目</w:t>
      </w:r>
    </w:p>
    <w:p w14:paraId="17633DD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3.预算金额：</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270000</w:t>
      </w:r>
      <w:r>
        <w:rPr>
          <w:rFonts w:hint="eastAsia" w:ascii="宋体" w:hAnsi="宋体" w:eastAsia="宋体"/>
          <w:color w:val="auto"/>
          <w:sz w:val="24"/>
          <w:szCs w:val="18"/>
          <w:highlight w:val="none"/>
          <w:u w:val="single"/>
          <w:lang w:val="en-US" w:eastAsia="zh-CN"/>
        </w:rPr>
        <w:t>元</w:t>
      </w:r>
      <w:r>
        <w:rPr>
          <w:rFonts w:ascii="宋体" w:hAnsi="宋体" w:eastAsia="宋体"/>
          <w:color w:val="auto"/>
          <w:sz w:val="24"/>
          <w:szCs w:val="18"/>
          <w:highlight w:val="none"/>
          <w:u w:val="single"/>
        </w:rPr>
        <w:t xml:space="preserve"> </w:t>
      </w:r>
    </w:p>
    <w:p w14:paraId="6BA2AA9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270000</w:t>
      </w:r>
      <w:r>
        <w:rPr>
          <w:rFonts w:hint="eastAsia" w:ascii="宋体" w:hAnsi="宋体" w:eastAsia="宋体"/>
          <w:color w:val="auto"/>
          <w:sz w:val="24"/>
          <w:szCs w:val="18"/>
          <w:highlight w:val="none"/>
          <w:u w:val="single"/>
          <w:lang w:val="en-US" w:eastAsia="zh-CN"/>
        </w:rPr>
        <w:t>元</w:t>
      </w:r>
      <w:r>
        <w:rPr>
          <w:rFonts w:ascii="宋体" w:hAnsi="宋体" w:eastAsia="宋体"/>
          <w:color w:val="auto"/>
          <w:sz w:val="24"/>
          <w:szCs w:val="18"/>
          <w:highlight w:val="none"/>
          <w:u w:val="single"/>
        </w:rPr>
        <w:t xml:space="preserve"> </w:t>
      </w:r>
    </w:p>
    <w:p w14:paraId="1D8C800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val="en-US" w:eastAsia="zh-CN"/>
        </w:rPr>
        <w:t>桐城师范高等专科学校人工智能深度学习应用技术训练平台</w:t>
      </w:r>
      <w:r>
        <w:rPr>
          <w:rFonts w:hint="eastAsia" w:ascii="宋体" w:hAnsi="宋体"/>
          <w:color w:val="auto"/>
          <w:sz w:val="24"/>
          <w:szCs w:val="18"/>
          <w:highlight w:val="none"/>
          <w:u w:val="single"/>
          <w:lang w:val="en-US" w:eastAsia="zh-CN"/>
        </w:rPr>
        <w:t>建设</w:t>
      </w:r>
      <w:r>
        <w:rPr>
          <w:rFonts w:hint="eastAsia" w:ascii="宋体" w:hAnsi="宋体" w:eastAsia="宋体"/>
          <w:color w:val="auto"/>
          <w:sz w:val="24"/>
          <w:szCs w:val="18"/>
          <w:highlight w:val="none"/>
          <w:u w:val="single"/>
          <w:lang w:val="en-US" w:eastAsia="zh-CN"/>
        </w:rPr>
        <w:t>项目，详见采购需求</w:t>
      </w:r>
    </w:p>
    <w:p w14:paraId="7714AF65">
      <w:pPr>
        <w:spacing w:line="360" w:lineRule="auto"/>
        <w:ind w:firstLine="435"/>
        <w:rPr>
          <w:rFonts w:hint="default" w:eastAsia="宋体" w:asciiTheme="minorEastAsia" w:hAnsiTheme="minorEastAsia"/>
          <w:color w:val="auto"/>
          <w:sz w:val="24"/>
          <w:highlight w:val="none"/>
          <w:lang w:val="en-US" w:eastAsia="zh-CN"/>
        </w:rPr>
      </w:pPr>
      <w:r>
        <w:rPr>
          <w:rFonts w:hint="eastAsia" w:asciiTheme="minorEastAsia" w:hAnsiTheme="minorEastAsia" w:eastAsiaTheme="minorEastAsia"/>
          <w:color w:val="auto"/>
          <w:sz w:val="24"/>
          <w:highlight w:val="none"/>
        </w:rPr>
        <w:t>6.合同履行期限：</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30日历天</w:t>
      </w:r>
    </w:p>
    <w:p w14:paraId="42AE4A25">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7.本项目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w:t>
      </w:r>
    </w:p>
    <w:p w14:paraId="75FF8771">
      <w:pPr>
        <w:spacing w:line="360" w:lineRule="auto"/>
        <w:ind w:firstLine="435"/>
        <w:outlineLvl w:val="1"/>
        <w:rPr>
          <w:rFonts w:ascii="宋体" w:hAnsi="宋体" w:eastAsia="宋体"/>
          <w:b/>
          <w:bCs/>
          <w:color w:val="auto"/>
          <w:sz w:val="24"/>
          <w:szCs w:val="18"/>
          <w:highlight w:val="none"/>
        </w:rPr>
      </w:pPr>
      <w:bookmarkStart w:id="8" w:name="_Toc10226"/>
      <w:bookmarkStart w:id="9" w:name="_Toc9766"/>
      <w:bookmarkStart w:id="10" w:name="_Toc5862"/>
      <w:r>
        <w:rPr>
          <w:rFonts w:hint="eastAsia" w:ascii="宋体" w:hAnsi="宋体" w:eastAsia="宋体"/>
          <w:b/>
          <w:bCs/>
          <w:color w:val="auto"/>
          <w:sz w:val="24"/>
          <w:szCs w:val="18"/>
          <w:highlight w:val="none"/>
        </w:rPr>
        <w:t>二</w:t>
      </w:r>
      <w:r>
        <w:rPr>
          <w:rFonts w:hint="eastAsia" w:asciiTheme="minorEastAsia" w:hAnsiTheme="minorEastAsia" w:eastAsiaTheme="minorEastAsia"/>
          <w:b/>
          <w:color w:val="auto"/>
          <w:sz w:val="24"/>
          <w:highlight w:val="none"/>
        </w:rPr>
        <w:t>、</w:t>
      </w:r>
      <w:bookmarkEnd w:id="8"/>
      <w:r>
        <w:rPr>
          <w:rFonts w:hint="eastAsia" w:ascii="宋体" w:hAnsi="宋体" w:eastAsia="宋体"/>
          <w:b/>
          <w:bCs/>
          <w:color w:val="auto"/>
          <w:sz w:val="24"/>
          <w:szCs w:val="18"/>
          <w:highlight w:val="none"/>
        </w:rPr>
        <w:t>申请人的资格要求</w:t>
      </w:r>
      <w:bookmarkEnd w:id="9"/>
      <w:bookmarkEnd w:id="10"/>
    </w:p>
    <w:p w14:paraId="481D89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0ED5DC6F">
      <w:pPr>
        <w:spacing w:line="360" w:lineRule="auto"/>
        <w:ind w:firstLine="435"/>
        <w:outlineLvl w:val="9"/>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2.落实政府采购政策需满足的资格要求</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w:t>
      </w:r>
    </w:p>
    <w:p w14:paraId="3BA13CD6">
      <w:pPr>
        <w:spacing w:line="360" w:lineRule="auto"/>
        <w:ind w:firstLine="435"/>
        <w:outlineLvl w:val="1"/>
        <w:rPr>
          <w:rFonts w:ascii="宋体" w:hAnsi="宋体" w:eastAsia="宋体"/>
          <w:b/>
          <w:bCs/>
          <w:color w:val="auto"/>
          <w:sz w:val="24"/>
          <w:szCs w:val="18"/>
          <w:highlight w:val="none"/>
        </w:rPr>
      </w:pPr>
      <w:bookmarkStart w:id="11" w:name="_Toc4607"/>
      <w:bookmarkStart w:id="12" w:name="_Toc31607"/>
      <w:bookmarkStart w:id="13" w:name="_Toc31469"/>
      <w:r>
        <w:rPr>
          <w:rFonts w:hint="eastAsia" w:ascii="宋体" w:hAnsi="宋体" w:eastAsia="宋体"/>
          <w:b/>
          <w:bCs/>
          <w:color w:val="auto"/>
          <w:sz w:val="24"/>
          <w:szCs w:val="18"/>
          <w:highlight w:val="none"/>
        </w:rPr>
        <w:t>三</w:t>
      </w:r>
      <w:r>
        <w:rPr>
          <w:rFonts w:hint="eastAsia" w:asciiTheme="minorEastAsia" w:hAnsiTheme="minorEastAsia" w:eastAsiaTheme="minorEastAsia"/>
          <w:b/>
          <w:color w:val="auto"/>
          <w:sz w:val="24"/>
          <w:highlight w:val="none"/>
        </w:rPr>
        <w:t>、</w:t>
      </w:r>
      <w:bookmarkEnd w:id="11"/>
      <w:r>
        <w:rPr>
          <w:rFonts w:hint="eastAsia" w:asciiTheme="minorEastAsia" w:hAnsiTheme="minorEastAsia" w:eastAsiaTheme="minorEastAsia"/>
          <w:b/>
          <w:color w:val="auto"/>
          <w:sz w:val="24"/>
          <w:highlight w:val="none"/>
        </w:rPr>
        <w:t>获取采购文件</w:t>
      </w:r>
      <w:bookmarkEnd w:id="12"/>
      <w:bookmarkEnd w:id="13"/>
    </w:p>
    <w:p w14:paraId="3DE512F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i/>
          <w:iCs/>
          <w:sz w:val="24"/>
          <w:szCs w:val="24"/>
          <w:highlight w:val="none"/>
        </w:rPr>
      </w:pPr>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11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2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分前（北京时间）</w:t>
      </w:r>
    </w:p>
    <w:p w14:paraId="63649A3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sz w:val="24"/>
          <w:szCs w:val="24"/>
          <w:highlight w:val="none"/>
          <w:u w:val="single"/>
        </w:rPr>
        <w:t>桐城师范高等专科学校官网</w:t>
      </w:r>
    </w:p>
    <w:p w14:paraId="1DFE9CF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方式：</w:t>
      </w:r>
      <w:r>
        <w:rPr>
          <w:rFonts w:hint="eastAsia" w:ascii="宋体" w:hAnsi="宋体" w:eastAsia="宋体"/>
          <w:color w:val="auto"/>
          <w:sz w:val="24"/>
          <w:szCs w:val="18"/>
          <w:highlight w:val="none"/>
          <w:u w:val="single"/>
          <w:lang w:val="en-US" w:eastAsia="zh-CN"/>
        </w:rPr>
        <w:t>桐城师范高等专科学校官网和安庆市公共资源交易服务网“限额以下项目”自行下载</w:t>
      </w:r>
    </w:p>
    <w:p w14:paraId="25763F3E">
      <w:pPr>
        <w:spacing w:line="360" w:lineRule="auto"/>
        <w:ind w:firstLine="435"/>
        <w:outlineLvl w:val="1"/>
        <w:rPr>
          <w:rFonts w:ascii="宋体" w:hAnsi="宋体" w:eastAsia="宋体"/>
          <w:b/>
          <w:bCs/>
          <w:color w:val="auto"/>
          <w:sz w:val="24"/>
          <w:szCs w:val="18"/>
          <w:highlight w:val="none"/>
        </w:rPr>
      </w:pPr>
      <w:bookmarkStart w:id="14" w:name="_Toc19753"/>
      <w:bookmarkStart w:id="15" w:name="_Toc346"/>
      <w:bookmarkStart w:id="16" w:name="_Toc16674"/>
      <w:r>
        <w:rPr>
          <w:rFonts w:hint="eastAsia" w:ascii="宋体" w:hAnsi="宋体" w:eastAsia="宋体"/>
          <w:b/>
          <w:bCs/>
          <w:color w:val="auto"/>
          <w:sz w:val="24"/>
          <w:szCs w:val="18"/>
          <w:highlight w:val="none"/>
        </w:rPr>
        <w:t>四</w:t>
      </w:r>
      <w:r>
        <w:rPr>
          <w:rFonts w:hint="eastAsia" w:asciiTheme="minorEastAsia" w:hAnsiTheme="minorEastAsia" w:eastAsiaTheme="minorEastAsia"/>
          <w:b/>
          <w:color w:val="auto"/>
          <w:sz w:val="24"/>
          <w:highlight w:val="none"/>
        </w:rPr>
        <w:t>、</w:t>
      </w:r>
      <w:bookmarkEnd w:id="14"/>
      <w:r>
        <w:rPr>
          <w:rFonts w:hint="eastAsia" w:ascii="宋体" w:hAnsi="宋体" w:eastAsia="宋体"/>
          <w:b/>
          <w:bCs/>
          <w:color w:val="auto"/>
          <w:sz w:val="24"/>
          <w:highlight w:val="none"/>
        </w:rPr>
        <w:t>响应文件提交</w:t>
      </w:r>
      <w:bookmarkEnd w:id="15"/>
      <w:bookmarkEnd w:id="16"/>
    </w:p>
    <w:p w14:paraId="625C9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截止时间：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11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2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分前</w:t>
      </w:r>
      <w:r>
        <w:rPr>
          <w:rFonts w:hint="eastAsia" w:asciiTheme="minorEastAsia" w:hAnsiTheme="minorEastAsia" w:eastAsiaTheme="minorEastAsia" w:cstheme="minorEastAsia"/>
          <w:bCs/>
          <w:sz w:val="24"/>
          <w:szCs w:val="24"/>
          <w:highlight w:val="none"/>
        </w:rPr>
        <w:t>（北京时间）</w:t>
      </w:r>
    </w:p>
    <w:p w14:paraId="5AC9A5E2">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stheme="minorEastAsia"/>
          <w:sz w:val="24"/>
          <w:szCs w:val="24"/>
          <w:highlight w:val="none"/>
        </w:rPr>
        <w:t>地点：</w:t>
      </w:r>
      <w:r>
        <w:rPr>
          <w:rFonts w:hint="eastAsia" w:ascii="宋体" w:hAnsi="宋体" w:eastAsia="宋体"/>
          <w:color w:val="auto"/>
          <w:sz w:val="24"/>
          <w:szCs w:val="18"/>
          <w:highlight w:val="none"/>
          <w:u w:val="single"/>
          <w:lang w:val="en-US" w:eastAsia="zh-CN"/>
        </w:rPr>
        <w:t>纸质响应文件提交至</w:t>
      </w:r>
      <w:r>
        <w:rPr>
          <w:rFonts w:hint="eastAsia" w:asciiTheme="minorEastAsia" w:hAnsiTheme="minorEastAsia" w:eastAsiaTheme="minorEastAsia" w:cstheme="minorEastAsia"/>
          <w:sz w:val="24"/>
          <w:szCs w:val="24"/>
          <w:highlight w:val="none"/>
          <w:u w:val="single"/>
        </w:rPr>
        <w:t>桐城市民营经济开发区朝阳玉雕城A-15</w:t>
      </w:r>
    </w:p>
    <w:p w14:paraId="7DDE2D61">
      <w:pPr>
        <w:spacing w:line="360" w:lineRule="auto"/>
        <w:ind w:firstLine="435"/>
        <w:outlineLvl w:val="1"/>
        <w:rPr>
          <w:rFonts w:ascii="宋体" w:hAnsi="宋体" w:eastAsia="宋体"/>
          <w:b/>
          <w:bCs/>
          <w:color w:val="auto"/>
          <w:sz w:val="24"/>
          <w:szCs w:val="18"/>
          <w:highlight w:val="none"/>
        </w:rPr>
      </w:pPr>
      <w:bookmarkStart w:id="17" w:name="_Toc8953"/>
      <w:bookmarkStart w:id="18" w:name="_Toc10846"/>
      <w:bookmarkStart w:id="19" w:name="_Toc7959"/>
      <w:r>
        <w:rPr>
          <w:rFonts w:hint="eastAsia" w:ascii="宋体" w:hAnsi="宋体" w:eastAsia="宋体"/>
          <w:b/>
          <w:bCs/>
          <w:color w:val="auto"/>
          <w:sz w:val="24"/>
          <w:szCs w:val="18"/>
          <w:highlight w:val="none"/>
        </w:rPr>
        <w:t>五</w:t>
      </w:r>
      <w:r>
        <w:rPr>
          <w:rFonts w:hint="eastAsia" w:asciiTheme="minorEastAsia" w:hAnsiTheme="minorEastAsia" w:eastAsiaTheme="minorEastAsia"/>
          <w:b/>
          <w:color w:val="auto"/>
          <w:sz w:val="24"/>
          <w:highlight w:val="none"/>
        </w:rPr>
        <w:t>、</w:t>
      </w:r>
      <w:bookmarkEnd w:id="17"/>
      <w:r>
        <w:rPr>
          <w:rFonts w:hint="eastAsia" w:ascii="宋体" w:hAnsi="宋体" w:eastAsia="宋体"/>
          <w:b/>
          <w:bCs/>
          <w:color w:val="auto"/>
          <w:sz w:val="24"/>
          <w:highlight w:val="none"/>
        </w:rPr>
        <w:t>开启</w:t>
      </w:r>
      <w:bookmarkEnd w:id="18"/>
      <w:bookmarkEnd w:id="19"/>
    </w:p>
    <w:p w14:paraId="56F1E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u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11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2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w:t>
      </w:r>
      <w:r>
        <w:rPr>
          <w:rFonts w:hint="eastAsia" w:asciiTheme="minorEastAsia" w:hAnsiTheme="minorEastAsia" w:eastAsiaTheme="minorEastAsia" w:cstheme="minorEastAsia"/>
          <w:bCs/>
          <w:sz w:val="24"/>
          <w:szCs w:val="24"/>
          <w:highlight w:val="none"/>
        </w:rPr>
        <w:t>（北京时间）</w:t>
      </w:r>
    </w:p>
    <w:p w14:paraId="5D701E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sz w:val="24"/>
          <w:szCs w:val="24"/>
          <w:highlight w:val="none"/>
          <w:u w:val="single"/>
        </w:rPr>
        <w:t>桐城市民营经济开发区朝阳玉雕城A-15</w:t>
      </w:r>
    </w:p>
    <w:p w14:paraId="20B1FAE1">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0" w:name="_Toc14575"/>
      <w:bookmarkStart w:id="21" w:name="_Toc16124"/>
      <w:bookmarkStart w:id="22" w:name="_Toc16203"/>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、公告期限</w:t>
      </w:r>
      <w:bookmarkEnd w:id="20"/>
      <w:bookmarkEnd w:id="21"/>
    </w:p>
    <w:p w14:paraId="32F58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自本公告发布之日起3个工作日。</w:t>
      </w:r>
    </w:p>
    <w:p w14:paraId="681463C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3" w:name="_Toc21264"/>
      <w:bookmarkStart w:id="24" w:name="_Toc35393795"/>
      <w:bookmarkStart w:id="25" w:name="_Toc16366"/>
      <w:bookmarkStart w:id="26" w:name="_Toc35393626"/>
      <w:r>
        <w:rPr>
          <w:rFonts w:hint="eastAsia" w:ascii="宋体" w:hAnsi="宋体" w:eastAsia="宋体"/>
          <w:b/>
          <w:bCs/>
          <w:color w:val="auto"/>
          <w:sz w:val="24"/>
          <w:szCs w:val="18"/>
          <w:highlight w:val="none"/>
          <w:lang w:val="en-US" w:eastAsia="zh-CN"/>
        </w:rPr>
        <w:t>七</w:t>
      </w:r>
      <w:r>
        <w:rPr>
          <w:rFonts w:hint="eastAsia" w:ascii="宋体" w:hAnsi="宋体" w:eastAsia="宋体"/>
          <w:b/>
          <w:bCs/>
          <w:color w:val="auto"/>
          <w:sz w:val="24"/>
          <w:szCs w:val="18"/>
          <w:highlight w:val="none"/>
        </w:rPr>
        <w:t>、其他补充事宜</w:t>
      </w:r>
      <w:bookmarkEnd w:id="23"/>
      <w:bookmarkEnd w:id="24"/>
      <w:bookmarkEnd w:id="25"/>
      <w:bookmarkEnd w:id="26"/>
    </w:p>
    <w:p w14:paraId="264F4CFD">
      <w:pPr>
        <w:spacing w:line="360" w:lineRule="auto"/>
        <w:ind w:firstLine="435"/>
        <w:outlineLvl w:val="1"/>
        <w:rPr>
          <w:rFonts w:hint="eastAsia" w:ascii="宋体" w:hAnsi="宋体" w:eastAsia="宋体"/>
          <w:b w:val="0"/>
          <w:bCs w:val="0"/>
          <w:color w:val="auto"/>
          <w:sz w:val="24"/>
          <w:szCs w:val="18"/>
          <w:highlight w:val="none"/>
          <w:lang w:val="en-US" w:eastAsia="zh-CN"/>
        </w:rPr>
      </w:pPr>
      <w:bookmarkStart w:id="27" w:name="_Toc7755"/>
      <w:bookmarkStart w:id="28" w:name="_Toc24122"/>
      <w:r>
        <w:rPr>
          <w:rFonts w:hint="eastAsia" w:ascii="宋体" w:hAnsi="宋体" w:eastAsia="宋体"/>
          <w:b w:val="0"/>
          <w:bCs w:val="0"/>
          <w:color w:val="auto"/>
          <w:sz w:val="24"/>
          <w:szCs w:val="1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61C7E2AF">
      <w:pPr>
        <w:spacing w:line="360" w:lineRule="auto"/>
        <w:ind w:firstLine="435"/>
        <w:outlineLvl w:val="1"/>
        <w:rPr>
          <w:rFonts w:hint="eastAsia" w:ascii="宋体" w:hAnsi="宋体" w:eastAsia="宋体"/>
          <w:b w:val="0"/>
          <w:bCs w:val="0"/>
          <w:color w:val="auto"/>
          <w:sz w:val="24"/>
          <w:szCs w:val="18"/>
          <w:highlight w:val="none"/>
          <w:lang w:val="en-US" w:eastAsia="zh-CN"/>
        </w:rPr>
      </w:pPr>
      <w:r>
        <w:rPr>
          <w:rFonts w:hint="eastAsia" w:ascii="宋体" w:hAnsi="宋体" w:eastAsia="宋体"/>
          <w:b w:val="0"/>
          <w:bCs w:val="0"/>
          <w:color w:val="auto"/>
          <w:sz w:val="24"/>
          <w:szCs w:val="18"/>
          <w:highlight w:val="none"/>
          <w:lang w:val="en-US" w:eastAsia="zh-CN"/>
        </w:rPr>
        <w:t>2.中标单位应按照中标通知书要求及时与采购人签订合同并完成备案，否则将记入不良行为记录，并予以披露。</w:t>
      </w:r>
    </w:p>
    <w:p w14:paraId="685F590A">
      <w:pPr>
        <w:spacing w:line="360" w:lineRule="auto"/>
        <w:ind w:firstLine="435"/>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lang w:val="en-US" w:eastAsia="zh-CN"/>
        </w:rPr>
        <w:t>八</w:t>
      </w:r>
      <w:r>
        <w:rPr>
          <w:rFonts w:hint="eastAsia" w:asciiTheme="minorEastAsia" w:hAnsiTheme="minorEastAsia" w:eastAsiaTheme="minorEastAsia"/>
          <w:b/>
          <w:color w:val="auto"/>
          <w:sz w:val="24"/>
          <w:highlight w:val="none"/>
        </w:rPr>
        <w:t>、</w:t>
      </w:r>
      <w:bookmarkEnd w:id="22"/>
      <w:r>
        <w:rPr>
          <w:rFonts w:hint="eastAsia" w:ascii="宋体" w:hAnsi="宋体" w:eastAsia="宋体"/>
          <w:b/>
          <w:bCs/>
          <w:color w:val="auto"/>
          <w:sz w:val="24"/>
          <w:szCs w:val="18"/>
          <w:highlight w:val="none"/>
        </w:rPr>
        <w:t>凡对本次采购提出询问，请按以下方式联系</w:t>
      </w:r>
      <w:bookmarkEnd w:id="27"/>
      <w:bookmarkEnd w:id="28"/>
    </w:p>
    <w:p w14:paraId="1060BC18">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1.采购人信息</w:t>
      </w:r>
    </w:p>
    <w:p w14:paraId="58CB20EC">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名称：桐城师范高等专科学校</w:t>
      </w:r>
    </w:p>
    <w:p w14:paraId="2B14A2B5">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地址：安徽省桐城市经开区学苑路199号</w:t>
      </w:r>
    </w:p>
    <w:p w14:paraId="7A1499A1">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ascii="宋体" w:hAnsi="宋体"/>
          <w:color w:val="auto"/>
          <w:sz w:val="24"/>
          <w:szCs w:val="18"/>
          <w:highlight w:val="none"/>
          <w:lang w:val="en-US" w:eastAsia="zh-CN"/>
        </w:rPr>
        <w:t>葛</w:t>
      </w:r>
      <w:r>
        <w:rPr>
          <w:rFonts w:hint="eastAsia" w:ascii="宋体" w:hAnsi="宋体" w:eastAsia="宋体"/>
          <w:color w:val="auto"/>
          <w:sz w:val="24"/>
          <w:szCs w:val="18"/>
          <w:highlight w:val="none"/>
          <w:lang w:val="en-US" w:eastAsia="zh-CN"/>
        </w:rPr>
        <w:t>老师         联系方式：</w:t>
      </w:r>
      <w:r>
        <w:rPr>
          <w:rFonts w:hint="eastAsia" w:ascii="宋体" w:hAnsi="宋体"/>
          <w:color w:val="auto"/>
          <w:sz w:val="24"/>
          <w:szCs w:val="18"/>
          <w:highlight w:val="none"/>
          <w:lang w:val="en-US" w:eastAsia="zh-CN"/>
        </w:rPr>
        <w:t>15105565553</w:t>
      </w:r>
    </w:p>
    <w:p w14:paraId="7577A76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2.采购代理机构信息</w:t>
      </w:r>
    </w:p>
    <w:p w14:paraId="2275BE0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名称：安徽文都招标代理咨询有限公司</w:t>
      </w:r>
    </w:p>
    <w:p w14:paraId="2ADF2CD4">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地址：桐城市民营经济开发区朝阳玉雕城A-15</w:t>
      </w:r>
    </w:p>
    <w:p w14:paraId="34E18E88">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联系人：叶女士           联系电话：0556-6567777</w:t>
      </w:r>
    </w:p>
    <w:p w14:paraId="00ED2FFC">
      <w:pPr>
        <w:spacing w:line="360" w:lineRule="auto"/>
        <w:ind w:firstLine="435"/>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29" w:name="_Toc11266"/>
      <w:bookmarkStart w:id="30" w:name="_Toc26069"/>
      <w:bookmarkStart w:id="31" w:name="_Toc54941329"/>
      <w:bookmarkStart w:id="32" w:name="_Toc54941331"/>
      <w:bookmarkStart w:id="33" w:name="_Toc2521"/>
      <w:bookmarkStart w:id="34"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bookmarkEnd w:id="29"/>
      <w:bookmarkEnd w:id="30"/>
      <w:bookmarkEnd w:id="31"/>
      <w:r>
        <w:rPr>
          <w:rFonts w:hint="eastAsia" w:ascii="Arial" w:hAnsi="Arial"/>
          <w:color w:val="auto"/>
          <w:kern w:val="2"/>
          <w:sz w:val="32"/>
          <w:szCs w:val="32"/>
          <w:highlight w:val="none"/>
        </w:rPr>
        <w:t>供应商</w:t>
      </w:r>
      <w:r>
        <w:rPr>
          <w:rFonts w:ascii="Arial" w:hAnsi="Arial"/>
          <w:color w:val="auto"/>
          <w:kern w:val="2"/>
          <w:sz w:val="32"/>
          <w:szCs w:val="32"/>
          <w:highlight w:val="none"/>
        </w:rPr>
        <w:t>须知</w:t>
      </w:r>
    </w:p>
    <w:p w14:paraId="62BB8DF9">
      <w:pPr>
        <w:pStyle w:val="3"/>
        <w:rPr>
          <w:rFonts w:hint="eastAsia" w:eastAsia="宋体" w:cs="Tahoma"/>
          <w:bCs/>
          <w:color w:val="auto"/>
          <w:kern w:val="0"/>
          <w:sz w:val="28"/>
          <w:szCs w:val="28"/>
          <w:highlight w:val="none"/>
          <w:lang w:eastAsia="zh-CN"/>
        </w:rPr>
      </w:pPr>
      <w:bookmarkStart w:id="35" w:name="_Toc17862"/>
      <w:bookmarkStart w:id="36" w:name="_Toc439316871"/>
      <w:bookmarkStart w:id="37" w:name="_Toc54941330"/>
      <w:r>
        <w:rPr>
          <w:rFonts w:hint="eastAsia" w:cs="Tahoma"/>
          <w:bCs/>
          <w:color w:val="auto"/>
          <w:kern w:val="0"/>
          <w:sz w:val="28"/>
          <w:szCs w:val="28"/>
          <w:highlight w:val="none"/>
        </w:rPr>
        <w:t>一</w:t>
      </w:r>
      <w:bookmarkEnd w:id="35"/>
      <w:bookmarkEnd w:id="36"/>
      <w:bookmarkEnd w:id="37"/>
      <w:r>
        <w:rPr>
          <w:rFonts w:hint="eastAsia" w:cs="Tahoma"/>
          <w:bCs/>
          <w:color w:val="auto"/>
          <w:kern w:val="0"/>
          <w:sz w:val="28"/>
          <w:szCs w:val="28"/>
          <w:highlight w:val="none"/>
          <w:lang w:eastAsia="zh-CN"/>
        </w:rPr>
        <w:t>、</w:t>
      </w:r>
      <w:r>
        <w:rPr>
          <w:rFonts w:hint="eastAsia" w:cs="Tahoma"/>
          <w:bCs/>
          <w:color w:val="auto"/>
          <w:kern w:val="0"/>
          <w:sz w:val="28"/>
          <w:szCs w:val="28"/>
          <w:highlight w:val="none"/>
        </w:rPr>
        <w:t>供应商</w:t>
      </w:r>
      <w:r>
        <w:rPr>
          <w:rFonts w:cs="Tahoma"/>
          <w:bCs/>
          <w:color w:val="auto"/>
          <w:kern w:val="0"/>
          <w:sz w:val="28"/>
          <w:szCs w:val="28"/>
          <w:highlight w:val="none"/>
        </w:rPr>
        <w:t>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无</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p w14:paraId="02432B6D">
            <w:pPr>
              <w:pStyle w:val="17"/>
              <w:rPr>
                <w:rFonts w:hint="eastAsia"/>
                <w:lang w:val="en-US" w:eastAsia="zh-CN"/>
              </w:rPr>
            </w:pPr>
            <w:r>
              <w:rPr>
                <w:rFonts w:hint="eastAsia"/>
                <w:lang w:val="en-US" w:eastAsia="zh-CN"/>
              </w:rPr>
              <w:t>2026年 11 月 2 日 09 时 00 分前（北京时间），此时间以前不得开封。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详见竞争性磋商公告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综合评分法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磋商小组推荐成交候选供应商的数量：1家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确定成交供应商：采购人委托磋商小组确定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0556-6181009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w:t>
            </w:r>
            <w:r>
              <w:rPr>
                <w:rFonts w:hint="eastAsia" w:asciiTheme="minorEastAsia" w:hAnsiTheme="minorEastAsia" w:eastAsiaTheme="minorEastAsia" w:cstheme="minorEastAsia"/>
                <w:lang w:eastAsia="zh-CN"/>
              </w:rPr>
              <w:t>。</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49153585">
      <w:pPr>
        <w:pStyle w:val="13"/>
        <w:rPr>
          <w:rFonts w:hint="eastAsia" w:cs="Tahoma"/>
          <w:bCs/>
          <w:color w:val="auto"/>
          <w:kern w:val="0"/>
          <w:sz w:val="32"/>
          <w:szCs w:val="32"/>
          <w:highlight w:val="none"/>
          <w:lang w:val="en-US" w:eastAsia="zh-CN"/>
        </w:rPr>
      </w:pPr>
    </w:p>
    <w:p w14:paraId="2136D265">
      <w:pPr>
        <w:pStyle w:val="13"/>
        <w:rPr>
          <w:rFonts w:hint="eastAsia" w:cs="Tahoma"/>
          <w:bCs/>
          <w:color w:val="auto"/>
          <w:kern w:val="0"/>
          <w:sz w:val="32"/>
          <w:szCs w:val="32"/>
          <w:highlight w:val="none"/>
          <w:lang w:val="en-US" w:eastAsia="zh-CN"/>
        </w:rPr>
      </w:pPr>
    </w:p>
    <w:bookmarkEnd w:id="32"/>
    <w:bookmarkEnd w:id="33"/>
    <w:bookmarkEnd w:id="34"/>
    <w:p w14:paraId="1B0B2A3E">
      <w:pPr>
        <w:pStyle w:val="2"/>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0"/>
          <w:szCs w:val="30"/>
          <w:highlight w:val="none"/>
          <w:lang w:val="en-US" w:eastAsia="zh-CN"/>
        </w:rPr>
      </w:pPr>
      <w:bookmarkStart w:id="38" w:name="_Toc12353"/>
      <w:r>
        <w:rPr>
          <w:rFonts w:hint="eastAsia" w:ascii="宋体" w:hAnsi="宋体" w:eastAsia="宋体" w:cs="宋体"/>
          <w:b/>
          <w:bCs/>
          <w:color w:val="auto"/>
          <w:kern w:val="2"/>
          <w:sz w:val="30"/>
          <w:szCs w:val="30"/>
          <w:highlight w:val="none"/>
          <w:lang w:val="zh-CN"/>
        </w:rPr>
        <w:t>二、</w:t>
      </w:r>
      <w:r>
        <w:rPr>
          <w:rFonts w:hint="eastAsia" w:ascii="宋体" w:hAnsi="宋体" w:eastAsia="宋体" w:cs="宋体"/>
          <w:b/>
          <w:bCs/>
          <w:color w:val="auto"/>
          <w:kern w:val="2"/>
          <w:sz w:val="30"/>
          <w:szCs w:val="30"/>
          <w:highlight w:val="none"/>
          <w:lang w:val="en-US" w:eastAsia="zh-CN"/>
        </w:rPr>
        <w:t>供应商</w:t>
      </w:r>
      <w:r>
        <w:rPr>
          <w:rFonts w:hint="eastAsia" w:ascii="宋体" w:hAnsi="宋体" w:eastAsia="宋体" w:cs="宋体"/>
          <w:b/>
          <w:bCs/>
          <w:color w:val="auto"/>
          <w:kern w:val="2"/>
          <w:sz w:val="30"/>
          <w:szCs w:val="30"/>
          <w:highlight w:val="none"/>
          <w:lang w:val="zh-CN"/>
        </w:rPr>
        <w:t>须知</w:t>
      </w:r>
      <w:r>
        <w:rPr>
          <w:rFonts w:hint="eastAsia" w:ascii="宋体" w:hAnsi="宋体" w:eastAsia="宋体" w:cs="宋体"/>
          <w:b/>
          <w:bCs/>
          <w:color w:val="auto"/>
          <w:kern w:val="2"/>
          <w:sz w:val="30"/>
          <w:szCs w:val="30"/>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39" w:name="_Toc439316919"/>
      <w:bookmarkStart w:id="40" w:name="_Toc10523"/>
      <w:bookmarkStart w:id="41" w:name="_Toc25270"/>
      <w:bookmarkStart w:id="42" w:name="_Toc7325"/>
      <w:bookmarkStart w:id="43" w:name="_Toc439316873"/>
      <w:bookmarkStart w:id="44" w:name="_Toc15055"/>
      <w:bookmarkStart w:id="45" w:name="_Toc21078"/>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6"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1.4.2以采购代理机构认可的方式获得了本项目的磋商文件。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6"/>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本项目的采购人已获得足以支付本次磋商后所签订的合同项下的资金。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3.磋商费用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不论磋商的结果如何，供应商应承担其所有与准备和参加磋商有关的费用。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5.磋商文件构成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5.1磋商文件包括下列内容：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磋商邀请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0EF941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8110B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6.磋商文件的澄清与修改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6.1供应商如对磋商文件内容有疑问，必须在供应商须知前附表规定的网上询问截止时间前以书面提问形式提交给采购代理机构。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6.4对于没有提出询问又参与了本项目磋商的供应商将被视为完全认同本磋商文件（含更正公告的内容）。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7.磋商范围及响应文件中标准和计量单位的使用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7.2供应商应当对所投分包磋商文件中“采购需求”所列的所有内容进行响应，如仅响应所投包别中的部分内容，其所投包别的响应将被认定为响应无效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7.3无论磋商文件中是否要求，供应商所投货物及伴随的服务和工程均应符合国家强制性标准。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7.5除磋商文件中有特殊要求外，响应文件中所使用的计量单位，应采用中华人民共和国法定计量单位。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8.1供应商应完整地按磋商文件提供的响应文件格式及要求编写响应文件，具体内容详见本项目响应文件格式的相关内容。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8.2供应商应提交磋商文件要求的证明文件，证明其响应内容符合磋商文件规定。该证明文件是响应文件的一部分。证明文件形式可以是文字资料、图纸和数据</w:t>
      </w:r>
      <w:bookmarkStart w:id="47" w:name="_Hlk11703583"/>
      <w:r>
        <w:rPr>
          <w:rFonts w:hint="eastAsia" w:ascii="宋体" w:hAnsi="宋体" w:eastAsia="宋体" w:cs="Times New Roman"/>
          <w:color w:val="auto"/>
          <w:sz w:val="24"/>
          <w:highlight w:val="none"/>
          <w:lang w:val="en-US" w:eastAsia="zh-CN"/>
        </w:rPr>
        <w:t>。</w:t>
      </w:r>
    </w:p>
    <w:bookmarkEnd w:id="47"/>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8.3为保证公平公正，除非另有规定或说明，供应商对同一项目磋商时，不得同时提供备选磋商方案。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052D033">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除磋商文件另有规定外，</w:t>
      </w:r>
      <w:r>
        <w:rPr>
          <w:rFonts w:hint="eastAsia" w:asciiTheme="minorEastAsia" w:hAnsiTheme="minorEastAsia" w:eastAsiaTheme="minorEastAsia"/>
          <w:color w:val="auto"/>
          <w:sz w:val="24"/>
          <w:highlight w:val="none"/>
        </w:rPr>
        <w:t>所有内容均应以人民币报价，供应商的</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报价应遵守《中华人民共和国价格法》。</w:t>
      </w:r>
    </w:p>
    <w:p w14:paraId="79B8B90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.2除非</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文件另有规定或经采购人同意支付的，最后报价均不得高于</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AC3ED12">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8F76B04">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10.磋商保证金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10.1本项目不收取磋商保证金。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11.磋商有效期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11.1磋商有效期为从响应文件提交截止之日算起的日历天数，磋商有效期详见</w:t>
      </w:r>
      <w:r>
        <w:rPr>
          <w:rFonts w:hint="eastAsia" w:ascii="宋体" w:hAnsi="宋体" w:eastAsia="宋体" w:cs="Times New Roman"/>
          <w:color w:val="auto"/>
          <w:sz w:val="24"/>
          <w:highlight w:val="none"/>
          <w:u w:val="single"/>
          <w:lang w:val="en-US" w:eastAsia="zh-CN"/>
        </w:rPr>
        <w:t>供应商须知前附表</w:t>
      </w:r>
      <w:r>
        <w:rPr>
          <w:rFonts w:hint="eastAsia" w:ascii="宋体" w:hAnsi="宋体" w:eastAsia="宋体" w:cs="Times New Roman"/>
          <w:color w:val="auto"/>
          <w:sz w:val="24"/>
          <w:highlight w:val="none"/>
          <w:lang w:val="en-US" w:eastAsia="zh-CN"/>
        </w:rPr>
        <w:t>。</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11.2在磋商有效期内，供应商的磋商保持有效，供应商不得要求撤销或修改其响应文件。磋商有效期不满足要求的响应，其响应文件将被认定为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12.1供应商应当在竞争性磋商公告规定的响应文件提交截止时间前，将密封完好的响应文件递交，逾期递交的响应文件将不予受理。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13.磋商小组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13.1本项目将依法组建磋商小组，磋商小组成员由3人以上（含）单数组成，磋商小组及其成员应当依照政府采购的有关规定履行相关职责和义务。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13.2磋商小组依法对响应文件进行评审，并根据磋商文件规定的程序、评定成交的标准等事项与实质性响应磋商文件要求的供应商进行磋商。</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13.3磋商小组应当从质量和服务均能满足磋商文件实质性响应要求的供应商中，按照评审办法和标准推荐成交候选人，并编写评审报告。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14.响应文件的评审与磋商</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14.1采购人和采购代理机构将在竞争性磋商公告规定的时间和地点组织磋商。</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14.2竞争性磋商采用</w:t>
      </w:r>
      <w:r>
        <w:rPr>
          <w:rFonts w:hint="eastAsia" w:ascii="宋体" w:hAnsi="宋体" w:cs="Times New Roman"/>
          <w:color w:val="auto"/>
          <w:sz w:val="24"/>
          <w:highlight w:val="none"/>
          <w:lang w:val="en-US" w:eastAsia="zh-CN"/>
        </w:rPr>
        <w:t>综合评分法</w:t>
      </w:r>
      <w:r>
        <w:rPr>
          <w:rFonts w:hint="eastAsia" w:ascii="宋体" w:hAnsi="宋体" w:eastAsia="宋体" w:cs="Times New Roman"/>
          <w:color w:val="auto"/>
          <w:sz w:val="24"/>
          <w:highlight w:val="none"/>
          <w:lang w:val="en-US" w:eastAsia="zh-CN"/>
        </w:rPr>
        <w:t>评审。</w:t>
      </w:r>
    </w:p>
    <w:p w14:paraId="5B071F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综合评分法，是指响应文件满足磋商文件全部实质性要求且按评审因素的量化指标评审得分最高的供应商为成交候选供应商的评审方法。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14.3磋商小组将按照磋商文件规定的评审方法和标准对供应商独立进行评审。评审程序如下：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。磋商小组对供应商必须满足和实质性响应的内容进行评审，供应商未实质性响应磋商文件要求导致响应无效的，磋商小组将以书面询标的方式告知有关供应商。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磋商</w:t>
      </w:r>
      <w:r>
        <w:rPr>
          <w:rFonts w:hint="eastAsia" w:ascii="宋体" w:hAnsi="宋体" w:eastAsia="宋体" w:cs="Times New Roman"/>
          <w:color w:val="auto"/>
          <w:sz w:val="24"/>
          <w:highlight w:val="none"/>
          <w:lang w:val="en-US" w:eastAsia="zh-CN"/>
        </w:rPr>
        <w:t>。初审合格后，磋商小组将与单一供应商分别进行磋商，并给予所有参加磋商的供应商平等的磋商机会。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。磋商结束后，磋商小组应当要求所有继续参加磋商的供应商在规定时间内提交最后报价。如供应商未在规定时间内（30分钟内）提交最后报价，则视为供应商自愿退出磋商。</w:t>
      </w:r>
    </w:p>
    <w:p w14:paraId="26C9810D">
      <w:pPr>
        <w:spacing w:line="360" w:lineRule="auto"/>
        <w:ind w:firstLine="240" w:firstLineChars="100"/>
        <w:rPr>
          <w:rFonts w:hint="eastAsia" w:ascii="宋体" w:hAnsi="宋体" w:eastAsia="宋体" w:cs="Times New Roman"/>
          <w:b/>
          <w:bCs/>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异常低价响应审查。根据《关于推进解决政府采购异常低价问题的通知》（财库〔2026〕2号），磋商小组进行异常低价响应审查。</w:t>
      </w:r>
    </w:p>
    <w:p w14:paraId="182F2BA5">
      <w:pPr>
        <w:spacing w:line="360" w:lineRule="auto"/>
        <w:ind w:firstLine="241" w:firstLineChars="100"/>
        <w:rPr>
          <w:rFonts w:hint="default"/>
          <w:lang w:val="en-US" w:eastAsia="zh-CN"/>
        </w:rPr>
      </w:pPr>
      <w:r>
        <w:rPr>
          <w:rFonts w:hint="default" w:ascii="宋体" w:hAnsi="宋体" w:eastAsia="宋体" w:cs="Times New Roman"/>
          <w:b/>
          <w:bCs/>
          <w:color w:val="auto"/>
          <w:sz w:val="24"/>
          <w:highlight w:val="none"/>
          <w:lang w:val="en-US" w:eastAsia="zh-CN"/>
        </w:rPr>
        <w:t>14.3.5综合评分</w:t>
      </w:r>
      <w:r>
        <w:rPr>
          <w:rFonts w:hint="default" w:ascii="宋体" w:hAnsi="宋体" w:eastAsia="宋体" w:cs="Times New Roman"/>
          <w:color w:val="auto"/>
          <w:sz w:val="24"/>
          <w:highlight w:val="none"/>
          <w:lang w:val="en-US" w:eastAsia="zh-CN"/>
        </w:rPr>
        <w:t>。磋商小组只对通过初审、异常低价响应审查，实质上响应磋商文件要求的响应文件进行综合评分。经磋商确定最终采购需求和提交最后报价的供应商后，由磋商小组采用综合评分法对提交最后报价的供应商的响应文件和最后报价进行综合评分。</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14.4.1为保证磋商活动顺利进行，供应商可派相关技术人员进行现场答疑。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14.4.3无论何种原因，即使供应商磋商时携带了证书材料的原件，但响应文件中未提供与之内容完全一致的扫描件的，磋商小组可以视同其未提供。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14.4.4磋商小组决定响应文件的响应性及符合性只根据响应文件本身的内容，而不寻求其他外部证据。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14.5供应商授权代表对磋商过程有疑义，以及认为采购人、采购代理机构相关工作人员有需要回避的情形的，应当场提出询问或者回避申请，并说明理由。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15.终止竞争性磋商</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15.1出现下列情况之一时，采购人和采购代理机构有权宣布终止竞争性磋商采购，并将理由通知所有供应商：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（1）有效供应商数量不足，导致本次磋商缺乏竞争的；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16.2磋商小组要求供应商澄清、说明或者更正响应文件应当以书面形式（询标）作出。供应商的澄清、说明或者更正应当由法定代表人或其授权代表签字或者加盖公章。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如有询标，授权代表（或法定代表人）现场接受询标。因授权代表联系不上、没有莅临现场等情形而无法接受磋商小组询标的，供应商自行承担相关风险。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17.1磋商并不限定只进行二轮报价，如果磋商小组认为有必要，可以要求供应商进行多轮报价。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17.2在磋商内容不做实质性变更或重大调整的前提下，供应商下轮报价不得高于上一轮报价。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w:t>
      </w:r>
      <w:r>
        <w:rPr>
          <w:rFonts w:hint="eastAsia" w:asciiTheme="minorEastAsia" w:hAnsiTheme="minorEastAsia" w:eastAsiaTheme="minorEastAsia"/>
          <w:color w:val="auto"/>
          <w:sz w:val="24"/>
          <w:highlight w:val="none"/>
        </w:rPr>
        <w:t>磋商小组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和标准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r>
        <w:rPr>
          <w:rFonts w:hint="eastAsia" w:asciiTheme="minorEastAsia" w:hAnsiTheme="minorEastAsia" w:eastAsiaTheme="minorEastAsia"/>
          <w:color w:val="auto"/>
          <w:sz w:val="24"/>
          <w:highlight w:val="none"/>
          <w:lang w:val="en-US" w:eastAsia="zh-CN"/>
        </w:rPr>
        <w:t>以上均相同时，则采取磋商小组随机抽取的方式确定成交候选供应商顺序。</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w:t>
      </w:r>
      <w:r>
        <w:rPr>
          <w:rFonts w:hint="eastAsia" w:ascii="宋体" w:hAnsi="宋体" w:eastAsia="宋体"/>
          <w:color w:val="auto"/>
          <w:sz w:val="24"/>
          <w:highlight w:val="none"/>
        </w:rPr>
        <w:t>磋商小组根据综合评分的结果和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ascii="宋体" w:hAnsi="宋体" w:eastAsia="宋体"/>
          <w:color w:val="auto"/>
          <w:sz w:val="24"/>
          <w:highlight w:val="none"/>
        </w:rPr>
        <w:t>确定成交候选供应商，并标明排列顺序。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磋商小组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22.1为体现“公开、公平、公正”的原则，磋商结束后，采购代理机构将在桐城师范高等专科学校官网</w:t>
      </w:r>
      <w:r>
        <w:rPr>
          <w:rFonts w:hint="eastAsia" w:asciiTheme="minorEastAsia" w:hAnsiTheme="minorEastAsia" w:eastAsiaTheme="minorEastAsia" w:cstheme="minorEastAsia"/>
          <w:sz w:val="24"/>
          <w:szCs w:val="22"/>
          <w:lang w:val="en-US" w:eastAsia="zh-CN"/>
        </w:rPr>
        <w:t>tctc.edu.cn</w:t>
      </w:r>
      <w:r>
        <w:rPr>
          <w:rFonts w:hint="eastAsia" w:ascii="宋体" w:hAnsi="宋体" w:eastAsia="宋体" w:cs="Times New Roman"/>
          <w:color w:val="auto"/>
          <w:sz w:val="24"/>
          <w:highlight w:val="none"/>
          <w:lang w:val="en-US" w:eastAsia="zh-CN"/>
        </w:rPr>
        <w:t>和安庆市公共资源交易服务网</w:t>
      </w:r>
      <w:r>
        <w:rPr>
          <w:rFonts w:hint="eastAsia" w:asciiTheme="minorEastAsia" w:hAnsiTheme="minorEastAsia" w:eastAsiaTheme="minorEastAsia" w:cstheme="minorEastAsia"/>
          <w:sz w:val="24"/>
          <w:szCs w:val="22"/>
          <w:lang w:val="en-US" w:eastAsia="zh-CN"/>
        </w:rPr>
        <w:t>https://aqggzy.anqing.gov.cn/</w:t>
      </w:r>
      <w:r>
        <w:rPr>
          <w:rFonts w:hint="eastAsia" w:ascii="宋体" w:hAnsi="宋体" w:eastAsia="宋体" w:cs="Times New Roman"/>
          <w:color w:val="auto"/>
          <w:sz w:val="24"/>
          <w:highlight w:val="none"/>
          <w:lang w:val="en-US" w:eastAsia="zh-CN"/>
        </w:rPr>
        <w:t>“限额以下项目”上发布成交结果公告。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24.告知磋商结果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磋商文件、成交供应商的响应文件及其澄清文件等，均为签订合同的依据。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29.1供应商认为磋商文件、采购过程和成交结果使自己的权益受到损害的，可以在知道或者应知其权益受到损害之日起七个工作日内，以书面形式向采购人或其委托的采购代理机构提出质疑。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8"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本磋商文件第五章合同格式内容以供参考，具体合同内容以采购人与成交供应商所签订的合同为准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39"/>
    <w:bookmarkEnd w:id="40"/>
    <w:bookmarkEnd w:id="41"/>
    <w:bookmarkEnd w:id="42"/>
    <w:bookmarkEnd w:id="43"/>
    <w:bookmarkEnd w:id="44"/>
    <w:bookmarkEnd w:id="45"/>
    <w:p w14:paraId="1C9EA266">
      <w:pPr>
        <w:pStyle w:val="2"/>
        <w:numPr>
          <w:ilvl w:val="0"/>
          <w:numId w:val="0"/>
        </w:numPr>
        <w:spacing w:before="0" w:beforeAutospacing="0" w:afterLines="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第三章 采购需求</w:t>
      </w:r>
      <w:bookmarkEnd w:id="38"/>
    </w:p>
    <w:p w14:paraId="57F92650">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bookmarkStart w:id="48" w:name="_Toc16371"/>
      <w:r>
        <w:rPr>
          <w:rFonts w:hint="eastAsia" w:ascii="宋体" w:hAnsi="宋体" w:eastAsia="宋体" w:cs="宋体"/>
          <w:b/>
          <w:bCs/>
          <w:sz w:val="24"/>
          <w:szCs w:val="24"/>
          <w:lang w:val="en-US" w:eastAsia="zh-CN" w:bidi="ar-SA"/>
        </w:rPr>
        <w:t>一、商务要求</w:t>
      </w:r>
    </w:p>
    <w:tbl>
      <w:tblPr>
        <w:tblStyle w:val="40"/>
        <w:tblW w:w="9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108"/>
        <w:gridCol w:w="6646"/>
      </w:tblGrid>
      <w:tr w14:paraId="5027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2966F35B">
            <w:pPr>
              <w:pStyle w:val="21"/>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108" w:type="dxa"/>
            <w:vAlign w:val="center"/>
          </w:tcPr>
          <w:p w14:paraId="78ECC137">
            <w:pPr>
              <w:pStyle w:val="21"/>
              <w:jc w:val="center"/>
            </w:pPr>
            <w:r>
              <w:rPr>
                <w:rFonts w:hint="eastAsia" w:asciiTheme="minorEastAsia" w:hAnsiTheme="minorEastAsia"/>
                <w:b/>
                <w:bCs/>
                <w:color w:val="auto"/>
                <w:sz w:val="24"/>
                <w:szCs w:val="24"/>
                <w:highlight w:val="none"/>
              </w:rPr>
              <w:t>商务条款</w:t>
            </w:r>
          </w:p>
        </w:tc>
        <w:tc>
          <w:tcPr>
            <w:tcW w:w="6646" w:type="dxa"/>
            <w:vAlign w:val="center"/>
          </w:tcPr>
          <w:p w14:paraId="73136536">
            <w:pPr>
              <w:pStyle w:val="21"/>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磋商文件</w:t>
            </w:r>
            <w:r>
              <w:rPr>
                <w:rFonts w:hint="eastAsia" w:cs="Wingdings" w:asciiTheme="minorEastAsia" w:hAnsiTheme="minorEastAsia"/>
                <w:b/>
                <w:color w:val="auto"/>
                <w:sz w:val="24"/>
                <w:highlight w:val="none"/>
              </w:rPr>
              <w:t>要求</w:t>
            </w:r>
          </w:p>
        </w:tc>
      </w:tr>
      <w:tr w14:paraId="7B9D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808" w:type="dxa"/>
            <w:vAlign w:val="center"/>
          </w:tcPr>
          <w:p w14:paraId="151E8ADE">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108" w:type="dxa"/>
            <w:vAlign w:val="center"/>
          </w:tcPr>
          <w:p w14:paraId="05793A89">
            <w:pPr>
              <w:jc w:val="center"/>
              <w:rPr>
                <w:rFonts w:ascii="宋体" w:hAnsi="宋体"/>
                <w:sz w:val="24"/>
              </w:rPr>
            </w:pPr>
            <w:r>
              <w:rPr>
                <w:rFonts w:asciiTheme="minorEastAsia" w:hAnsiTheme="minorEastAsia" w:eastAsiaTheme="minorEastAsia"/>
                <w:color w:val="auto"/>
                <w:sz w:val="24"/>
                <w:highlight w:val="none"/>
              </w:rPr>
              <w:t>付款方式</w:t>
            </w:r>
          </w:p>
        </w:tc>
        <w:tc>
          <w:tcPr>
            <w:tcW w:w="6646" w:type="dxa"/>
            <w:vAlign w:val="center"/>
          </w:tcPr>
          <w:p w14:paraId="4BD2A12B">
            <w:pPr>
              <w:pStyle w:val="50"/>
              <w:jc w:val="center"/>
              <w:rPr>
                <w:rFonts w:hint="default"/>
                <w:lang w:val="en-US" w:eastAsia="zh-CN"/>
              </w:rPr>
            </w:pPr>
            <w:r>
              <w:rPr>
                <w:rFonts w:hint="eastAsia"/>
                <w:lang w:val="en-US" w:eastAsia="zh-CN"/>
              </w:rPr>
              <w:t>完成本项目全部内容并验收合格后一次性支付</w:t>
            </w:r>
          </w:p>
        </w:tc>
      </w:tr>
      <w:tr w14:paraId="6A60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808" w:type="dxa"/>
            <w:vAlign w:val="center"/>
          </w:tcPr>
          <w:p w14:paraId="35B4FD05">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108" w:type="dxa"/>
            <w:vAlign w:val="center"/>
          </w:tcPr>
          <w:p w14:paraId="3927B841">
            <w:pPr>
              <w:pStyle w:val="139"/>
              <w:widowControl w:val="0"/>
              <w:spacing w:before="0" w:beforeAutospacing="0" w:after="0" w:afterAutospacing="0" w:line="360" w:lineRule="auto"/>
              <w:rPr>
                <w:rFonts w:ascii="宋体" w:hAnsi="宋体"/>
                <w:sz w:val="24"/>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6646" w:type="dxa"/>
            <w:vAlign w:val="center"/>
          </w:tcPr>
          <w:p w14:paraId="66C75729">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49AA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319512A6">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108" w:type="dxa"/>
            <w:vAlign w:val="center"/>
          </w:tcPr>
          <w:p w14:paraId="39223CE6">
            <w:pPr>
              <w:pStyle w:val="139"/>
              <w:widowControl w:val="0"/>
              <w:spacing w:before="0" w:beforeAutospacing="0" w:after="0" w:afterAutospacing="0" w:line="360" w:lineRule="auto"/>
              <w:rPr>
                <w:rFonts w:ascii="宋体" w:hAnsi="宋体"/>
                <w:sz w:val="24"/>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6646" w:type="dxa"/>
            <w:vAlign w:val="center"/>
          </w:tcPr>
          <w:p w14:paraId="1D4D2E9F">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30日历天</w:t>
            </w:r>
          </w:p>
        </w:tc>
      </w:tr>
      <w:tr w14:paraId="4EDE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62AF7750">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w:t>
            </w:r>
          </w:p>
        </w:tc>
        <w:tc>
          <w:tcPr>
            <w:tcW w:w="2108" w:type="dxa"/>
            <w:vAlign w:val="center"/>
          </w:tcPr>
          <w:p w14:paraId="4C6D36D7">
            <w:pPr>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免费技术维护期</w:t>
            </w:r>
          </w:p>
        </w:tc>
        <w:tc>
          <w:tcPr>
            <w:tcW w:w="6646" w:type="dxa"/>
            <w:vAlign w:val="center"/>
          </w:tcPr>
          <w:p w14:paraId="58EB116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3年</w:t>
            </w:r>
          </w:p>
        </w:tc>
      </w:tr>
    </w:tbl>
    <w:p w14:paraId="59C5581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olor w:val="auto"/>
          <w:sz w:val="24"/>
          <w:szCs w:val="24"/>
          <w:highlight w:val="none"/>
          <w:lang w:eastAsia="zh-CN"/>
        </w:rPr>
      </w:pPr>
    </w:p>
    <w:p w14:paraId="5CD3C8E3">
      <w:pPr>
        <w:pStyle w:val="4"/>
        <w:keepNext/>
        <w:keepLines/>
        <w:pageBreakBefore w:val="0"/>
        <w:widowControl w:val="0"/>
        <w:numPr>
          <w:ilvl w:val="0"/>
          <w:numId w:val="1"/>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采购内容：</w:t>
      </w:r>
    </w:p>
    <w:p w14:paraId="0EADCC60">
      <w:pPr>
        <w:pStyle w:val="3"/>
        <w:pageBreakBefore w:val="0"/>
        <w:kinsoku/>
        <w:wordWrap/>
        <w:overflowPunct/>
        <w:topLinePunct w:val="0"/>
        <w:autoSpaceDE/>
        <w:autoSpaceDN/>
        <w:bidi w:val="0"/>
        <w:snapToGrid w:val="0"/>
        <w:spacing w:before="156" w:beforeLines="50" w:after="156" w:afterLines="50" w:line="240" w:lineRule="auto"/>
        <w:ind w:firstLine="480" w:firstLineChars="200"/>
        <w:jc w:val="both"/>
        <w:textAlignment w:val="auto"/>
        <w:rPr>
          <w:rFonts w:hint="eastAsia" w:ascii="Times New Roman" w:hAnsi="Times New Roman" w:eastAsia="楷体_GB2312"/>
          <w:b w:val="0"/>
          <w:bCs w:val="0"/>
          <w:kern w:val="0"/>
          <w:sz w:val="24"/>
          <w:szCs w:val="24"/>
        </w:rPr>
      </w:pPr>
      <w:r>
        <w:rPr>
          <w:rFonts w:hint="eastAsia" w:ascii="Times New Roman" w:hAnsi="Times New Roman" w:eastAsia="楷体_GB2312"/>
          <w:b w:val="0"/>
          <w:bCs w:val="0"/>
          <w:kern w:val="0"/>
          <w:sz w:val="24"/>
          <w:szCs w:val="24"/>
          <w:lang w:val="en-US" w:eastAsia="zh-CN"/>
        </w:rPr>
        <w:t>1、</w:t>
      </w:r>
      <w:r>
        <w:rPr>
          <w:rFonts w:hint="eastAsia" w:ascii="Times New Roman" w:hAnsi="Times New Roman" w:eastAsia="楷体_GB2312"/>
          <w:b w:val="0"/>
          <w:bCs w:val="0"/>
          <w:kern w:val="0"/>
          <w:sz w:val="24"/>
          <w:szCs w:val="24"/>
        </w:rPr>
        <w:t>项目建设背景</w:t>
      </w:r>
    </w:p>
    <w:p w14:paraId="33C9CF4F">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随着人工智能技术快速发展，人工智能已经上升为国家战略。我国《新一代人工智能发展规划》明确提出到2030年成为世界主要人工智能创新中心，人工智能技术被列为战略性新兴产业。高职院校作为技术技能人才培养的主阵地，需承担起为产业输送AI应用型人才的使命。在政策支持与资金投入方面，教育部、财政部等部门相继出台《职业教育提质培优行动计划》《关于推动现代职业教育高质量发展的意见》等文件，要求职业院校加强实训基地建设，对人工智能相关专业建设给予专项资金支持。</w:t>
      </w:r>
    </w:p>
    <w:p w14:paraId="6C8CEA4F">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2026年处于第二轮“双高计划”稳步推进的关键阶段，该计划持续致力于推动职业教育与国家战略、产业需求以及地方经济实现更深度的融合，全力培育新质生产力，为高职教育高质量发展注入强劲动力。在人工智能教育领域，高职教育依旧面临着教育转型与人才培养方面的诸多难点与痛点。不过，值得关注的是，全国已有600多所院校开设了人工智能专业，为缓解人才缺口、推动行业发展奠定了坚实基础。，但多数院校存在硬件设施滞后，软件生态缺失，课程体系碎片化，实践环节薄弱等问题，采用传统理论教学模式，也难以适应AI技术快速更新迭代。</w:t>
      </w:r>
    </w:p>
    <w:p w14:paraId="2CC1C5F7">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在国家战略与产业政策驱动、行业技术发展与应用场景拓展、高职教育转型与人才培养需求增大、现有实训条件与教学痛点等背景下，高职院校实训室建设已从“可选配置”升级为“核心基础设施”。通过构建“硬件+软件+数据+场景”四位一体的实训体系，可有效提升人才培养质量，为院校专业发展、人才培养、区域经济发展和产业转型升级提供智力支持。</w:t>
      </w:r>
      <w:bookmarkStart w:id="49" w:name="_Toc5891"/>
    </w:p>
    <w:bookmarkEnd w:id="49"/>
    <w:p w14:paraId="1BB2104D">
      <w:pPr>
        <w:pStyle w:val="3"/>
        <w:pageBreakBefore w:val="0"/>
        <w:kinsoku/>
        <w:wordWrap/>
        <w:overflowPunct/>
        <w:topLinePunct w:val="0"/>
        <w:autoSpaceDE/>
        <w:autoSpaceDN/>
        <w:bidi w:val="0"/>
        <w:snapToGrid w:val="0"/>
        <w:spacing w:before="156" w:beforeLines="50" w:after="156" w:afterLines="50" w:line="240" w:lineRule="auto"/>
        <w:ind w:firstLine="480" w:firstLineChars="200"/>
        <w:jc w:val="both"/>
        <w:textAlignment w:val="auto"/>
        <w:rPr>
          <w:rFonts w:ascii="Times New Roman" w:hAnsi="Times New Roman" w:eastAsia="楷体_GB2312"/>
          <w:b w:val="0"/>
          <w:bCs w:val="0"/>
          <w:kern w:val="0"/>
          <w:sz w:val="24"/>
          <w:szCs w:val="24"/>
        </w:rPr>
      </w:pPr>
      <w:r>
        <w:rPr>
          <w:rFonts w:hint="eastAsia" w:ascii="Times New Roman" w:hAnsi="Times New Roman" w:eastAsia="楷体_GB2312"/>
          <w:b w:val="0"/>
          <w:bCs w:val="0"/>
          <w:kern w:val="0"/>
          <w:sz w:val="24"/>
          <w:szCs w:val="24"/>
          <w:lang w:val="en-US" w:eastAsia="zh-CN"/>
        </w:rPr>
        <w:t>2、</w:t>
      </w:r>
      <w:r>
        <w:rPr>
          <w:rFonts w:hint="eastAsia" w:ascii="Times New Roman" w:hAnsi="Times New Roman" w:eastAsia="楷体_GB2312"/>
          <w:b w:val="0"/>
          <w:bCs w:val="0"/>
          <w:kern w:val="0"/>
          <w:sz w:val="24"/>
          <w:szCs w:val="24"/>
        </w:rPr>
        <w:t>项目建设必要性可行性</w:t>
      </w:r>
    </w:p>
    <w:p w14:paraId="21C1FCA2">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（1）落实国家教育改革和发展规划纲要精神的需要</w:t>
      </w:r>
    </w:p>
    <w:p w14:paraId="27F2D3FC">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本项目的建设是落实《国家职业教育改革实施方案》、《普通高等学校高等职业教育（专科）专业设置管理办法》等教育政策文件与规划精神的具体体现，是基于数字化、智能化人工智能教学体系促进职业教育蓬勃发展的重要途径。。</w:t>
      </w:r>
    </w:p>
    <w:p w14:paraId="7FA2477E">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（2）完善学校信息化基础设施的必要</w:t>
      </w:r>
    </w:p>
    <w:p w14:paraId="3B19DDAA">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在当今信息化发展高速的今天，智能化、数字化、信息化教学新一代高新技术起着举足轻重的作用。同样，人工智能实训室的建设，能够完善学校信息化基础设备、实训室基础设施，为学校信息化教学提供基础的设备环境。同时完善的教学平台，能够提供先进、安全、可靠的教学实训平台，满足最基本的信息化教学要求，提高教学、学习效率和质量。</w:t>
      </w:r>
    </w:p>
    <w:p w14:paraId="2225705A">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（3）培养学生专业技能的重要举措</w:t>
      </w:r>
    </w:p>
    <w:p w14:paraId="2BB7A97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随着新一代信息技术的发展，社会对具备新一代信息技术专业知识和技能的复合型人才的需求越来越大，对人才的素质、技能要求也越来越高。我国现行的以学科为本的课程体系模式单一，学生所掌握的技术技能单一，所形成的职业能力具有局限性，无法满足行业企业对人才的职业技能需求。人工智能实训室的本着以培养学生技术技能的精神，构建模块化课程和实训体系，以岗位就业为导向，以职业或行业所需的知识、技术或技能为中心，进行针对性的技能教学，通过设计实际岗位所需的课程内容，使学生在学校就能掌握企业所需的专业技能。</w:t>
      </w:r>
    </w:p>
    <w:p w14:paraId="229757A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（4）提升学生实践操作能力的教学需要</w:t>
      </w:r>
    </w:p>
    <w:p w14:paraId="1A7DEAD2">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高职院校的定位是要培养研发、运维、管理、服务一线需要的技术技能型人才。实训教学已成为高职教育中不可或缺的一个重要环节，实训教学的效果直接影响教学质量。人工智能实训室拥有系列化的课程体系。人工智能实训室环境将过去零散的课程及实验综合起来，形成系统化的实验，满足理论教学与实践训练同步一体化。实训室的建设能够综合提高学生整体素质，增强学生在就业中的竞争实力并拓宽就业渠道，树立学校在学术界和社会的良好品牌形象。</w:t>
      </w:r>
    </w:p>
    <w:p w14:paraId="3AAAE2C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（5）教师专业化发展的需要</w:t>
      </w:r>
    </w:p>
    <w:p w14:paraId="3E2ED7AE">
      <w:pPr>
        <w:pStyle w:val="64"/>
        <w:pageBreakBefore w:val="0"/>
        <w:kinsoku/>
        <w:wordWrap/>
        <w:overflowPunct/>
        <w:topLinePunct w:val="0"/>
        <w:autoSpaceDE/>
        <w:autoSpaceDN/>
        <w:bidi w:val="0"/>
        <w:spacing w:line="240" w:lineRule="auto"/>
        <w:ind w:firstLine="560"/>
        <w:textAlignment w:val="auto"/>
        <w:rPr>
          <w:rFonts w:hint="eastAsia" w:eastAsia="楷体_GB2312"/>
          <w:b w:val="0"/>
          <w:bCs w:val="0"/>
          <w:kern w:val="0"/>
          <w:sz w:val="24"/>
          <w:szCs w:val="24"/>
          <w:lang w:val="en-US" w:eastAsia="zh-CN"/>
        </w:rPr>
      </w:pPr>
      <w:r>
        <w:rPr>
          <w:rFonts w:hint="eastAsia" w:ascii="仿宋" w:hAnsi="仿宋" w:eastAsia="仿宋" w:cs="仿宋"/>
          <w:b w:val="0"/>
          <w:bCs w:val="0"/>
          <w:sz w:val="24"/>
          <w:szCs w:val="24"/>
        </w:rPr>
        <w:t>在知识更新的步伐加快、互联网应用越来越广泛的今天，面对新课程改革的要求，教材、学生、教学过程要求教师应有与时俱进的思想，及时地更新教学观念和教学方法，努力吸取新理念、新知识、新技术、新工艺，不断更新自己的专业知识结构、拓宽视野，充分利用网上丰富的教学资源和传播的先进理论，培养创新型、开拓型、综合型、应用型人才。人工智能实训室的建设，将打破传统的教师教育和教研模式，使教师教育模式变得更加开放、内容更为丰富、学习更为主动、交流更加方便，更有效地促进教师的专业成长。</w:t>
      </w:r>
    </w:p>
    <w:p w14:paraId="3D026FED">
      <w:pPr>
        <w:keepNext w:val="0"/>
        <w:keepLines w:val="0"/>
        <w:pageBreakBefore w:val="0"/>
        <w:widowControl/>
        <w:kinsoku/>
        <w:wordWrap/>
        <w:overflowPunct/>
        <w:topLinePunct w:val="0"/>
        <w:autoSpaceDE/>
        <w:autoSpaceDN/>
        <w:bidi w:val="0"/>
        <w:adjustRightInd w:val="0"/>
        <w:snapToGrid/>
        <w:spacing w:before="157" w:beforeLines="50" w:after="157" w:afterLines="50" w:line="240" w:lineRule="auto"/>
        <w:ind w:firstLine="480" w:firstLineChars="200"/>
        <w:jc w:val="left"/>
        <w:textAlignment w:val="auto"/>
        <w:rPr>
          <w:rFonts w:ascii="Cambria" w:hAnsi="Cambria" w:eastAsia="楷体_GB2312"/>
          <w:b w:val="0"/>
          <w:bCs w:val="0"/>
          <w:kern w:val="0"/>
          <w:sz w:val="24"/>
          <w:szCs w:val="24"/>
        </w:rPr>
      </w:pPr>
      <w:r>
        <w:rPr>
          <w:rFonts w:hint="eastAsia" w:eastAsia="楷体_GB2312"/>
          <w:b w:val="0"/>
          <w:bCs w:val="0"/>
          <w:kern w:val="0"/>
          <w:sz w:val="24"/>
          <w:szCs w:val="24"/>
          <w:lang w:val="en-US" w:eastAsia="zh-CN"/>
        </w:rPr>
        <w:t>3、</w:t>
      </w:r>
      <w:r>
        <w:rPr>
          <w:rFonts w:hint="eastAsia" w:eastAsia="楷体_GB2312"/>
          <w:b w:val="0"/>
          <w:bCs w:val="0"/>
          <w:kern w:val="0"/>
          <w:sz w:val="24"/>
          <w:szCs w:val="24"/>
        </w:rPr>
        <w:t>项目主要建设内容</w:t>
      </w:r>
    </w:p>
    <w:p w14:paraId="0C3A6DEA">
      <w:pPr>
        <w:pageBreakBefore w:val="0"/>
        <w:widowControl/>
        <w:kinsoku/>
        <w:wordWrap/>
        <w:overflowPunct/>
        <w:topLinePunct w:val="0"/>
        <w:autoSpaceDE/>
        <w:autoSpaceDN/>
        <w:bidi w:val="0"/>
        <w:spacing w:line="240" w:lineRule="auto"/>
        <w:ind w:firstLine="640"/>
        <w:textAlignment w:val="auto"/>
        <w:rPr>
          <w:rFonts w:ascii="Cambria" w:hAnsi="Cambria"/>
          <w:b w:val="0"/>
          <w:bCs w:val="0"/>
          <w:kern w:val="0"/>
          <w:sz w:val="24"/>
          <w:szCs w:val="24"/>
        </w:rPr>
      </w:pPr>
      <w:r>
        <w:rPr>
          <w:rFonts w:eastAsia="仿宋_GB2312"/>
          <w:b w:val="0"/>
          <w:bCs w:val="0"/>
          <w:kern w:val="0"/>
          <w:sz w:val="24"/>
          <w:szCs w:val="24"/>
        </w:rPr>
        <w:t>1.</w:t>
      </w:r>
      <w:r>
        <w:rPr>
          <w:rFonts w:hint="eastAsia" w:eastAsia="仿宋_GB2312"/>
          <w:b w:val="0"/>
          <w:bCs w:val="0"/>
          <w:kern w:val="0"/>
          <w:sz w:val="24"/>
          <w:szCs w:val="24"/>
        </w:rPr>
        <w:t>人工智能深度学习应用技术训练平台</w:t>
      </w:r>
      <w:r>
        <w:rPr>
          <w:rFonts w:eastAsia="仿宋_GB2312"/>
          <w:b w:val="0"/>
          <w:bCs w:val="0"/>
          <w:kern w:val="0"/>
          <w:sz w:val="24"/>
          <w:szCs w:val="24"/>
        </w:rPr>
        <w:t>（</w:t>
      </w:r>
      <w:r>
        <w:rPr>
          <w:rFonts w:hint="eastAsia" w:eastAsia="仿宋_GB2312"/>
          <w:b w:val="0"/>
          <w:bCs w:val="0"/>
          <w:kern w:val="0"/>
          <w:sz w:val="24"/>
          <w:szCs w:val="24"/>
        </w:rPr>
        <w:t>人工智能实训平台软件V1.0</w:t>
      </w:r>
      <w:r>
        <w:rPr>
          <w:rFonts w:eastAsia="仿宋_GB2312"/>
          <w:b w:val="0"/>
          <w:bCs w:val="0"/>
          <w:kern w:val="0"/>
          <w:sz w:val="24"/>
          <w:szCs w:val="24"/>
        </w:rPr>
        <w:t>），数量：1套</w:t>
      </w:r>
    </w:p>
    <w:p w14:paraId="79838643">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（1）平台说明</w:t>
      </w:r>
    </w:p>
    <w:p w14:paraId="55970C5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rPr>
        <w:t>▲平台能满足人工智能深度学习等相关赛项训练平台的技术要求，在投标文件中提供大赛组委会出具的相关证明材料等。</w:t>
      </w:r>
    </w:p>
    <w:p w14:paraId="69EFAA79">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平台支持对试卷、考试和题库进行操作，包括试卷的修改、删除以及上传导入新试卷、新建考试的内容和时间、新增考试题目和类别；支持面向教学班学生开展技能竞赛，提升学习活跃度；支持赛项自动判分，查看竞赛结果；支持开放式平台赛，配置个人赛、团队赛等多样的竞赛方式，对接行业赛、职业技能大赛、金砖国家职业技能大赛等多种场景，设置判分规则，符合行业赛、院校大赛等多种场景要求。</w:t>
      </w:r>
    </w:p>
    <w:p w14:paraId="7FCBA64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（2）平台使用者角色</w:t>
      </w:r>
    </w:p>
    <w:p w14:paraId="14953DA8">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平台支持不同用户授予不同的权限，用户角色分为学生、教师、和管理员等多个角色，通过不同角色的分工完成相应的流程。考试系统平台的使用者分为以下几个角色：</w:t>
      </w:r>
    </w:p>
    <w:p w14:paraId="59155BAF">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①学生</w:t>
      </w:r>
    </w:p>
    <w:p w14:paraId="42D975E7">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②教师</w:t>
      </w:r>
    </w:p>
    <w:p w14:paraId="5E731607">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③学校管理员</w:t>
      </w:r>
    </w:p>
    <w:p w14:paraId="797F561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④系统管理员</w:t>
      </w:r>
    </w:p>
    <w:p w14:paraId="3E50264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⑤游客</w:t>
      </w:r>
    </w:p>
    <w:p w14:paraId="2472BCE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（3）Web端功能</w:t>
      </w:r>
    </w:p>
    <w:p w14:paraId="4B8BAC66">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 xml:space="preserve">Web端供考生考试和上传相关信息。 </w:t>
      </w:r>
    </w:p>
    <w:p w14:paraId="31CCF177">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3.1 Web端权限</w:t>
      </w:r>
    </w:p>
    <w:p w14:paraId="75787508">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权限分为页面权限和数据内容权限：</w:t>
      </w:r>
    </w:p>
    <w:p w14:paraId="23765E59">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①页面权限</w:t>
      </w:r>
    </w:p>
    <w:p w14:paraId="0E80814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对于前端页面不设页面权限，登录者可以查看前端的任何页面，且各角色的页面权限相同。</w:t>
      </w:r>
    </w:p>
    <w:p w14:paraId="36DE8AE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②数据内容权限</w:t>
      </w:r>
    </w:p>
    <w:p w14:paraId="1671834A">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未登录状态下，所有角色看到的内容均为系统管理员发的内容；登录状态下，根据不同角色设置不同的数据内容权限。</w:t>
      </w:r>
    </w:p>
    <w:p w14:paraId="43479A9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3.2 我的考试</w:t>
      </w:r>
    </w:p>
    <w:p w14:paraId="6F258EF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个人中心展示考生的考试，考试状态分为：未开始、考试中、待提交、批改中、已完成。列表展示考生所有的考试。考试页面展示考试名称、类型、时间、分数等信息。</w:t>
      </w:r>
    </w:p>
    <w:p w14:paraId="6B0845C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考试页面左侧为题目展示模块，右侧为题号展示板，考生点击相应的题号可直接跳转到考试。题号上方显示考试已经开始的时间以及考试剩余时间。点击“交卷”结束考试。</w:t>
      </w:r>
    </w:p>
    <w:p w14:paraId="4A36425C">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3.3 进入考试</w:t>
      </w:r>
    </w:p>
    <w:p w14:paraId="70BC1ED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进入考试页面分为考试信息、考试题目、考试情况；考试信息展示考试名称、考试总分数、学生的姓名、学号、班级等；考试题目支持点击下一题进入下一题的页面，支持点击题号直接进入该题；考试情况展示考试时间、答题情况等；</w:t>
      </w:r>
    </w:p>
    <w:p w14:paraId="6861D6E4">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3.4试卷状态</w:t>
      </w:r>
    </w:p>
    <w:p w14:paraId="121448A2">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试卷状态包括：未开始、待提交、考试中、批改中。</w:t>
      </w:r>
    </w:p>
    <w:p w14:paraId="25E7487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打开页面时的时间早于考试开始时间，则状态为未开始；点击保存考试，考试状态为“待提交”；打开时时间在考试的开始时间和结束时间之间时，状态为“考试中”； 点击“提交”，提交试卷提交至老师，考试状态为“批改中”。</w:t>
      </w:r>
    </w:p>
    <w:p w14:paraId="17CA41B7">
      <w:pPr>
        <w:pStyle w:val="64"/>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firstLine="561"/>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en-US" w:eastAsia="zh-CN"/>
        </w:rPr>
        <w:t>4、</w:t>
      </w:r>
      <w:r>
        <w:rPr>
          <w:rFonts w:hint="eastAsia" w:ascii="仿宋" w:hAnsi="仿宋" w:eastAsia="仿宋" w:cs="仿宋"/>
          <w:b w:val="0"/>
          <w:bCs w:val="0"/>
          <w:sz w:val="24"/>
          <w:szCs w:val="24"/>
          <w:lang w:val="zh-TW" w:eastAsia="zh-TW"/>
        </w:rPr>
        <w:t>后台管理功能</w:t>
      </w:r>
    </w:p>
    <w:p w14:paraId="31CE23C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考试系统后台主要对web端的考试创建、发布、评分等功能模块提供后端支持；支持对考生考试信息和试题进行管理，教师创建考试试卷、考试内容，并设置考试时间和考试范围等自定义内容。</w:t>
      </w:r>
    </w:p>
    <w:p w14:paraId="48E331BC">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4.1试卷管理</w:t>
      </w:r>
    </w:p>
    <w:p w14:paraId="6322163E">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在“我的试卷”列表中，展示用户所有的试卷。点击“新建试卷”创建新的试卷，试卷的创建支持手动编辑、从题库中选择和导入试卷三种方式。</w:t>
      </w:r>
    </w:p>
    <w:p w14:paraId="01A1637C">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①手动编辑试卷</w:t>
      </w:r>
    </w:p>
    <w:p w14:paraId="6A5C41D4">
      <w:pPr>
        <w:pStyle w:val="64"/>
        <w:pageBreakBefore w:val="0"/>
        <w:kinsoku/>
        <w:wordWrap/>
        <w:overflowPunct/>
        <w:topLinePunct w:val="0"/>
        <w:autoSpaceDE/>
        <w:autoSpaceDN/>
        <w:bidi w:val="0"/>
        <w:spacing w:line="240" w:lineRule="auto"/>
        <w:ind w:firstLine="560"/>
        <w:textAlignment w:val="auto"/>
        <w:rPr>
          <w:rFonts w:hint="eastAsia" w:ascii="仿宋" w:hAnsi="仿宋" w:eastAsia="PMingLiU" w:cs="仿宋"/>
          <w:b w:val="0"/>
          <w:bCs w:val="0"/>
          <w:sz w:val="24"/>
          <w:szCs w:val="24"/>
          <w:lang w:val="zh-TW" w:eastAsia="zh-TW"/>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zh-TW" w:eastAsia="zh-TW"/>
        </w:rPr>
        <w:t>支持手动编辑试卷，点击试卷名称旁边的编辑按钮，编辑试卷名称；点击列表中的题目可对题目进行编辑或删除；已编辑的题目可在列表展示，点击“预览”预览已编辑的试卷。（提供</w:t>
      </w:r>
      <w:r>
        <w:rPr>
          <w:rFonts w:hint="eastAsia" w:ascii="仿宋" w:hAnsi="仿宋" w:eastAsia="仿宋" w:cs="仿宋"/>
          <w:b w:val="0"/>
          <w:bCs w:val="0"/>
          <w:sz w:val="24"/>
          <w:szCs w:val="24"/>
          <w:lang w:val="zh-TW"/>
        </w:rPr>
        <w:t>产品佐证材料，如</w:t>
      </w:r>
      <w:r>
        <w:rPr>
          <w:rFonts w:hint="eastAsia" w:ascii="仿宋" w:hAnsi="仿宋" w:eastAsia="仿宋" w:cs="仿宋"/>
          <w:b w:val="0"/>
          <w:bCs w:val="0"/>
          <w:sz w:val="24"/>
          <w:szCs w:val="24"/>
          <w:lang w:val="zh-TW" w:eastAsia="zh-TW"/>
        </w:rPr>
        <w:t>产品</w:t>
      </w:r>
      <w:r>
        <w:rPr>
          <w:rFonts w:hint="eastAsia" w:ascii="仿宋" w:hAnsi="仿宋" w:eastAsia="仿宋" w:cs="仿宋"/>
          <w:b w:val="0"/>
          <w:bCs w:val="0"/>
          <w:sz w:val="24"/>
          <w:szCs w:val="24"/>
          <w:lang w:val="zh-TW"/>
        </w:rPr>
        <w:t>页面</w:t>
      </w:r>
      <w:r>
        <w:rPr>
          <w:rFonts w:hint="eastAsia" w:ascii="仿宋" w:hAnsi="仿宋" w:eastAsia="仿宋" w:cs="仿宋"/>
          <w:b w:val="0"/>
          <w:bCs w:val="0"/>
          <w:sz w:val="24"/>
          <w:szCs w:val="24"/>
          <w:lang w:val="zh-TW" w:eastAsia="zh-TW"/>
        </w:rPr>
        <w:t>截图</w:t>
      </w:r>
      <w:r>
        <w:rPr>
          <w:rFonts w:hint="eastAsia" w:ascii="仿宋" w:hAnsi="仿宋" w:eastAsia="仿宋" w:cs="仿宋"/>
          <w:b w:val="0"/>
          <w:bCs w:val="0"/>
          <w:sz w:val="24"/>
          <w:szCs w:val="24"/>
          <w:lang w:val="zh-TW"/>
        </w:rPr>
        <w:t>等资料</w:t>
      </w:r>
      <w:r>
        <w:rPr>
          <w:rFonts w:hint="eastAsia" w:ascii="仿宋" w:hAnsi="仿宋" w:eastAsia="仿宋" w:cs="仿宋"/>
          <w:b w:val="0"/>
          <w:bCs w:val="0"/>
          <w:sz w:val="24"/>
          <w:szCs w:val="24"/>
          <w:lang w:val="zh-TW" w:eastAsia="zh-TW"/>
        </w:rPr>
        <w:t>）</w:t>
      </w:r>
    </w:p>
    <w:p w14:paraId="2C5E2255">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②从题库中组题</w:t>
      </w:r>
    </w:p>
    <w:p w14:paraId="4E02B9B1">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ab/>
      </w:r>
      <w:r>
        <w:rPr>
          <w:rFonts w:hint="eastAsia" w:ascii="仿宋" w:hAnsi="仿宋" w:eastAsia="仿宋" w:cs="仿宋"/>
          <w:b w:val="0"/>
          <w:bCs w:val="0"/>
          <w:sz w:val="24"/>
          <w:szCs w:val="24"/>
          <w:lang w:val="zh-TW" w:eastAsia="zh-TW"/>
        </w:rPr>
        <w:t>支持从题库中抽取题目组成试卷，自定义题目类型、题目范围，题目数、每题分数。预览已经生成的试卷，若对生成的题目不满意，则点击“换一组”则可以重新组题。</w:t>
      </w:r>
    </w:p>
    <w:p w14:paraId="214B1A2A">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③导入试卷</w:t>
      </w:r>
    </w:p>
    <w:p w14:paraId="7440DBE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支持从平台下载导入模板，按照导入模板编辑试卷，将编辑完的试卷点击上传；生成的试卷在下方的“试题预览”界面展示；</w:t>
      </w:r>
    </w:p>
    <w:p w14:paraId="7463D992">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4.2 考试管理</w:t>
      </w:r>
    </w:p>
    <w:p w14:paraId="092F5D1B">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此模块展示教师用户名下所有的考试，包括未开始、进行中、已结束的考试。</w:t>
      </w:r>
    </w:p>
    <w:p w14:paraId="4A203E77">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zh-TW" w:eastAsia="zh-TW"/>
        </w:rPr>
        <w:t>①新建考试</w:t>
      </w:r>
    </w:p>
    <w:p w14:paraId="74A870B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进入新建考试界面，新建考试模块具有以下功能：</w:t>
      </w:r>
    </w:p>
    <w:p w14:paraId="1AD2B207">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1)考试名称：手动输入考试名称；</w:t>
      </w:r>
    </w:p>
    <w:p w14:paraId="287884B1">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2)考试类型：正式考试、随堂练习；</w:t>
      </w:r>
    </w:p>
    <w:p w14:paraId="5B08A446">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3)试卷名称：从创建的试卷中选择要考试的试卷；</w:t>
      </w:r>
    </w:p>
    <w:p w14:paraId="010F55CC">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4)考试时间：考试的有效时间；</w:t>
      </w:r>
    </w:p>
    <w:p w14:paraId="0157A791">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5)试卷发放时间：学生可以在前端看到试卷的考试时间，试卷发放至少在开始考试前15分钟完成；</w:t>
      </w:r>
    </w:p>
    <w:p w14:paraId="3D80A8C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6)考试发放范围：选择参与考试的人员范围；</w:t>
      </w:r>
    </w:p>
    <w:p w14:paraId="0F7D032C">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7)取消：取消本次创建考试的操作；</w:t>
      </w:r>
    </w:p>
    <w:p w14:paraId="791C914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8)确定：考试创建成功，并返回考试列表。</w:t>
      </w:r>
    </w:p>
    <w:p w14:paraId="5A5BB72C">
      <w:pPr>
        <w:pStyle w:val="64"/>
        <w:pageBreakBefore w:val="0"/>
        <w:kinsoku/>
        <w:wordWrap/>
        <w:overflowPunct/>
        <w:topLinePunct w:val="0"/>
        <w:autoSpaceDE/>
        <w:autoSpaceDN/>
        <w:bidi w:val="0"/>
        <w:spacing w:line="240" w:lineRule="auto"/>
        <w:ind w:firstLine="560"/>
        <w:textAlignment w:val="auto"/>
        <w:rPr>
          <w:rFonts w:hint="eastAsia" w:ascii="仿宋" w:hAnsi="仿宋" w:eastAsia="PMingLiU" w:cs="仿宋"/>
          <w:b w:val="0"/>
          <w:bCs w:val="0"/>
          <w:sz w:val="24"/>
          <w:szCs w:val="24"/>
          <w:lang w:val="zh-TW" w:eastAsia="zh-TW"/>
        </w:rPr>
      </w:pPr>
      <w:r>
        <w:rPr>
          <w:rFonts w:hint="eastAsia" w:ascii="仿宋" w:hAnsi="仿宋" w:eastAsia="仿宋" w:cs="仿宋"/>
          <w:b w:val="0"/>
          <w:bCs w:val="0"/>
          <w:sz w:val="24"/>
          <w:szCs w:val="24"/>
          <w:lang w:val="zh-TW" w:eastAsia="zh-TW"/>
        </w:rPr>
        <w:t>（提供</w:t>
      </w:r>
      <w:r>
        <w:rPr>
          <w:rFonts w:hint="eastAsia" w:ascii="仿宋" w:hAnsi="仿宋" w:eastAsia="仿宋" w:cs="仿宋"/>
          <w:b w:val="0"/>
          <w:bCs w:val="0"/>
          <w:sz w:val="24"/>
          <w:szCs w:val="24"/>
          <w:lang w:val="zh-TW"/>
        </w:rPr>
        <w:t>产品佐证材料，如</w:t>
      </w:r>
      <w:r>
        <w:rPr>
          <w:rFonts w:hint="eastAsia" w:ascii="仿宋" w:hAnsi="仿宋" w:eastAsia="仿宋" w:cs="仿宋"/>
          <w:b w:val="0"/>
          <w:bCs w:val="0"/>
          <w:sz w:val="24"/>
          <w:szCs w:val="24"/>
          <w:lang w:val="zh-TW" w:eastAsia="zh-TW"/>
        </w:rPr>
        <w:t>产品</w:t>
      </w:r>
      <w:r>
        <w:rPr>
          <w:rFonts w:hint="eastAsia" w:ascii="仿宋" w:hAnsi="仿宋" w:eastAsia="仿宋" w:cs="仿宋"/>
          <w:b w:val="0"/>
          <w:bCs w:val="0"/>
          <w:sz w:val="24"/>
          <w:szCs w:val="24"/>
          <w:lang w:val="zh-TW"/>
        </w:rPr>
        <w:t>页面</w:t>
      </w:r>
      <w:r>
        <w:rPr>
          <w:rFonts w:hint="eastAsia" w:ascii="仿宋" w:hAnsi="仿宋" w:eastAsia="仿宋" w:cs="仿宋"/>
          <w:b w:val="0"/>
          <w:bCs w:val="0"/>
          <w:sz w:val="24"/>
          <w:szCs w:val="24"/>
          <w:lang w:val="zh-TW" w:eastAsia="zh-TW"/>
        </w:rPr>
        <w:t>截图</w:t>
      </w:r>
      <w:r>
        <w:rPr>
          <w:rFonts w:hint="eastAsia" w:ascii="仿宋" w:hAnsi="仿宋" w:eastAsia="仿宋" w:cs="仿宋"/>
          <w:b w:val="0"/>
          <w:bCs w:val="0"/>
          <w:sz w:val="24"/>
          <w:szCs w:val="24"/>
          <w:lang w:val="zh-TW"/>
        </w:rPr>
        <w:t>等资料</w:t>
      </w:r>
      <w:r>
        <w:rPr>
          <w:rFonts w:hint="eastAsia" w:ascii="仿宋" w:hAnsi="仿宋" w:eastAsia="仿宋" w:cs="仿宋"/>
          <w:b w:val="0"/>
          <w:bCs w:val="0"/>
          <w:sz w:val="24"/>
          <w:szCs w:val="24"/>
          <w:lang w:val="zh-TW" w:eastAsia="zh-TW"/>
        </w:rPr>
        <w:t>）</w:t>
      </w:r>
    </w:p>
    <w:p w14:paraId="4593A3A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②监考</w:t>
      </w:r>
    </w:p>
    <w:p w14:paraId="7BDB4D88">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zh-TW" w:eastAsia="zh-TW"/>
        </w:rPr>
        <w:t>支持教师对进行中的考试进行监考；支持教师标记学生的考试状态，如：作弊、缺考，并可强制作弊学生交卷；支持教师提前结束考试；支持对已结束的考试结果进行查看，展示考试的监考结果、缺考人数、作弊人数、强制交卷人数；支持进入到考试的成绩详情列表查看详情；支持创建本次考试的补考。（提供</w:t>
      </w:r>
      <w:r>
        <w:rPr>
          <w:rFonts w:hint="eastAsia" w:ascii="仿宋" w:hAnsi="仿宋" w:eastAsia="仿宋" w:cs="仿宋"/>
          <w:b w:val="0"/>
          <w:bCs w:val="0"/>
          <w:sz w:val="24"/>
          <w:szCs w:val="24"/>
          <w:lang w:val="zh-TW"/>
        </w:rPr>
        <w:t>产品佐证材料，如</w:t>
      </w:r>
      <w:r>
        <w:rPr>
          <w:rFonts w:hint="eastAsia" w:ascii="仿宋" w:hAnsi="仿宋" w:eastAsia="仿宋" w:cs="仿宋"/>
          <w:b w:val="0"/>
          <w:bCs w:val="0"/>
          <w:sz w:val="24"/>
          <w:szCs w:val="24"/>
          <w:lang w:val="zh-TW" w:eastAsia="zh-TW"/>
        </w:rPr>
        <w:t>产品</w:t>
      </w:r>
      <w:r>
        <w:rPr>
          <w:rFonts w:hint="eastAsia" w:ascii="仿宋" w:hAnsi="仿宋" w:eastAsia="仿宋" w:cs="仿宋"/>
          <w:b w:val="0"/>
          <w:bCs w:val="0"/>
          <w:sz w:val="24"/>
          <w:szCs w:val="24"/>
          <w:lang w:val="zh-TW"/>
        </w:rPr>
        <w:t>页面</w:t>
      </w:r>
      <w:r>
        <w:rPr>
          <w:rFonts w:hint="eastAsia" w:ascii="仿宋" w:hAnsi="仿宋" w:eastAsia="仿宋" w:cs="仿宋"/>
          <w:b w:val="0"/>
          <w:bCs w:val="0"/>
          <w:sz w:val="24"/>
          <w:szCs w:val="24"/>
          <w:lang w:val="zh-TW" w:eastAsia="zh-TW"/>
        </w:rPr>
        <w:t>截图</w:t>
      </w:r>
      <w:r>
        <w:rPr>
          <w:rFonts w:hint="eastAsia" w:ascii="仿宋" w:hAnsi="仿宋" w:eastAsia="仿宋" w:cs="仿宋"/>
          <w:b w:val="0"/>
          <w:bCs w:val="0"/>
          <w:sz w:val="24"/>
          <w:szCs w:val="24"/>
          <w:lang w:val="zh-TW"/>
        </w:rPr>
        <w:t>等资料</w:t>
      </w:r>
      <w:r>
        <w:rPr>
          <w:rFonts w:hint="eastAsia" w:ascii="仿宋" w:hAnsi="仿宋" w:eastAsia="仿宋" w:cs="仿宋"/>
          <w:b w:val="0"/>
          <w:bCs w:val="0"/>
          <w:sz w:val="24"/>
          <w:szCs w:val="24"/>
          <w:lang w:val="zh-TW" w:eastAsia="zh-TW"/>
        </w:rPr>
        <w:t>）</w:t>
      </w:r>
    </w:p>
    <w:p w14:paraId="7D420B59">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4.3考试管理中的其他操作说明</w:t>
      </w:r>
    </w:p>
    <w:p w14:paraId="33E35F5D">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①取消考试：已经创建但是未到达考试时间的考试可以点击“取消考试”取消本场考试；</w:t>
      </w:r>
    </w:p>
    <w:p w14:paraId="7250C0F9">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②重启考试：取消的考试可以点击“重启考试”重新打开，但是重启的考试的试卷发放时间必须要晚于重启时间；</w:t>
      </w:r>
    </w:p>
    <w:p w14:paraId="686E2AE2">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③删除考试：未开始的考试可以删除，进行中以及已结束的考试不可删除；</w:t>
      </w:r>
    </w:p>
    <w:p w14:paraId="5C4A5F6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4.4批改试卷</w:t>
      </w:r>
    </w:p>
    <w:p w14:paraId="511ECDDA">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zh-TW" w:eastAsia="zh-TW"/>
        </w:rPr>
        <w:t>学生在web端提交考试后，教师可“待我批改”中查看学生试卷，点击列表中的“详情”，进入该考试的待批改名单，点击“批改”，查看该学生的试卷详情，进行批改。支持主观题自动判分或手动判分，客观题自动判分。支持教师对客观题的分数进行手动修改。（提供</w:t>
      </w:r>
      <w:r>
        <w:rPr>
          <w:rFonts w:hint="eastAsia" w:ascii="仿宋" w:hAnsi="仿宋" w:eastAsia="仿宋" w:cs="仿宋"/>
          <w:b w:val="0"/>
          <w:bCs w:val="0"/>
          <w:sz w:val="24"/>
          <w:szCs w:val="24"/>
          <w:lang w:val="zh-TW"/>
        </w:rPr>
        <w:t>产品佐证材料，如</w:t>
      </w:r>
      <w:r>
        <w:rPr>
          <w:rFonts w:hint="eastAsia" w:ascii="仿宋" w:hAnsi="仿宋" w:eastAsia="仿宋" w:cs="仿宋"/>
          <w:b w:val="0"/>
          <w:bCs w:val="0"/>
          <w:sz w:val="24"/>
          <w:szCs w:val="24"/>
          <w:lang w:val="zh-TW" w:eastAsia="zh-TW"/>
        </w:rPr>
        <w:t>产品</w:t>
      </w:r>
      <w:r>
        <w:rPr>
          <w:rFonts w:hint="eastAsia" w:ascii="仿宋" w:hAnsi="仿宋" w:eastAsia="仿宋" w:cs="仿宋"/>
          <w:b w:val="0"/>
          <w:bCs w:val="0"/>
          <w:sz w:val="24"/>
          <w:szCs w:val="24"/>
          <w:lang w:val="zh-TW"/>
        </w:rPr>
        <w:t>页面</w:t>
      </w:r>
      <w:r>
        <w:rPr>
          <w:rFonts w:hint="eastAsia" w:ascii="仿宋" w:hAnsi="仿宋" w:eastAsia="仿宋" w:cs="仿宋"/>
          <w:b w:val="0"/>
          <w:bCs w:val="0"/>
          <w:sz w:val="24"/>
          <w:szCs w:val="24"/>
          <w:lang w:val="zh-TW" w:eastAsia="zh-TW"/>
        </w:rPr>
        <w:t>截图</w:t>
      </w:r>
      <w:r>
        <w:rPr>
          <w:rFonts w:hint="eastAsia" w:ascii="仿宋" w:hAnsi="仿宋" w:eastAsia="仿宋" w:cs="仿宋"/>
          <w:b w:val="0"/>
          <w:bCs w:val="0"/>
          <w:sz w:val="24"/>
          <w:szCs w:val="24"/>
          <w:lang w:val="zh-TW"/>
        </w:rPr>
        <w:t>等资料</w:t>
      </w:r>
      <w:r>
        <w:rPr>
          <w:rFonts w:hint="eastAsia" w:ascii="仿宋" w:hAnsi="仿宋" w:eastAsia="仿宋" w:cs="仿宋"/>
          <w:b w:val="0"/>
          <w:bCs w:val="0"/>
          <w:sz w:val="24"/>
          <w:szCs w:val="24"/>
          <w:lang w:val="zh-TW" w:eastAsia="zh-TW"/>
        </w:rPr>
        <w:t>）</w:t>
      </w:r>
    </w:p>
    <w:p w14:paraId="42D51D30">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4.5发布成绩</w:t>
      </w:r>
    </w:p>
    <w:p w14:paraId="743C1D55">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zh-TW" w:eastAsia="zh-TW"/>
        </w:rPr>
        <w:t>已经批改完成的试卷在“我已批改”列表中展示。支持查看已经批改完成的试卷及排名；点击“发布成绩”，学生可在web端看到自己的成绩；点击成绩统计功能，查看本场考试的成绩统计数据</w:t>
      </w:r>
      <w:r>
        <w:rPr>
          <w:rFonts w:hint="eastAsia" w:ascii="仿宋" w:hAnsi="仿宋" w:eastAsia="仿宋" w:cs="仿宋"/>
          <w:b w:val="0"/>
          <w:bCs w:val="0"/>
          <w:sz w:val="24"/>
          <w:szCs w:val="24"/>
          <w:lang w:val="zh-TW"/>
        </w:rPr>
        <w:t>。</w:t>
      </w:r>
      <w:r>
        <w:rPr>
          <w:rFonts w:hint="eastAsia" w:ascii="仿宋" w:hAnsi="仿宋" w:eastAsia="仿宋" w:cs="仿宋"/>
          <w:b w:val="0"/>
          <w:bCs w:val="0"/>
          <w:sz w:val="24"/>
          <w:szCs w:val="24"/>
          <w:lang w:val="zh-TW" w:eastAsia="zh-TW"/>
        </w:rPr>
        <w:t>（提供</w:t>
      </w:r>
      <w:r>
        <w:rPr>
          <w:rFonts w:hint="eastAsia" w:ascii="仿宋" w:hAnsi="仿宋" w:eastAsia="仿宋" w:cs="仿宋"/>
          <w:b w:val="0"/>
          <w:bCs w:val="0"/>
          <w:sz w:val="24"/>
          <w:szCs w:val="24"/>
          <w:lang w:val="zh-TW"/>
        </w:rPr>
        <w:t>产品佐证材料，如</w:t>
      </w:r>
      <w:r>
        <w:rPr>
          <w:rFonts w:hint="eastAsia" w:ascii="仿宋" w:hAnsi="仿宋" w:eastAsia="仿宋" w:cs="仿宋"/>
          <w:b w:val="0"/>
          <w:bCs w:val="0"/>
          <w:sz w:val="24"/>
          <w:szCs w:val="24"/>
          <w:lang w:val="zh-TW" w:eastAsia="zh-TW"/>
        </w:rPr>
        <w:t>产品</w:t>
      </w:r>
      <w:r>
        <w:rPr>
          <w:rFonts w:hint="eastAsia" w:ascii="仿宋" w:hAnsi="仿宋" w:eastAsia="仿宋" w:cs="仿宋"/>
          <w:b w:val="0"/>
          <w:bCs w:val="0"/>
          <w:sz w:val="24"/>
          <w:szCs w:val="24"/>
          <w:lang w:val="zh-TW"/>
        </w:rPr>
        <w:t>页面</w:t>
      </w:r>
      <w:r>
        <w:rPr>
          <w:rFonts w:hint="eastAsia" w:ascii="仿宋" w:hAnsi="仿宋" w:eastAsia="仿宋" w:cs="仿宋"/>
          <w:b w:val="0"/>
          <w:bCs w:val="0"/>
          <w:sz w:val="24"/>
          <w:szCs w:val="24"/>
          <w:lang w:val="zh-TW" w:eastAsia="zh-TW"/>
        </w:rPr>
        <w:t>截图</w:t>
      </w:r>
      <w:r>
        <w:rPr>
          <w:rFonts w:hint="eastAsia" w:ascii="仿宋" w:hAnsi="仿宋" w:eastAsia="仿宋" w:cs="仿宋"/>
          <w:b w:val="0"/>
          <w:bCs w:val="0"/>
          <w:sz w:val="24"/>
          <w:szCs w:val="24"/>
          <w:lang w:val="zh-TW"/>
        </w:rPr>
        <w:t>等资料</w:t>
      </w:r>
      <w:r>
        <w:rPr>
          <w:rFonts w:hint="eastAsia" w:ascii="仿宋" w:hAnsi="仿宋" w:eastAsia="仿宋" w:cs="仿宋"/>
          <w:b w:val="0"/>
          <w:bCs w:val="0"/>
          <w:sz w:val="24"/>
          <w:szCs w:val="24"/>
          <w:lang w:val="zh-TW" w:eastAsia="zh-TW"/>
        </w:rPr>
        <w:t>）</w:t>
      </w:r>
    </w:p>
    <w:p w14:paraId="73ED5AB9">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4.6成绩复核</w:t>
      </w:r>
    </w:p>
    <w:p w14:paraId="3B33230E">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zh-TW" w:eastAsia="zh-TW"/>
        </w:rPr>
        <w:t>支持老师或学生对成绩进行复核。点击“成绩复核”，进入试卷批改页面，老师可手动修改题目分数。复核后的成绩不用重新发布即可在学生端同步更新。</w:t>
      </w:r>
    </w:p>
    <w:p w14:paraId="39881F2D">
      <w:pPr>
        <w:pStyle w:val="64"/>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firstLine="561"/>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lang w:val="zh-TW" w:eastAsia="zh-TW"/>
        </w:rPr>
        <w:t>题库管理</w:t>
      </w:r>
    </w:p>
    <w:p w14:paraId="01C5A40F">
      <w:pPr>
        <w:pStyle w:val="64"/>
        <w:pageBreakBefore w:val="0"/>
        <w:kinsoku/>
        <w:wordWrap/>
        <w:overflowPunct/>
        <w:topLinePunct w:val="0"/>
        <w:autoSpaceDE/>
        <w:autoSpaceDN/>
        <w:bidi w:val="0"/>
        <w:spacing w:line="240" w:lineRule="auto"/>
        <w:ind w:firstLine="560"/>
        <w:textAlignment w:val="auto"/>
        <w:rPr>
          <w:rFonts w:hint="eastAsia" w:ascii="仿宋" w:hAnsi="仿宋" w:eastAsia="仿宋" w:cs="仿宋"/>
          <w:b w:val="0"/>
          <w:bCs w:val="0"/>
          <w:sz w:val="24"/>
          <w:szCs w:val="24"/>
          <w:lang w:val="zh-TW" w:eastAsia="zh-TW"/>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lang w:val="zh-TW" w:eastAsia="zh-TW"/>
        </w:rPr>
        <w:t>题库支持教师的题目管理功能，教师创建的试卷中的题目均存储在题库中；支持教师先创建题库，再根据题库中的题目创建试卷；支持题库中的题目按照题目类别分类；题库管理操作步骤与手动编辑考试步骤相同，点击“管理分类”可对现有考试分类进行增删改查操作。（提供</w:t>
      </w:r>
      <w:r>
        <w:rPr>
          <w:rFonts w:hint="eastAsia" w:ascii="仿宋" w:hAnsi="仿宋" w:eastAsia="仿宋" w:cs="仿宋"/>
          <w:b w:val="0"/>
          <w:bCs w:val="0"/>
          <w:sz w:val="24"/>
          <w:szCs w:val="24"/>
          <w:lang w:val="zh-TW"/>
        </w:rPr>
        <w:t>产品佐证材料，如</w:t>
      </w:r>
      <w:r>
        <w:rPr>
          <w:rFonts w:hint="eastAsia" w:ascii="仿宋" w:hAnsi="仿宋" w:eastAsia="仿宋" w:cs="仿宋"/>
          <w:b w:val="0"/>
          <w:bCs w:val="0"/>
          <w:sz w:val="24"/>
          <w:szCs w:val="24"/>
          <w:lang w:val="zh-TW" w:eastAsia="zh-TW"/>
        </w:rPr>
        <w:t>产品</w:t>
      </w:r>
      <w:r>
        <w:rPr>
          <w:rFonts w:hint="eastAsia" w:ascii="仿宋" w:hAnsi="仿宋" w:eastAsia="仿宋" w:cs="仿宋"/>
          <w:b w:val="0"/>
          <w:bCs w:val="0"/>
          <w:sz w:val="24"/>
          <w:szCs w:val="24"/>
          <w:lang w:val="zh-TW"/>
        </w:rPr>
        <w:t>页面</w:t>
      </w:r>
      <w:r>
        <w:rPr>
          <w:rFonts w:hint="eastAsia" w:ascii="仿宋" w:hAnsi="仿宋" w:eastAsia="仿宋" w:cs="仿宋"/>
          <w:b w:val="0"/>
          <w:bCs w:val="0"/>
          <w:sz w:val="24"/>
          <w:szCs w:val="24"/>
          <w:lang w:val="zh-TW" w:eastAsia="zh-TW"/>
        </w:rPr>
        <w:t>截图</w:t>
      </w:r>
      <w:r>
        <w:rPr>
          <w:rFonts w:hint="eastAsia" w:ascii="仿宋" w:hAnsi="仿宋" w:eastAsia="仿宋" w:cs="仿宋"/>
          <w:b w:val="0"/>
          <w:bCs w:val="0"/>
          <w:sz w:val="24"/>
          <w:szCs w:val="24"/>
          <w:lang w:val="zh-TW"/>
        </w:rPr>
        <w:t>等资料</w:t>
      </w:r>
      <w:r>
        <w:rPr>
          <w:rFonts w:hint="eastAsia" w:ascii="仿宋" w:hAnsi="仿宋" w:eastAsia="仿宋" w:cs="仿宋"/>
          <w:b w:val="0"/>
          <w:bCs w:val="0"/>
          <w:sz w:val="24"/>
          <w:szCs w:val="24"/>
          <w:lang w:val="zh-TW" w:eastAsia="zh-TW"/>
        </w:rPr>
        <w:t>）</w:t>
      </w:r>
    </w:p>
    <w:p w14:paraId="5A2014CF">
      <w:pPr>
        <w:pageBreakBefore w:val="0"/>
        <w:widowControl/>
        <w:kinsoku/>
        <w:wordWrap/>
        <w:overflowPunct/>
        <w:topLinePunct w:val="0"/>
        <w:autoSpaceDE/>
        <w:autoSpaceDN/>
        <w:bidi w:val="0"/>
        <w:spacing w:line="240" w:lineRule="auto"/>
        <w:ind w:firstLine="640"/>
        <w:textAlignment w:val="auto"/>
        <w:rPr>
          <w:rFonts w:eastAsia="PMingLiU"/>
          <w:b w:val="0"/>
          <w:bCs w:val="0"/>
          <w:sz w:val="24"/>
          <w:szCs w:val="24"/>
          <w:lang w:val="zh-TW" w:eastAsia="zh-TW" w:bidi="zh-TW"/>
        </w:rPr>
      </w:pPr>
      <w:r>
        <w:rPr>
          <w:rFonts w:eastAsia="仿宋"/>
          <w:b w:val="0"/>
          <w:bCs w:val="0"/>
          <w:sz w:val="24"/>
          <w:szCs w:val="24"/>
          <w:lang w:val="zh-TW" w:eastAsia="zh-TW" w:bidi="zh-TW"/>
        </w:rPr>
        <w:t>2.</w:t>
      </w:r>
      <w:r>
        <w:rPr>
          <w:rFonts w:hint="eastAsia" w:eastAsia="仿宋"/>
          <w:b w:val="0"/>
          <w:bCs w:val="0"/>
          <w:sz w:val="24"/>
          <w:szCs w:val="24"/>
          <w:lang w:val="zh-TW" w:eastAsia="zh-TW" w:bidi="zh-TW"/>
        </w:rPr>
        <w:t>人工智能深度学习应用技术竞赛资源包</w:t>
      </w:r>
      <w:r>
        <w:rPr>
          <w:rFonts w:eastAsia="仿宋"/>
          <w:b w:val="0"/>
          <w:bCs w:val="0"/>
          <w:sz w:val="24"/>
          <w:szCs w:val="24"/>
          <w:lang w:val="zh-TW" w:eastAsia="zh-TW" w:bidi="zh-TW"/>
        </w:rPr>
        <w:t>（</w:t>
      </w:r>
      <w:r>
        <w:rPr>
          <w:rFonts w:hint="eastAsia" w:eastAsia="仿宋"/>
          <w:b w:val="0"/>
          <w:bCs w:val="0"/>
          <w:sz w:val="24"/>
          <w:szCs w:val="24"/>
          <w:lang w:val="zh-TW" w:eastAsia="zh-TW" w:bidi="zh-TW"/>
        </w:rPr>
        <w:t>人工智能课程资源软件V1.0</w:t>
      </w:r>
      <w:r>
        <w:rPr>
          <w:rFonts w:eastAsia="仿宋"/>
          <w:b w:val="0"/>
          <w:bCs w:val="0"/>
          <w:sz w:val="24"/>
          <w:szCs w:val="24"/>
          <w:lang w:val="zh-TW" w:eastAsia="zh-TW" w:bidi="zh-TW"/>
        </w:rPr>
        <w:t>），数量：1套</w:t>
      </w:r>
    </w:p>
    <w:p w14:paraId="2D63C827">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案例资源包提供样题、真题相关的案例代码和相关数据集，包括以下案例：</w:t>
      </w:r>
    </w:p>
    <w:p w14:paraId="4EACE52F">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（1）人工智能实训案例资源</w:t>
      </w:r>
    </w:p>
    <w:p w14:paraId="0CBAE0CD">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项目一：基于opencv的图像基本处理</w:t>
      </w:r>
    </w:p>
    <w:p w14:paraId="5B7B96DF">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项目二：车牌边缘检测与轮廓提取</w:t>
      </w:r>
    </w:p>
    <w:p w14:paraId="5B6B92A9">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项目三：基于卷积神经网络的cifar-10图像分类</w:t>
      </w:r>
    </w:p>
    <w:p w14:paraId="5F7D83F0">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项目四：卷积神经网络猫狗图像分类</w:t>
      </w:r>
    </w:p>
    <w:p w14:paraId="003FE0EB">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项目五：基于循环神经网络的酒店评价情感分析</w:t>
      </w:r>
    </w:p>
    <w:p w14:paraId="66D3D0B3">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项目六：基于KNN算法的人脸识别</w:t>
      </w:r>
    </w:p>
    <w:p w14:paraId="704EF6AE">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项目七：卷积神经网络人脸情绪识别</w:t>
      </w:r>
    </w:p>
    <w:p w14:paraId="4D857EE6">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项目八：图像语义分割案例开发</w:t>
      </w:r>
    </w:p>
    <w:p w14:paraId="69FE9A8D">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（2）人工智能技术应用赛项样题</w:t>
      </w:r>
    </w:p>
    <w:p w14:paraId="29354320">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模块A：图像处理技术</w:t>
      </w:r>
    </w:p>
    <w:p w14:paraId="2ADC2E26">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案例一：OpenCV图像基本处理</w:t>
      </w:r>
    </w:p>
    <w:p w14:paraId="4D723E54">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案例二：OpenCV行人检测</w:t>
      </w:r>
    </w:p>
    <w:p w14:paraId="56236CA8">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案例三：图形检测</w:t>
      </w:r>
    </w:p>
    <w:p w14:paraId="2C6BE20F">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案例四：站台数量统计，</w:t>
      </w:r>
    </w:p>
    <w:p w14:paraId="324AD1B5">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模块B:机器学习算法应用</w:t>
      </w:r>
    </w:p>
    <w:p w14:paraId="589326EA">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案例一：KNN人脸识别鸢尾花图像分类</w:t>
      </w:r>
    </w:p>
    <w:p w14:paraId="4C0419FE">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案例二：数据预处理及数据的特征工程</w:t>
      </w:r>
    </w:p>
    <w:p w14:paraId="0E8AE38E">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案例三：PCA数据降维</w:t>
      </w:r>
    </w:p>
    <w:p w14:paraId="58905E90">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模块C:深度学习技术应用</w:t>
      </w:r>
    </w:p>
    <w:p w14:paraId="5227455A">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案例一：CIFAR-10图像分类</w:t>
      </w:r>
    </w:p>
    <w:p w14:paraId="059F2368">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案例二：图像语义分割猫狗识别案例</w:t>
      </w:r>
    </w:p>
    <w:p w14:paraId="6F08E2FE">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模块D:自然语言处理应用开发</w:t>
      </w:r>
    </w:p>
    <w:p w14:paraId="49085499">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案例一、酒店评价情感分析LSTM实现新闻分类</w:t>
      </w:r>
    </w:p>
    <w:p w14:paraId="04990596">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（3）人工智能技术应用赛项真题案例库</w:t>
      </w:r>
    </w:p>
    <w:p w14:paraId="5409296B">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案例01:OpenCV图像基本处理(Case 01 Basic Image Processing with OpenCV)</w:t>
      </w:r>
    </w:p>
    <w:p w14:paraId="5A8318BC">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案例02:OpenCV行人检测 (Case 02 Pedestrian Detection Using OpencV)</w:t>
      </w:r>
    </w:p>
    <w:p w14:paraId="433604DC">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案例03:车道线检测(Case 03 Lane Line Detection)</w:t>
      </w:r>
    </w:p>
    <w:p w14:paraId="1BC72BC5">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案例04：基于LeNet-5的Fashion_MNIST图像分类（Case 04 Fashion_MNIST Image Classification Based on LeNet-5）</w:t>
      </w:r>
    </w:p>
    <w:p w14:paraId="5532101B">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案例05：卫星图像分类（Case 05 Satellite-image-classification）</w:t>
      </w:r>
    </w:p>
    <w:p w14:paraId="28A1194E">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案例06:人脸情绪识别(Case 06 Facial Emotion Recognition)</w:t>
      </w:r>
    </w:p>
    <w:p w14:paraId="29A943DC">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 xml:space="preserve">案例07:猫狗图像分类(Case 07 Cat vs.Dog Image Classification) </w:t>
      </w:r>
    </w:p>
    <w:p w14:paraId="490A0759">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案例08:电影评论情感分析(Case 08 Sentiment Analysis of Movie Reviews)</w:t>
      </w:r>
    </w:p>
    <w:p w14:paraId="3862A022">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案例09:新闻摘要生成(Case 09 News Summarization Generation)</w:t>
      </w:r>
    </w:p>
    <w:p w14:paraId="5DB26D43">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案例10:泰坦尼克号生存预测(Case 10 Titanic Survival Prediction)</w:t>
      </w:r>
    </w:p>
    <w:p w14:paraId="175BA0AE">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案例11：基于KNN和face_recognition的人脸识别（Case 11 Face Recognition Based on KNN and face_recognition）</w:t>
      </w:r>
    </w:p>
    <w:p w14:paraId="4FCFA029">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bidi="zh-TW"/>
        </w:rPr>
      </w:pPr>
      <w:r>
        <w:rPr>
          <w:rFonts w:hint="eastAsia" w:eastAsia="仿宋"/>
          <w:b w:val="0"/>
          <w:bCs w:val="0"/>
          <w:sz w:val="24"/>
          <w:szCs w:val="24"/>
          <w:lang w:bidi="zh-TW"/>
        </w:rPr>
        <w:t>▲提供案例代码、相关数据集不少于5张内容截图</w:t>
      </w:r>
    </w:p>
    <w:p w14:paraId="5ACA799D">
      <w:pPr>
        <w:pageBreakBefore w:val="0"/>
        <w:widowControl/>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3.《人工智能深度学习应用开发》课程资源（人工智能课程资源软件V1.0），数量：1套</w:t>
      </w:r>
    </w:p>
    <w:p w14:paraId="464A0D40">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本课程为基于TensorFlow框架的深度学习基础与AI项目开发实践课程，从基本原理知识开始学习，到经典的深度学习项目实践，让你轻松理解深度学习基础知识，掌握基于深度学习理论进行AI项目开发实践技能。课程内容包括神经网络与深度学习、TensorFlow基础、全连接神经网络、卷积神经网络、TensorFlow项目实践、回归问题、分类问题、迁移学习。</w:t>
      </w:r>
    </w:p>
    <w:p w14:paraId="1222CCAA">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课程内容如下：</w:t>
      </w:r>
    </w:p>
    <w:tbl>
      <w:tblPr>
        <w:tblStyle w:val="40"/>
        <w:tblW w:w="5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1"/>
        <w:gridCol w:w="6047"/>
      </w:tblGrid>
      <w:tr w14:paraId="3B4D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63" w:type="pct"/>
            <w:noWrap w:val="0"/>
            <w:vAlign w:val="center"/>
          </w:tcPr>
          <w:p w14:paraId="5CA7623E">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序号</w:t>
            </w:r>
          </w:p>
        </w:tc>
        <w:tc>
          <w:tcPr>
            <w:tcW w:w="3436" w:type="pct"/>
            <w:noWrap w:val="0"/>
            <w:vAlign w:val="center"/>
          </w:tcPr>
          <w:p w14:paraId="3E43F13E">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章节</w:t>
            </w:r>
          </w:p>
        </w:tc>
      </w:tr>
      <w:tr w14:paraId="7E38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63" w:type="pct"/>
            <w:noWrap w:val="0"/>
            <w:vAlign w:val="center"/>
          </w:tcPr>
          <w:p w14:paraId="55224272">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第一章</w:t>
            </w:r>
          </w:p>
        </w:tc>
        <w:tc>
          <w:tcPr>
            <w:tcW w:w="3436" w:type="pct"/>
            <w:noWrap w:val="0"/>
            <w:vAlign w:val="center"/>
          </w:tcPr>
          <w:p w14:paraId="2EA58C7A">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深度学习绪论</w:t>
            </w:r>
          </w:p>
        </w:tc>
      </w:tr>
      <w:tr w14:paraId="7706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63" w:type="pct"/>
            <w:noWrap w:val="0"/>
            <w:vAlign w:val="center"/>
          </w:tcPr>
          <w:p w14:paraId="3177E536">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第二章</w:t>
            </w:r>
          </w:p>
        </w:tc>
        <w:tc>
          <w:tcPr>
            <w:tcW w:w="3436" w:type="pct"/>
            <w:noWrap w:val="0"/>
            <w:vAlign w:val="center"/>
          </w:tcPr>
          <w:p w14:paraId="587ACA63">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TensorFlow2.0介绍</w:t>
            </w:r>
          </w:p>
        </w:tc>
      </w:tr>
      <w:tr w14:paraId="7212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63" w:type="pct"/>
            <w:noWrap w:val="0"/>
            <w:vAlign w:val="center"/>
          </w:tcPr>
          <w:p w14:paraId="3D7736F1">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第三章</w:t>
            </w:r>
          </w:p>
        </w:tc>
        <w:tc>
          <w:tcPr>
            <w:tcW w:w="3436" w:type="pct"/>
            <w:noWrap w:val="0"/>
            <w:vAlign w:val="center"/>
          </w:tcPr>
          <w:p w14:paraId="68380320">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Keras--TensorFlow的高级API</w:t>
            </w:r>
          </w:p>
        </w:tc>
      </w:tr>
      <w:tr w14:paraId="27F6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63" w:type="pct"/>
            <w:noWrap w:val="0"/>
            <w:vAlign w:val="center"/>
          </w:tcPr>
          <w:p w14:paraId="617CBC61">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第四章</w:t>
            </w:r>
          </w:p>
        </w:tc>
        <w:tc>
          <w:tcPr>
            <w:tcW w:w="3436" w:type="pct"/>
            <w:noWrap w:val="0"/>
            <w:vAlign w:val="center"/>
          </w:tcPr>
          <w:p w14:paraId="5C3ED522">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神经网络</w:t>
            </w:r>
          </w:p>
        </w:tc>
      </w:tr>
      <w:tr w14:paraId="09BF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63" w:type="pct"/>
            <w:noWrap w:val="0"/>
            <w:vAlign w:val="center"/>
          </w:tcPr>
          <w:p w14:paraId="4D8BB747">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第五章</w:t>
            </w:r>
          </w:p>
        </w:tc>
        <w:tc>
          <w:tcPr>
            <w:tcW w:w="3436" w:type="pct"/>
            <w:noWrap w:val="0"/>
            <w:vAlign w:val="center"/>
          </w:tcPr>
          <w:p w14:paraId="2E896003">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回归问题</w:t>
            </w:r>
          </w:p>
        </w:tc>
      </w:tr>
      <w:tr w14:paraId="690E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63" w:type="pct"/>
            <w:noWrap w:val="0"/>
            <w:vAlign w:val="center"/>
          </w:tcPr>
          <w:p w14:paraId="7B216D23">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第六章</w:t>
            </w:r>
          </w:p>
        </w:tc>
        <w:tc>
          <w:tcPr>
            <w:tcW w:w="3436" w:type="pct"/>
            <w:noWrap w:val="0"/>
            <w:vAlign w:val="center"/>
          </w:tcPr>
          <w:p w14:paraId="4065A45B">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图像分类</w:t>
            </w:r>
          </w:p>
        </w:tc>
      </w:tr>
      <w:tr w14:paraId="03A5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563" w:type="pct"/>
            <w:noWrap w:val="0"/>
            <w:vAlign w:val="center"/>
          </w:tcPr>
          <w:p w14:paraId="5175D83A">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第七章</w:t>
            </w:r>
          </w:p>
        </w:tc>
        <w:tc>
          <w:tcPr>
            <w:tcW w:w="3436" w:type="pct"/>
            <w:noWrap w:val="0"/>
            <w:vAlign w:val="center"/>
          </w:tcPr>
          <w:p w14:paraId="26862C2F">
            <w:pPr>
              <w:pageBreakBefore w:val="0"/>
              <w:widowControl/>
              <w:kinsoku/>
              <w:wordWrap/>
              <w:overflowPunct/>
              <w:topLinePunct w:val="0"/>
              <w:autoSpaceDE/>
              <w:autoSpaceDN/>
              <w:bidi w:val="0"/>
              <w:spacing w:line="240" w:lineRule="auto"/>
              <w:jc w:val="center"/>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迁移学习</w:t>
            </w:r>
          </w:p>
        </w:tc>
      </w:tr>
    </w:tbl>
    <w:p w14:paraId="34B606E6">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en-US" w:bidi="zh-TW"/>
        </w:rPr>
      </w:pPr>
      <w:r>
        <w:rPr>
          <w:rFonts w:hint="eastAsia" w:eastAsia="仿宋"/>
          <w:b w:val="0"/>
          <w:bCs w:val="0"/>
          <w:sz w:val="24"/>
          <w:szCs w:val="24"/>
          <w:lang w:val="zh-TW" w:eastAsia="en-US" w:bidi="zh-TW"/>
        </w:rPr>
        <w:t>课程实训案例清单：</w:t>
      </w:r>
    </w:p>
    <w:p w14:paraId="2EFBA23A">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实验一：开发环境的安装</w:t>
      </w:r>
    </w:p>
    <w:p w14:paraId="0CA745C7">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实验二：Tensorflow优化程序</w:t>
      </w:r>
    </w:p>
    <w:p w14:paraId="24B5743C">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实验三：基于TensorFlow框架的线性回归实现</w:t>
      </w:r>
    </w:p>
    <w:p w14:paraId="78402875">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实验四：基于Keras框架的花朵图像分类实现</w:t>
      </w:r>
    </w:p>
    <w:p w14:paraId="6CC7CC85">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实验五：基于全连接神经网络的MNIST手写数字识别实现</w:t>
      </w:r>
    </w:p>
    <w:p w14:paraId="3B89D448">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实验六：基于LeNet-5的手写数字识别实现</w:t>
      </w:r>
    </w:p>
    <w:p w14:paraId="4F368D08">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实验七：汽车燃油效率预测</w:t>
      </w:r>
    </w:p>
    <w:p w14:paraId="7DF64C4B">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实验八：房价预测模型搭建</w:t>
      </w:r>
    </w:p>
    <w:p w14:paraId="6D464DA1">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实验九：基于卷积神经网络的猫狗图像分类</w:t>
      </w:r>
    </w:p>
    <w:p w14:paraId="53358979">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实验十：基于卷积神经网络的CIFAR-10图像分类</w:t>
      </w:r>
    </w:p>
    <w:p w14:paraId="41C39FA4">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val="zh-TW" w:eastAsia="zh-TW" w:bidi="zh-TW"/>
        </w:rPr>
        <w:t>实验十一：基于迁移学习的猫狗图像分类</w:t>
      </w:r>
    </w:p>
    <w:p w14:paraId="3683988C">
      <w:pPr>
        <w:pageBreakBefore w:val="0"/>
        <w:widowControl/>
        <w:kinsoku/>
        <w:wordWrap/>
        <w:overflowPunct/>
        <w:topLinePunct w:val="0"/>
        <w:autoSpaceDE/>
        <w:autoSpaceDN/>
        <w:bidi w:val="0"/>
        <w:spacing w:line="240" w:lineRule="auto"/>
        <w:ind w:firstLine="640"/>
        <w:textAlignment w:val="auto"/>
        <w:rPr>
          <w:rFonts w:hint="eastAsia" w:eastAsia="仿宋"/>
          <w:b w:val="0"/>
          <w:bCs w:val="0"/>
          <w:sz w:val="24"/>
          <w:szCs w:val="24"/>
          <w:lang w:val="zh-TW" w:eastAsia="zh-TW" w:bidi="zh-TW"/>
        </w:rPr>
      </w:pPr>
      <w:r>
        <w:rPr>
          <w:rFonts w:hint="eastAsia" w:eastAsia="仿宋"/>
          <w:b w:val="0"/>
          <w:bCs w:val="0"/>
          <w:sz w:val="24"/>
          <w:szCs w:val="24"/>
          <w:lang w:bidi="zh-TW"/>
        </w:rPr>
        <w:t>▲</w:t>
      </w:r>
      <w:r>
        <w:rPr>
          <w:rFonts w:hint="eastAsia" w:eastAsia="仿宋"/>
          <w:b w:val="0"/>
          <w:bCs w:val="0"/>
          <w:sz w:val="24"/>
          <w:szCs w:val="24"/>
          <w:lang w:val="zh-TW" w:eastAsia="zh-TW" w:bidi="zh-TW"/>
        </w:rPr>
        <w:t>提供课程大纲、教学日志等配套资源不少于</w:t>
      </w:r>
      <w:r>
        <w:rPr>
          <w:rFonts w:hint="eastAsia" w:eastAsia="仿宋"/>
          <w:b w:val="0"/>
          <w:bCs w:val="0"/>
          <w:sz w:val="24"/>
          <w:szCs w:val="24"/>
          <w:lang w:bidi="zh-TW"/>
        </w:rPr>
        <w:t>5</w:t>
      </w:r>
      <w:r>
        <w:rPr>
          <w:rFonts w:hint="eastAsia" w:eastAsia="仿宋"/>
          <w:b w:val="0"/>
          <w:bCs w:val="0"/>
          <w:sz w:val="24"/>
          <w:szCs w:val="24"/>
          <w:lang w:val="zh-TW" w:eastAsia="zh-TW" w:bidi="zh-TW"/>
        </w:rPr>
        <w:t>张内容截图</w:t>
      </w:r>
    </w:p>
    <w:p w14:paraId="0AE2E1DB">
      <w:pPr>
        <w:pageBreakBefore w:val="0"/>
        <w:widowControl/>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4.《计算机视觉应用开发》课程资源（人工智能课程资源软件V1.0），数量：1套</w:t>
      </w:r>
    </w:p>
    <w:p w14:paraId="7718A091">
      <w:pPr>
        <w:pStyle w:val="70"/>
        <w:pageBreakBefore w:val="0"/>
        <w:kinsoku/>
        <w:wordWrap/>
        <w:overflowPunct/>
        <w:topLinePunct w:val="0"/>
        <w:autoSpaceDE/>
        <w:autoSpaceDN/>
        <w:bidi w:val="0"/>
        <w:spacing w:line="240" w:lineRule="auto"/>
        <w:ind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本课程从计算机视觉初学者的视角出发，以Python及其相关框架为工具，以实战为导向，系统的讲述了计算机视觉中关于图像以及多种图像处理的基本概念、理论方法和经典算法，既有对图像基础知识的介绍，也有对现实中的问题的解决方案和技术的详细阐述。通过利用计算机视觉中图像变换算法解决图像分类、图像增强、图像语义分割、图像风格迁移、图像超分辨率重建和场景文字识别等现实问题，使得读者既能了解图像的多种操作原理，又能学会解决实际问题的思路和方法，提高使用计算机视觉方法的能力。本课程适合各类职业院校计算机视觉及相关专业学生学习，也可以作为计算机视觉初学者的入门基础课程。</w:t>
      </w:r>
    </w:p>
    <w:p w14:paraId="2BCE0496">
      <w:pPr>
        <w:pStyle w:val="70"/>
        <w:pageBreakBefore w:val="0"/>
        <w:kinsoku/>
        <w:wordWrap/>
        <w:overflowPunct/>
        <w:topLinePunct w:val="0"/>
        <w:autoSpaceDE/>
        <w:autoSpaceDN/>
        <w:bidi w:val="0"/>
        <w:spacing w:line="240" w:lineRule="auto"/>
        <w:ind w:left="840" w:firstLine="480" w:firstLineChars="200"/>
        <w:textAlignment w:val="auto"/>
        <w:rPr>
          <w:rFonts w:hint="eastAsia"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课程内容如下：</w:t>
      </w:r>
    </w:p>
    <w:tbl>
      <w:tblPr>
        <w:tblStyle w:val="40"/>
        <w:tblW w:w="46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0"/>
        <w:gridCol w:w="4873"/>
      </w:tblGrid>
      <w:tr w14:paraId="6F2B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67F84D65">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序号</w:t>
            </w:r>
          </w:p>
        </w:tc>
        <w:tc>
          <w:tcPr>
            <w:tcW w:w="3060" w:type="pct"/>
            <w:noWrap w:val="0"/>
            <w:vAlign w:val="center"/>
          </w:tcPr>
          <w:p w14:paraId="079BEF39">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章节</w:t>
            </w:r>
          </w:p>
        </w:tc>
      </w:tr>
      <w:tr w14:paraId="120F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6D377F7F">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第一章</w:t>
            </w:r>
          </w:p>
        </w:tc>
        <w:tc>
          <w:tcPr>
            <w:tcW w:w="3060" w:type="pct"/>
            <w:noWrap w:val="0"/>
            <w:vAlign w:val="center"/>
          </w:tcPr>
          <w:p w14:paraId="7A3A2D25">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图像基础</w:t>
            </w:r>
          </w:p>
        </w:tc>
      </w:tr>
      <w:tr w14:paraId="5DA7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662CF894">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第二章</w:t>
            </w:r>
          </w:p>
        </w:tc>
        <w:tc>
          <w:tcPr>
            <w:tcW w:w="3060" w:type="pct"/>
            <w:noWrap w:val="0"/>
            <w:vAlign w:val="center"/>
          </w:tcPr>
          <w:p w14:paraId="5FC706D7">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图像分类</w:t>
            </w:r>
          </w:p>
        </w:tc>
      </w:tr>
      <w:tr w14:paraId="1A8A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4A6785DF">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第三章</w:t>
            </w:r>
          </w:p>
        </w:tc>
        <w:tc>
          <w:tcPr>
            <w:tcW w:w="3060" w:type="pct"/>
            <w:noWrap w:val="0"/>
            <w:vAlign w:val="center"/>
          </w:tcPr>
          <w:p w14:paraId="119FC4ED">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人脸识别</w:t>
            </w:r>
          </w:p>
        </w:tc>
      </w:tr>
      <w:tr w14:paraId="383D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6D89FF72">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第四章</w:t>
            </w:r>
          </w:p>
        </w:tc>
        <w:tc>
          <w:tcPr>
            <w:tcW w:w="3060" w:type="pct"/>
            <w:noWrap w:val="0"/>
            <w:vAlign w:val="center"/>
          </w:tcPr>
          <w:p w14:paraId="741160E4">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图像增强</w:t>
            </w:r>
          </w:p>
        </w:tc>
      </w:tr>
      <w:tr w14:paraId="6C3F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75B67AD8">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第五章</w:t>
            </w:r>
          </w:p>
        </w:tc>
        <w:tc>
          <w:tcPr>
            <w:tcW w:w="3060" w:type="pct"/>
            <w:noWrap w:val="0"/>
            <w:vAlign w:val="center"/>
          </w:tcPr>
          <w:p w14:paraId="3700C052">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图像语义分割</w:t>
            </w:r>
          </w:p>
        </w:tc>
      </w:tr>
      <w:tr w14:paraId="51CC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1516E509">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第六章</w:t>
            </w:r>
          </w:p>
        </w:tc>
        <w:tc>
          <w:tcPr>
            <w:tcW w:w="3060" w:type="pct"/>
            <w:noWrap w:val="0"/>
            <w:vAlign w:val="center"/>
          </w:tcPr>
          <w:p w14:paraId="738BDE4D">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图像风格迁移</w:t>
            </w:r>
          </w:p>
        </w:tc>
      </w:tr>
      <w:tr w14:paraId="48D7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26017984">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第七章</w:t>
            </w:r>
          </w:p>
        </w:tc>
        <w:tc>
          <w:tcPr>
            <w:tcW w:w="3060" w:type="pct"/>
            <w:noWrap w:val="0"/>
            <w:vAlign w:val="center"/>
          </w:tcPr>
          <w:p w14:paraId="78CBE8EF">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图像超分辨率重建</w:t>
            </w:r>
          </w:p>
        </w:tc>
      </w:tr>
      <w:tr w14:paraId="4B94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pct"/>
            <w:noWrap w:val="0"/>
            <w:vAlign w:val="center"/>
          </w:tcPr>
          <w:p w14:paraId="797DA851">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第八章</w:t>
            </w:r>
          </w:p>
        </w:tc>
        <w:tc>
          <w:tcPr>
            <w:tcW w:w="3060" w:type="pct"/>
            <w:noWrap w:val="0"/>
            <w:vAlign w:val="center"/>
          </w:tcPr>
          <w:p w14:paraId="45B25881">
            <w:pPr>
              <w:pageBreakBefore w:val="0"/>
              <w:widowControl/>
              <w:kinsoku/>
              <w:wordWrap/>
              <w:overflowPunct/>
              <w:topLinePunct w:val="0"/>
              <w:autoSpaceDE/>
              <w:autoSpaceDN/>
              <w:bidi w:val="0"/>
              <w:spacing w:line="240" w:lineRule="auto"/>
              <w:jc w:val="center"/>
              <w:textAlignment w:val="auto"/>
              <w:rPr>
                <w:rFonts w:eastAsia="仿宋"/>
                <w:b w:val="0"/>
                <w:bCs w:val="0"/>
                <w:sz w:val="24"/>
                <w:szCs w:val="24"/>
                <w:lang w:val="zh-TW" w:eastAsia="en-US" w:bidi="zh-TW"/>
              </w:rPr>
            </w:pPr>
            <w:r>
              <w:rPr>
                <w:rFonts w:eastAsia="仿宋"/>
                <w:b w:val="0"/>
                <w:bCs w:val="0"/>
                <w:sz w:val="24"/>
                <w:szCs w:val="24"/>
                <w:lang w:val="zh-TW" w:eastAsia="en-US" w:bidi="zh-TW"/>
              </w:rPr>
              <w:t>场景文字识别</w:t>
            </w:r>
          </w:p>
        </w:tc>
      </w:tr>
    </w:tbl>
    <w:p w14:paraId="51788C09">
      <w:pPr>
        <w:pStyle w:val="70"/>
        <w:pageBreakBefore w:val="0"/>
        <w:kinsoku/>
        <w:wordWrap/>
        <w:overflowPunct/>
        <w:topLinePunct w:val="0"/>
        <w:autoSpaceDE/>
        <w:autoSpaceDN/>
        <w:bidi w:val="0"/>
        <w:spacing w:line="240" w:lineRule="auto"/>
        <w:ind w:left="0" w:leftChars="0" w:firstLine="0" w:firstLineChars="0"/>
        <w:textAlignment w:val="auto"/>
        <w:rPr>
          <w:rFonts w:ascii="Times New Roman" w:hAnsi="Times New Roman" w:eastAsia="仿宋" w:cs="Times New Roman"/>
          <w:b w:val="0"/>
          <w:bCs w:val="0"/>
          <w:sz w:val="24"/>
          <w:szCs w:val="24"/>
          <w:lang w:eastAsia="en-US"/>
        </w:rPr>
      </w:pPr>
    </w:p>
    <w:p w14:paraId="4ADA0EC9">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en-US"/>
        </w:rPr>
      </w:pPr>
      <w:r>
        <w:rPr>
          <w:rFonts w:ascii="Times New Roman" w:hAnsi="Times New Roman" w:eastAsia="仿宋" w:cs="Times New Roman"/>
          <w:b w:val="0"/>
          <w:bCs w:val="0"/>
          <w:sz w:val="24"/>
          <w:szCs w:val="24"/>
          <w:lang w:eastAsia="zh-CN"/>
        </w:rPr>
        <w:t>课程实训案例清单：</w:t>
      </w:r>
    </w:p>
    <w:p w14:paraId="46E13F51">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实验一：基于卷积神经网络的图像分类</w:t>
      </w:r>
    </w:p>
    <w:p w14:paraId="47F02843">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实验二：基于迁移学习的图像分类</w:t>
      </w:r>
    </w:p>
    <w:p w14:paraId="3586AFC0">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实验三：基于YOLO系列模型的目标检测与优化</w:t>
      </w:r>
    </w:p>
    <w:p w14:paraId="0C09488A">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实验四：基于Haar特征的人脸检测</w:t>
      </w:r>
    </w:p>
    <w:p w14:paraId="358371C8">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实验五：基于Hog特征的人脸检测</w:t>
      </w:r>
    </w:p>
    <w:p w14:paraId="51B677EF">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rPr>
      </w:pPr>
      <w:r>
        <w:rPr>
          <w:rFonts w:ascii="Times New Roman" w:hAnsi="Times New Roman" w:eastAsia="仿宋" w:cs="Times New Roman"/>
          <w:b w:val="0"/>
          <w:bCs w:val="0"/>
          <w:sz w:val="24"/>
          <w:szCs w:val="24"/>
        </w:rPr>
        <w:t>实验六：基于face_recognition的人脸识别</w:t>
      </w:r>
    </w:p>
    <w:p w14:paraId="4674BCE2">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rPr>
      </w:pPr>
      <w:r>
        <w:rPr>
          <w:rFonts w:ascii="Times New Roman" w:hAnsi="Times New Roman" w:eastAsia="仿宋" w:cs="Times New Roman"/>
          <w:b w:val="0"/>
          <w:bCs w:val="0"/>
          <w:sz w:val="24"/>
          <w:szCs w:val="24"/>
        </w:rPr>
        <w:t>实验七：基于mixup/ cutmix算法的图像增强</w:t>
      </w:r>
    </w:p>
    <w:p w14:paraId="26E21CE4">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rPr>
      </w:pPr>
      <w:r>
        <w:rPr>
          <w:rFonts w:ascii="Times New Roman" w:hAnsi="Times New Roman" w:eastAsia="仿宋" w:cs="Times New Roman"/>
          <w:b w:val="0"/>
          <w:bCs w:val="0"/>
          <w:sz w:val="24"/>
          <w:szCs w:val="24"/>
        </w:rPr>
        <w:t>实验八：基于U-Net的图像语义分割</w:t>
      </w:r>
    </w:p>
    <w:p w14:paraId="727BA111">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实验九：基于VGG-19的图像风格迁移</w:t>
      </w:r>
    </w:p>
    <w:p w14:paraId="6D6ECB9C">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实验十：基于CycleGAN的图像风格迁移</w:t>
      </w:r>
    </w:p>
    <w:p w14:paraId="6F664057">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实验十一：基于SRCNN的图像超分辨率重建</w:t>
      </w:r>
    </w:p>
    <w:p w14:paraId="7A654BE8">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实验十二：基于SRGAN的图像超分辨率重建</w:t>
      </w:r>
    </w:p>
    <w:p w14:paraId="360D7E33">
      <w:pPr>
        <w:pStyle w:val="70"/>
        <w:pageBreakBefore w:val="0"/>
        <w:kinsoku/>
        <w:wordWrap/>
        <w:overflowPunct/>
        <w:topLinePunct w:val="0"/>
        <w:autoSpaceDE/>
        <w:autoSpaceDN/>
        <w:bidi w:val="0"/>
        <w:spacing w:line="240" w:lineRule="auto"/>
        <w:ind w:left="840" w:firstLine="480" w:firstLineChars="200"/>
        <w:textAlignment w:val="auto"/>
        <w:rPr>
          <w:rFonts w:ascii="Times New Roman" w:hAnsi="Times New Roman" w:eastAsia="仿宋" w:cs="Times New Roman"/>
          <w:b w:val="0"/>
          <w:bCs w:val="0"/>
          <w:sz w:val="24"/>
          <w:szCs w:val="24"/>
          <w:lang w:eastAsia="zh-CN"/>
        </w:rPr>
      </w:pPr>
      <w:r>
        <w:rPr>
          <w:rFonts w:ascii="Times New Roman" w:hAnsi="Times New Roman" w:eastAsia="仿宋" w:cs="Times New Roman"/>
          <w:b w:val="0"/>
          <w:bCs w:val="0"/>
          <w:sz w:val="24"/>
          <w:szCs w:val="24"/>
          <w:lang w:eastAsia="zh-CN"/>
        </w:rPr>
        <w:t>实验十三：基于LSTM+CTC的文字识别</w:t>
      </w:r>
    </w:p>
    <w:p w14:paraId="6EB41279">
      <w:pPr>
        <w:pStyle w:val="70"/>
        <w:pageBreakBefore w:val="0"/>
        <w:kinsoku/>
        <w:wordWrap/>
        <w:overflowPunct/>
        <w:topLinePunct w:val="0"/>
        <w:autoSpaceDE/>
        <w:autoSpaceDN/>
        <w:bidi w:val="0"/>
        <w:spacing w:line="240" w:lineRule="auto"/>
        <w:ind w:left="840" w:firstLine="0"/>
        <w:textAlignment w:val="auto"/>
        <w:rPr>
          <w:rFonts w:ascii="Times New Roman" w:hAnsi="Times New Roman" w:eastAsia="仿宋" w:cs="Times New Roman"/>
          <w:b w:val="0"/>
          <w:bCs w:val="0"/>
          <w:sz w:val="24"/>
          <w:szCs w:val="24"/>
          <w:lang w:eastAsia="zh-CN"/>
        </w:rPr>
      </w:pPr>
      <w:r>
        <w:rPr>
          <w:rFonts w:hint="eastAsia" w:ascii="Times New Roman" w:hAnsi="Times New Roman" w:eastAsia="仿宋" w:cs="Times New Roman"/>
          <w:b w:val="0"/>
          <w:bCs w:val="0"/>
          <w:sz w:val="24"/>
          <w:szCs w:val="24"/>
          <w:lang w:val="en-US" w:eastAsia="zh-CN"/>
        </w:rPr>
        <w:t>▲</w:t>
      </w:r>
      <w:r>
        <w:rPr>
          <w:rFonts w:hint="eastAsia" w:ascii="Times New Roman" w:hAnsi="Times New Roman" w:eastAsia="仿宋" w:cs="Times New Roman"/>
          <w:b w:val="0"/>
          <w:bCs w:val="0"/>
          <w:sz w:val="24"/>
          <w:szCs w:val="24"/>
          <w:lang w:eastAsia="zh-CN"/>
        </w:rPr>
        <w:t>提供课程大纲、教学日志等配套资源不少于</w:t>
      </w:r>
      <w:r>
        <w:rPr>
          <w:rFonts w:hint="eastAsia" w:ascii="Times New Roman" w:hAnsi="Times New Roman" w:eastAsia="仿宋" w:cs="Times New Roman"/>
          <w:b w:val="0"/>
          <w:bCs w:val="0"/>
          <w:sz w:val="24"/>
          <w:szCs w:val="24"/>
          <w:lang w:val="en-US" w:eastAsia="zh-CN"/>
        </w:rPr>
        <w:t>5</w:t>
      </w:r>
      <w:r>
        <w:rPr>
          <w:rFonts w:hint="eastAsia" w:ascii="Times New Roman" w:hAnsi="Times New Roman" w:eastAsia="仿宋" w:cs="Times New Roman"/>
          <w:b w:val="0"/>
          <w:bCs w:val="0"/>
          <w:sz w:val="24"/>
          <w:szCs w:val="24"/>
          <w:lang w:eastAsia="zh-CN"/>
        </w:rPr>
        <w:t>张内容截图</w:t>
      </w:r>
    </w:p>
    <w:p w14:paraId="60B1409F">
      <w:pPr>
        <w:keepNext w:val="0"/>
        <w:keepLines w:val="0"/>
        <w:pageBreakBefore w:val="0"/>
        <w:widowControl/>
        <w:kinsoku/>
        <w:wordWrap/>
        <w:overflowPunct/>
        <w:topLinePunct w:val="0"/>
        <w:autoSpaceDE/>
        <w:autoSpaceDN/>
        <w:bidi w:val="0"/>
        <w:adjustRightInd w:val="0"/>
        <w:snapToGrid/>
        <w:spacing w:before="157" w:beforeLines="50" w:after="157" w:afterLines="50" w:line="240" w:lineRule="auto"/>
        <w:ind w:firstLine="480" w:firstLineChars="200"/>
        <w:jc w:val="left"/>
        <w:textAlignment w:val="auto"/>
        <w:rPr>
          <w:rFonts w:eastAsia="楷体_GB2312"/>
          <w:b w:val="0"/>
          <w:bCs w:val="0"/>
          <w:kern w:val="0"/>
          <w:sz w:val="24"/>
          <w:szCs w:val="24"/>
          <w:lang w:val="zh-TW" w:eastAsia="zh-TW"/>
        </w:rPr>
      </w:pPr>
      <w:r>
        <w:rPr>
          <w:rFonts w:hint="eastAsia" w:eastAsia="楷体_GB2312"/>
          <w:b w:val="0"/>
          <w:bCs w:val="0"/>
          <w:kern w:val="0"/>
          <w:sz w:val="24"/>
          <w:szCs w:val="24"/>
          <w:lang w:val="en-US" w:eastAsia="zh-CN"/>
        </w:rPr>
        <w:t>6、</w:t>
      </w:r>
      <w:r>
        <w:rPr>
          <w:rFonts w:eastAsia="楷体_GB2312"/>
          <w:b w:val="0"/>
          <w:bCs w:val="0"/>
          <w:kern w:val="0"/>
          <w:sz w:val="24"/>
          <w:szCs w:val="24"/>
          <w:lang w:val="zh-TW" w:eastAsia="zh-TW"/>
        </w:rPr>
        <w:t>售后服务响应要求</w:t>
      </w:r>
    </w:p>
    <w:p w14:paraId="50B48997">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1.提供不少于</w:t>
      </w:r>
      <w:r>
        <w:rPr>
          <w:rFonts w:hint="eastAsia" w:eastAsia="仿宋"/>
          <w:b w:val="0"/>
          <w:bCs w:val="0"/>
          <w:sz w:val="24"/>
          <w:szCs w:val="24"/>
          <w:lang w:val="zh-TW" w:bidi="zh-TW"/>
        </w:rPr>
        <w:t>3</w:t>
      </w:r>
      <w:r>
        <w:rPr>
          <w:rFonts w:eastAsia="仿宋"/>
          <w:b w:val="0"/>
          <w:bCs w:val="0"/>
          <w:sz w:val="24"/>
          <w:szCs w:val="24"/>
          <w:lang w:val="zh-TW" w:eastAsia="zh-TW" w:bidi="zh-TW"/>
        </w:rPr>
        <w:t>年免费技术维护服务；</w:t>
      </w:r>
    </w:p>
    <w:p w14:paraId="5ADFD77A">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2.7×12小时技术电话支持，远程故障排查，重大故障4小时响应；</w:t>
      </w:r>
    </w:p>
    <w:p w14:paraId="4FBDA901">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3.提供平台管理员、授课教师操作培训服务，培训后由建设单位管理平台管理员账号；</w:t>
      </w:r>
    </w:p>
    <w:p w14:paraId="0BD260C7">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4.质保期内免费升级维护。</w:t>
      </w:r>
    </w:p>
    <w:p w14:paraId="25A240FD">
      <w:pPr>
        <w:keepNext w:val="0"/>
        <w:keepLines w:val="0"/>
        <w:pageBreakBefore w:val="0"/>
        <w:widowControl/>
        <w:kinsoku/>
        <w:wordWrap/>
        <w:overflowPunct/>
        <w:topLinePunct w:val="0"/>
        <w:autoSpaceDE/>
        <w:autoSpaceDN/>
        <w:bidi w:val="0"/>
        <w:adjustRightInd w:val="0"/>
        <w:snapToGrid/>
        <w:spacing w:before="157" w:beforeLines="50" w:after="157" w:afterLines="50" w:line="240" w:lineRule="auto"/>
        <w:ind w:firstLine="480" w:firstLineChars="200"/>
        <w:jc w:val="left"/>
        <w:textAlignment w:val="auto"/>
        <w:rPr>
          <w:rFonts w:hint="eastAsia" w:eastAsia="楷体_GB2312"/>
          <w:b w:val="0"/>
          <w:bCs w:val="0"/>
          <w:kern w:val="0"/>
          <w:sz w:val="24"/>
          <w:szCs w:val="24"/>
          <w:lang w:val="zh-TW" w:eastAsia="zh-TW"/>
        </w:rPr>
      </w:pPr>
      <w:r>
        <w:rPr>
          <w:rFonts w:hint="eastAsia" w:eastAsia="楷体_GB2312"/>
          <w:b w:val="0"/>
          <w:bCs w:val="0"/>
          <w:kern w:val="0"/>
          <w:sz w:val="24"/>
          <w:szCs w:val="24"/>
          <w:lang w:val="en-US" w:eastAsia="zh-CN"/>
        </w:rPr>
        <w:t>7、</w:t>
      </w:r>
      <w:r>
        <w:rPr>
          <w:rFonts w:hint="eastAsia" w:eastAsia="楷体_GB2312"/>
          <w:b w:val="0"/>
          <w:bCs w:val="0"/>
          <w:kern w:val="0"/>
          <w:sz w:val="24"/>
          <w:szCs w:val="24"/>
          <w:lang w:val="zh-TW" w:eastAsia="zh-TW"/>
        </w:rPr>
        <w:t>验收要求</w:t>
      </w:r>
    </w:p>
    <w:p w14:paraId="7D7C2490">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1.训练平台模块：平台全部Web端功能（Web端权限、我的考试、进入考试、试卷状态）、后台管理功能（试卷管理、考试管理、监考、批改试卷、发布成绩、成绩复核）及题库管理功能逐项测试，全部参数功能满足技术需求；</w:t>
      </w:r>
    </w:p>
    <w:p w14:paraId="40374242">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2.竞赛资源包模块：</w:t>
      </w:r>
      <w:r>
        <w:rPr>
          <w:rFonts w:hint="eastAsia" w:eastAsia="仿宋"/>
          <w:b w:val="0"/>
          <w:bCs w:val="0"/>
          <w:sz w:val="24"/>
          <w:szCs w:val="24"/>
          <w:lang w:val="zh-TW" w:eastAsia="zh-TW" w:bidi="zh-TW"/>
        </w:rPr>
        <w:t>实训案例资源8个项目、赛项样题四大模块、真题案例库不少于11个项目，全部案例代码与数据集完整可用；</w:t>
      </w:r>
    </w:p>
    <w:p w14:paraId="0A105FDD">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3.课程资源模块：</w:t>
      </w:r>
      <w:r>
        <w:rPr>
          <w:rFonts w:hint="eastAsia" w:eastAsia="仿宋"/>
          <w:b w:val="0"/>
          <w:bCs w:val="0"/>
          <w:sz w:val="24"/>
          <w:szCs w:val="24"/>
          <w:lang w:val="zh-TW" w:eastAsia="zh-TW" w:bidi="zh-TW"/>
        </w:rPr>
        <w:t>3.课程资源模块：《人工智能深度学习应用开发》课程11个实训实验项目、《计算机视觉应用开发》课程13个实训实验项目的全部案例素材、代码、数据集完整可用；</w:t>
      </w:r>
    </w:p>
    <w:p w14:paraId="06ECDBCA">
      <w:pPr>
        <w:pageBreakBefore w:val="0"/>
        <w:kinsoku/>
        <w:wordWrap/>
        <w:overflowPunct/>
        <w:topLinePunct w:val="0"/>
        <w:autoSpaceDE/>
        <w:autoSpaceDN/>
        <w:bidi w:val="0"/>
        <w:spacing w:line="240" w:lineRule="auto"/>
        <w:ind w:firstLine="480" w:firstLineChars="200"/>
        <w:textAlignment w:val="auto"/>
        <w:rPr>
          <w:rFonts w:eastAsia="仿宋"/>
          <w:b w:val="0"/>
          <w:bCs w:val="0"/>
          <w:sz w:val="24"/>
          <w:szCs w:val="24"/>
          <w:lang w:val="zh-TW" w:eastAsia="zh-TW" w:bidi="zh-TW"/>
        </w:rPr>
      </w:pPr>
      <w:r>
        <w:rPr>
          <w:rFonts w:eastAsia="仿宋"/>
          <w:b w:val="0"/>
          <w:bCs w:val="0"/>
          <w:sz w:val="24"/>
          <w:szCs w:val="24"/>
          <w:lang w:val="zh-TW" w:eastAsia="zh-TW" w:bidi="zh-TW"/>
        </w:rPr>
        <w:t>4.按照采购清单逐条核对软件产品、课程资源、竞赛案例资源完整性；</w:t>
      </w:r>
    </w:p>
    <w:p w14:paraId="714E3D37">
      <w:pPr>
        <w:pStyle w:val="70"/>
        <w:pageBreakBefore w:val="0"/>
        <w:kinsoku/>
        <w:wordWrap/>
        <w:overflowPunct/>
        <w:topLinePunct w:val="0"/>
        <w:autoSpaceDE/>
        <w:autoSpaceDN/>
        <w:bidi w:val="0"/>
        <w:spacing w:line="240" w:lineRule="auto"/>
        <w:ind w:left="0" w:leftChars="0" w:firstLine="480" w:firstLineChars="200"/>
        <w:textAlignment w:val="auto"/>
        <w:rPr>
          <w:rFonts w:ascii="Times New Roman" w:hAnsi="Times New Roman" w:eastAsia="仿宋" w:cs="Times New Roman"/>
          <w:b w:val="0"/>
          <w:bCs w:val="0"/>
          <w:sz w:val="24"/>
          <w:szCs w:val="24"/>
          <w:lang w:val="en-US" w:eastAsia="zh-CN"/>
        </w:rPr>
      </w:pPr>
      <w:r>
        <w:rPr>
          <w:rFonts w:ascii="Times New Roman" w:hAnsi="Times New Roman" w:eastAsia="仿宋" w:cs="Times New Roman"/>
          <w:b w:val="0"/>
          <w:bCs w:val="0"/>
          <w:sz w:val="24"/>
          <w:szCs w:val="24"/>
        </w:rPr>
        <w:t>5.形成完整验收文档，文档包含操作手册、资源目录。</w:t>
      </w:r>
      <w:bookmarkStart w:id="50" w:name="bookmark291"/>
      <w:bookmarkEnd w:id="50"/>
      <w:bookmarkStart w:id="51" w:name="bookmark293"/>
      <w:bookmarkEnd w:id="51"/>
    </w:p>
    <w:p w14:paraId="65E1F805">
      <w:pPr>
        <w:pStyle w:val="70"/>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480" w:firstLineChars="200"/>
        <w:textAlignment w:val="auto"/>
        <w:rPr>
          <w:rFonts w:hint="default"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8、采购清单</w:t>
      </w:r>
    </w:p>
    <w:tbl>
      <w:tblPr>
        <w:tblStyle w:val="40"/>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4"/>
        <w:gridCol w:w="1447"/>
        <w:gridCol w:w="1447"/>
      </w:tblGrid>
      <w:tr w14:paraId="5321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584" w:type="dxa"/>
            <w:noWrap w:val="0"/>
            <w:vAlign w:val="top"/>
          </w:tcPr>
          <w:p w14:paraId="09DCC936">
            <w:pPr>
              <w:pageBreakBefore w:val="0"/>
              <w:kinsoku/>
              <w:wordWrap/>
              <w:overflowPunct/>
              <w:topLinePunct w:val="0"/>
              <w:autoSpaceDE/>
              <w:autoSpaceDN/>
              <w:bidi w:val="0"/>
              <w:spacing w:line="240" w:lineRule="auto"/>
              <w:jc w:val="center"/>
              <w:textAlignment w:val="auto"/>
              <w:rPr>
                <w:b w:val="0"/>
                <w:bCs w:val="0"/>
                <w:sz w:val="24"/>
                <w:szCs w:val="24"/>
              </w:rPr>
            </w:pPr>
            <w:r>
              <w:rPr>
                <w:rFonts w:eastAsia="黑体"/>
                <w:b w:val="0"/>
                <w:bCs w:val="0"/>
                <w:sz w:val="24"/>
                <w:szCs w:val="24"/>
              </w:rPr>
              <w:t>产品名称</w:t>
            </w:r>
          </w:p>
        </w:tc>
        <w:tc>
          <w:tcPr>
            <w:tcW w:w="1447" w:type="dxa"/>
            <w:noWrap w:val="0"/>
            <w:vAlign w:val="top"/>
          </w:tcPr>
          <w:p w14:paraId="6CBA2575">
            <w:pPr>
              <w:pageBreakBefore w:val="0"/>
              <w:kinsoku/>
              <w:wordWrap/>
              <w:overflowPunct/>
              <w:topLinePunct w:val="0"/>
              <w:autoSpaceDE/>
              <w:autoSpaceDN/>
              <w:bidi w:val="0"/>
              <w:spacing w:line="240" w:lineRule="auto"/>
              <w:jc w:val="center"/>
              <w:textAlignment w:val="auto"/>
              <w:rPr>
                <w:b w:val="0"/>
                <w:bCs w:val="0"/>
                <w:sz w:val="24"/>
                <w:szCs w:val="24"/>
              </w:rPr>
            </w:pPr>
            <w:r>
              <w:rPr>
                <w:rFonts w:eastAsia="黑体"/>
                <w:b w:val="0"/>
                <w:bCs w:val="0"/>
                <w:sz w:val="24"/>
                <w:szCs w:val="24"/>
              </w:rPr>
              <w:t>数量</w:t>
            </w:r>
          </w:p>
        </w:tc>
        <w:tc>
          <w:tcPr>
            <w:tcW w:w="1447" w:type="dxa"/>
            <w:noWrap w:val="0"/>
            <w:vAlign w:val="top"/>
          </w:tcPr>
          <w:p w14:paraId="7EC6F6C6">
            <w:pPr>
              <w:pageBreakBefore w:val="0"/>
              <w:kinsoku/>
              <w:wordWrap/>
              <w:overflowPunct/>
              <w:topLinePunct w:val="0"/>
              <w:autoSpaceDE/>
              <w:autoSpaceDN/>
              <w:bidi w:val="0"/>
              <w:spacing w:line="240" w:lineRule="auto"/>
              <w:jc w:val="center"/>
              <w:textAlignment w:val="auto"/>
              <w:rPr>
                <w:b w:val="0"/>
                <w:bCs w:val="0"/>
                <w:sz w:val="24"/>
                <w:szCs w:val="24"/>
              </w:rPr>
            </w:pPr>
            <w:r>
              <w:rPr>
                <w:rFonts w:eastAsia="黑体"/>
                <w:b w:val="0"/>
                <w:bCs w:val="0"/>
                <w:sz w:val="24"/>
                <w:szCs w:val="24"/>
              </w:rPr>
              <w:t>单位</w:t>
            </w:r>
          </w:p>
        </w:tc>
      </w:tr>
      <w:tr w14:paraId="71F9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6584" w:type="dxa"/>
            <w:noWrap w:val="0"/>
            <w:vAlign w:val="center"/>
          </w:tcPr>
          <w:p w14:paraId="72CBA5B6">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人工智能深度学习应用技术训练平台</w:t>
            </w:r>
          </w:p>
        </w:tc>
        <w:tc>
          <w:tcPr>
            <w:tcW w:w="1447" w:type="dxa"/>
            <w:noWrap w:val="0"/>
            <w:vAlign w:val="center"/>
          </w:tcPr>
          <w:p w14:paraId="76AAE6D5">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1</w:t>
            </w:r>
          </w:p>
        </w:tc>
        <w:tc>
          <w:tcPr>
            <w:tcW w:w="1447" w:type="dxa"/>
            <w:noWrap w:val="0"/>
            <w:vAlign w:val="center"/>
          </w:tcPr>
          <w:p w14:paraId="530F1F78">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套</w:t>
            </w:r>
          </w:p>
        </w:tc>
      </w:tr>
      <w:tr w14:paraId="06AD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6584" w:type="dxa"/>
            <w:noWrap w:val="0"/>
            <w:vAlign w:val="center"/>
          </w:tcPr>
          <w:p w14:paraId="5D3BF101">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人工智能深度学习应用技术竞赛资源包</w:t>
            </w:r>
          </w:p>
        </w:tc>
        <w:tc>
          <w:tcPr>
            <w:tcW w:w="1447" w:type="dxa"/>
            <w:noWrap w:val="0"/>
            <w:vAlign w:val="center"/>
          </w:tcPr>
          <w:p w14:paraId="2AC36BBA">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1</w:t>
            </w:r>
          </w:p>
        </w:tc>
        <w:tc>
          <w:tcPr>
            <w:tcW w:w="1447" w:type="dxa"/>
            <w:noWrap w:val="0"/>
            <w:vAlign w:val="center"/>
          </w:tcPr>
          <w:p w14:paraId="4A3927BD">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套</w:t>
            </w:r>
          </w:p>
        </w:tc>
      </w:tr>
      <w:tr w14:paraId="047D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584" w:type="dxa"/>
            <w:noWrap w:val="0"/>
            <w:vAlign w:val="center"/>
          </w:tcPr>
          <w:p w14:paraId="1F19F942">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《人工智能深度学习应用开发》课程资源</w:t>
            </w:r>
          </w:p>
        </w:tc>
        <w:tc>
          <w:tcPr>
            <w:tcW w:w="1447" w:type="dxa"/>
            <w:noWrap w:val="0"/>
            <w:vAlign w:val="center"/>
          </w:tcPr>
          <w:p w14:paraId="0E468644">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1</w:t>
            </w:r>
          </w:p>
        </w:tc>
        <w:tc>
          <w:tcPr>
            <w:tcW w:w="1447" w:type="dxa"/>
            <w:noWrap w:val="0"/>
            <w:vAlign w:val="center"/>
          </w:tcPr>
          <w:p w14:paraId="1C9DF2F4">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套</w:t>
            </w:r>
          </w:p>
        </w:tc>
      </w:tr>
      <w:tr w14:paraId="75E4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6584" w:type="dxa"/>
            <w:noWrap w:val="0"/>
            <w:vAlign w:val="center"/>
          </w:tcPr>
          <w:p w14:paraId="11D7417C">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eastAsia="仿宋_GB2312"/>
                <w:b w:val="0"/>
                <w:bCs w:val="0"/>
                <w:sz w:val="24"/>
                <w:szCs w:val="24"/>
              </w:rPr>
              <w:t>《计算机视觉应用开发》课程资源</w:t>
            </w:r>
          </w:p>
        </w:tc>
        <w:tc>
          <w:tcPr>
            <w:tcW w:w="1447" w:type="dxa"/>
            <w:noWrap w:val="0"/>
            <w:vAlign w:val="center"/>
          </w:tcPr>
          <w:p w14:paraId="505FB386">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1</w:t>
            </w:r>
          </w:p>
        </w:tc>
        <w:tc>
          <w:tcPr>
            <w:tcW w:w="1447" w:type="dxa"/>
            <w:noWrap w:val="0"/>
            <w:vAlign w:val="center"/>
          </w:tcPr>
          <w:p w14:paraId="686AEFA2">
            <w:pPr>
              <w:pageBreakBefore w:val="0"/>
              <w:kinsoku/>
              <w:wordWrap/>
              <w:overflowPunct/>
              <w:topLinePunct w:val="0"/>
              <w:autoSpaceDE/>
              <w:autoSpaceDN/>
              <w:bidi w:val="0"/>
              <w:spacing w:line="240" w:lineRule="auto"/>
              <w:jc w:val="center"/>
              <w:textAlignment w:val="auto"/>
              <w:rPr>
                <w:rFonts w:eastAsia="仿宋_GB2312"/>
                <w:b w:val="0"/>
                <w:bCs w:val="0"/>
                <w:sz w:val="24"/>
                <w:szCs w:val="24"/>
              </w:rPr>
            </w:pPr>
            <w:r>
              <w:rPr>
                <w:rFonts w:hint="eastAsia" w:eastAsia="仿宋_GB2312"/>
                <w:b w:val="0"/>
                <w:bCs w:val="0"/>
                <w:sz w:val="24"/>
                <w:szCs w:val="24"/>
              </w:rPr>
              <w:t>套</w:t>
            </w:r>
          </w:p>
        </w:tc>
      </w:tr>
    </w:tbl>
    <w:p w14:paraId="788E3A68">
      <w:pPr>
        <w:pStyle w:val="70"/>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firstLine="480" w:firstLineChars="200"/>
        <w:textAlignment w:val="auto"/>
        <w:rPr>
          <w:rFonts w:hint="eastAsia" w:ascii="仿宋" w:hAnsi="仿宋" w:eastAsia="仿宋" w:cs="仿宋"/>
          <w:b w:val="0"/>
          <w:bCs w:val="0"/>
          <w:sz w:val="24"/>
          <w:szCs w:val="24"/>
          <w:lang w:val="en-US" w:eastAsia="zh-CN"/>
        </w:rPr>
      </w:pPr>
      <w:bookmarkStart w:id="52" w:name="bookmark295"/>
      <w:bookmarkEnd w:id="52"/>
      <w:r>
        <w:rPr>
          <w:rFonts w:hint="eastAsia" w:ascii="仿宋" w:hAnsi="仿宋" w:eastAsia="仿宋" w:cs="仿宋"/>
          <w:b w:val="0"/>
          <w:bCs w:val="0"/>
          <w:sz w:val="24"/>
          <w:szCs w:val="24"/>
          <w:lang w:val="en-US" w:eastAsia="zh-CN"/>
        </w:rPr>
        <w:t>9、其他事项</w:t>
      </w:r>
    </w:p>
    <w:p w14:paraId="2DEC3ED0">
      <w:pPr>
        <w:pStyle w:val="70"/>
        <w:pageBreakBefore w:val="0"/>
        <w:kinsoku/>
        <w:wordWrap/>
        <w:overflowPunct/>
        <w:topLinePunct w:val="0"/>
        <w:autoSpaceDE/>
        <w:autoSpaceDN/>
        <w:bidi w:val="0"/>
        <w:spacing w:line="240" w:lineRule="auto"/>
        <w:ind w:left="0" w:leftChars="0" w:firstLine="480" w:firstLineChars="200"/>
        <w:textAlignment w:val="auto"/>
        <w:rPr>
          <w:rFonts w:hint="eastAsia" w:ascii="Times New Roman" w:hAnsi="Times New Roman" w:eastAsia="仿宋_GB2312"/>
          <w:b w:val="0"/>
          <w:bCs w:val="0"/>
          <w:sz w:val="24"/>
          <w:szCs w:val="24"/>
        </w:rPr>
      </w:pPr>
      <w:r>
        <w:rPr>
          <w:rFonts w:hint="eastAsia" w:ascii="Times New Roman" w:hAnsi="Times New Roman" w:eastAsia="仿宋_GB2312"/>
          <w:b w:val="0"/>
          <w:bCs w:val="0"/>
          <w:sz w:val="24"/>
          <w:szCs w:val="24"/>
        </w:rPr>
        <w:t>1.供应商需完成软件部署调试、教师使用培训，保障系统可直接投入教学考核、竞赛考核使用；</w:t>
      </w:r>
    </w:p>
    <w:p w14:paraId="1329FB8A">
      <w:pPr>
        <w:pStyle w:val="70"/>
        <w:pageBreakBefore w:val="0"/>
        <w:kinsoku/>
        <w:wordWrap/>
        <w:overflowPunct/>
        <w:topLinePunct w:val="0"/>
        <w:autoSpaceDE/>
        <w:autoSpaceDN/>
        <w:bidi w:val="0"/>
        <w:spacing w:line="240" w:lineRule="auto"/>
        <w:ind w:left="0" w:leftChars="0" w:firstLine="480" w:firstLineChars="200"/>
        <w:textAlignment w:val="auto"/>
        <w:rPr>
          <w:rFonts w:hint="eastAsia" w:ascii="Times New Roman" w:hAnsi="Times New Roman" w:eastAsia="仿宋_GB2312"/>
          <w:b w:val="0"/>
          <w:bCs w:val="0"/>
          <w:sz w:val="24"/>
          <w:szCs w:val="24"/>
        </w:rPr>
      </w:pPr>
      <w:r>
        <w:rPr>
          <w:rFonts w:hint="eastAsia" w:ascii="Times New Roman" w:hAnsi="Times New Roman" w:eastAsia="仿宋_GB2312"/>
          <w:b w:val="0"/>
          <w:bCs w:val="0"/>
          <w:sz w:val="24"/>
          <w:szCs w:val="24"/>
        </w:rPr>
        <w:t>2.本项目全部为软件产品，供应商提供合法正版授权，无知识产权纠纷；</w:t>
      </w:r>
    </w:p>
    <w:p w14:paraId="284C659D">
      <w:pPr>
        <w:pStyle w:val="70"/>
        <w:pageBreakBefore w:val="0"/>
        <w:kinsoku/>
        <w:wordWrap/>
        <w:overflowPunct/>
        <w:topLinePunct w:val="0"/>
        <w:autoSpaceDE/>
        <w:autoSpaceDN/>
        <w:bidi w:val="0"/>
        <w:spacing w:line="240" w:lineRule="auto"/>
        <w:ind w:left="0" w:leftChars="0" w:firstLine="480" w:firstLineChars="200"/>
        <w:textAlignment w:val="auto"/>
        <w:rPr>
          <w:rFonts w:hint="eastAsia" w:ascii="Times New Roman" w:hAnsi="Times New Roman" w:eastAsia="仿宋_GB2312"/>
          <w:b w:val="0"/>
          <w:bCs w:val="0"/>
          <w:sz w:val="24"/>
          <w:szCs w:val="24"/>
        </w:rPr>
      </w:pPr>
      <w:r>
        <w:rPr>
          <w:rFonts w:hint="eastAsia" w:ascii="Times New Roman" w:hAnsi="Times New Roman" w:eastAsia="仿宋_GB2312"/>
          <w:b w:val="0"/>
          <w:bCs w:val="0"/>
          <w:sz w:val="24"/>
          <w:szCs w:val="24"/>
        </w:rPr>
        <w:t>3.供应商投标方案须对平台功能参数、竞赛资源层级、验收标准进行完整响应；</w:t>
      </w:r>
    </w:p>
    <w:p w14:paraId="0A439E78">
      <w:pPr>
        <w:pageBreakBefore w:val="0"/>
        <w:kinsoku/>
        <w:wordWrap/>
        <w:overflowPunct/>
        <w:topLinePunct w:val="0"/>
        <w:autoSpaceDE/>
        <w:autoSpaceDN/>
        <w:bidi w:val="0"/>
        <w:spacing w:line="240" w:lineRule="auto"/>
        <w:ind w:firstLine="480" w:firstLineChars="200"/>
        <w:textAlignment w:val="auto"/>
        <w:rPr>
          <w:rFonts w:hint="eastAsia" w:ascii="Times New Roman" w:hAnsi="Times New Roman" w:eastAsia="仿宋_GB2312"/>
          <w:b w:val="0"/>
          <w:bCs w:val="0"/>
          <w:sz w:val="24"/>
          <w:szCs w:val="24"/>
        </w:rPr>
      </w:pPr>
      <w:r>
        <w:rPr>
          <w:rFonts w:hint="eastAsia" w:ascii="Times New Roman" w:hAnsi="Times New Roman" w:eastAsia="仿宋_GB2312"/>
          <w:b w:val="0"/>
          <w:bCs w:val="0"/>
          <w:sz w:val="24"/>
          <w:szCs w:val="24"/>
        </w:rPr>
        <w:t>4.后续将基于现有平台基础能力，持续拓展对接更多细分方向的人工智能实训项目与教学资源，推动硬件实训环境、平台功能与课程内容协同迭代，切实发挥实训平台的人才培养核心作用。</w:t>
      </w:r>
    </w:p>
    <w:p w14:paraId="33FA5DDB">
      <w:pPr>
        <w:pageBreakBefore w:val="0"/>
        <w:kinsoku/>
        <w:wordWrap/>
        <w:overflowPunct/>
        <w:topLinePunct w:val="0"/>
        <w:autoSpaceDE/>
        <w:autoSpaceDN/>
        <w:bidi w:val="0"/>
        <w:spacing w:line="240" w:lineRule="auto"/>
        <w:ind w:firstLine="480" w:firstLineChars="200"/>
        <w:textAlignment w:val="auto"/>
        <w:rPr>
          <w:rFonts w:hint="eastAsia" w:ascii="Times New Roman" w:hAnsi="Times New Roman" w:eastAsia="仿宋_GB2312"/>
          <w:b w:val="0"/>
          <w:bCs w:val="0"/>
          <w:sz w:val="24"/>
          <w:szCs w:val="24"/>
        </w:rPr>
      </w:pPr>
    </w:p>
    <w:p w14:paraId="2170493A">
      <w:pPr>
        <w:pageBreakBefore w:val="0"/>
        <w:kinsoku/>
        <w:wordWrap/>
        <w:overflowPunct/>
        <w:topLinePunct w:val="0"/>
        <w:autoSpaceDE/>
        <w:autoSpaceDN/>
        <w:bidi w:val="0"/>
        <w:spacing w:line="240" w:lineRule="auto"/>
        <w:ind w:firstLine="480" w:firstLineChars="200"/>
        <w:textAlignment w:val="auto"/>
        <w:rPr>
          <w:rFonts w:hint="eastAsia" w:ascii="Times New Roman" w:hAnsi="Times New Roman" w:eastAsia="仿宋_GB2312"/>
          <w:b w:val="0"/>
          <w:bCs w:val="0"/>
          <w:sz w:val="24"/>
          <w:szCs w:val="24"/>
        </w:rPr>
      </w:pPr>
    </w:p>
    <w:p w14:paraId="5A0F4224">
      <w:pPr>
        <w:pageBreakBefore w:val="0"/>
        <w:kinsoku/>
        <w:wordWrap/>
        <w:overflowPunct/>
        <w:topLinePunct w:val="0"/>
        <w:autoSpaceDE/>
        <w:autoSpaceDN/>
        <w:bidi w:val="0"/>
        <w:spacing w:line="240" w:lineRule="auto"/>
        <w:ind w:firstLine="480" w:firstLineChars="200"/>
        <w:textAlignment w:val="auto"/>
        <w:rPr>
          <w:rFonts w:hint="eastAsia" w:ascii="Times New Roman" w:hAnsi="Times New Roman" w:eastAsia="仿宋_GB2312"/>
          <w:b w:val="0"/>
          <w:bCs w:val="0"/>
          <w:sz w:val="24"/>
          <w:szCs w:val="24"/>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48"/>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本项目将按照磋商文件第二章 供应商须知的相关要求及本章的规定评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2"/>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7AF9AB9">
      <w:pPr>
        <w:numPr>
          <w:ilvl w:val="0"/>
          <w:numId w:val="0"/>
        </w:numPr>
        <w:spacing w:line="360" w:lineRule="auto"/>
        <w:ind w:firstLine="420" w:firstLineChars="200"/>
        <w:rPr>
          <w:rFonts w:hint="default"/>
          <w:color w:val="auto"/>
          <w:sz w:val="21"/>
          <w:szCs w:val="21"/>
          <w:highlight w:val="none"/>
          <w:lang w:val="en-US" w:eastAsia="zh-CN"/>
        </w:rPr>
      </w:pPr>
      <w:r>
        <w:rPr>
          <w:rFonts w:hint="eastAsia"/>
          <w:color w:val="auto"/>
          <w:sz w:val="21"/>
          <w:szCs w:val="21"/>
          <w:highlight w:val="none"/>
          <w:lang w:val="en-US" w:eastAsia="zh-CN"/>
        </w:rPr>
        <w:t>磋商</w:t>
      </w:r>
      <w:r>
        <w:rPr>
          <w:rFonts w:hint="default"/>
          <w:color w:val="auto"/>
          <w:sz w:val="21"/>
          <w:szCs w:val="21"/>
          <w:highlight w:val="none"/>
          <w:lang w:val="en-US" w:eastAsia="zh-CN"/>
        </w:rPr>
        <w:t>小组对供应商的响应文件进行初审，以确定其是否满足</w:t>
      </w:r>
      <w:r>
        <w:rPr>
          <w:rFonts w:hint="eastAsia"/>
          <w:color w:val="auto"/>
          <w:sz w:val="21"/>
          <w:szCs w:val="21"/>
          <w:highlight w:val="none"/>
          <w:lang w:val="en-US" w:eastAsia="zh-CN"/>
        </w:rPr>
        <w:t>磋商</w:t>
      </w:r>
      <w:r>
        <w:rPr>
          <w:rFonts w:hint="default"/>
          <w:color w:val="auto"/>
          <w:sz w:val="21"/>
          <w:szCs w:val="21"/>
          <w:highlight w:val="none"/>
          <w:lang w:val="en-US" w:eastAsia="zh-CN"/>
        </w:rPr>
        <w:t>文件的实质性要求。</w:t>
      </w:r>
    </w:p>
    <w:p w14:paraId="20C01C30">
      <w:pPr>
        <w:numPr>
          <w:ilvl w:val="0"/>
          <w:numId w:val="0"/>
        </w:numPr>
        <w:spacing w:line="360" w:lineRule="auto"/>
        <w:rPr>
          <w:rFonts w:hint="default"/>
          <w:color w:val="auto"/>
          <w:sz w:val="21"/>
          <w:szCs w:val="21"/>
          <w:highlight w:val="none"/>
          <w:lang w:val="en-US"/>
        </w:rPr>
      </w:pPr>
      <w:r>
        <w:rPr>
          <w:rFonts w:hint="default"/>
          <w:color w:val="auto"/>
          <w:sz w:val="21"/>
          <w:szCs w:val="21"/>
          <w:highlight w:val="none"/>
          <w:lang w:val="en-US" w:eastAsia="zh-CN"/>
        </w:rPr>
        <w:t>初审表如下</w:t>
      </w:r>
      <w:r>
        <w:rPr>
          <w:rFonts w:hint="eastAsia"/>
          <w:color w:val="auto"/>
          <w:sz w:val="21"/>
          <w:szCs w:val="21"/>
          <w:highlight w:val="none"/>
          <w:lang w:val="en-US" w:eastAsia="zh-CN"/>
        </w:rPr>
        <w:t>：</w:t>
      </w:r>
    </w:p>
    <w:tbl>
      <w:tblPr>
        <w:tblStyle w:val="40"/>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935"/>
        <w:gridCol w:w="4821"/>
        <w:gridCol w:w="1968"/>
      </w:tblGrid>
      <w:tr w14:paraId="7B9A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400" w:type="dxa"/>
            <w:gridSpan w:val="4"/>
            <w:tcBorders>
              <w:bottom w:val="single" w:color="auto" w:sz="4" w:space="0"/>
            </w:tcBorders>
            <w:vAlign w:val="center"/>
          </w:tcPr>
          <w:p w14:paraId="1EE22967">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b/>
                <w:color w:val="auto"/>
                <w:sz w:val="21"/>
                <w:szCs w:val="21"/>
                <w:highlight w:val="none"/>
                <w:lang w:val="en-US" w:eastAsia="zh-CN"/>
              </w:rPr>
              <w:t>初审表</w:t>
            </w:r>
          </w:p>
        </w:tc>
      </w:tr>
      <w:tr w14:paraId="1709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76" w:type="dxa"/>
            <w:tcBorders>
              <w:bottom w:val="single" w:color="auto" w:sz="4" w:space="0"/>
            </w:tcBorders>
            <w:vAlign w:val="center"/>
          </w:tcPr>
          <w:p w14:paraId="59EFF6B4">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1935" w:type="dxa"/>
            <w:tcBorders>
              <w:bottom w:val="single" w:color="auto" w:sz="4" w:space="0"/>
            </w:tcBorders>
            <w:vAlign w:val="center"/>
          </w:tcPr>
          <w:p w14:paraId="2604D046">
            <w:pPr>
              <w:pStyle w:val="133"/>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lang w:val="en-US" w:eastAsia="zh-CN"/>
              </w:rPr>
              <w:t>审查</w:t>
            </w:r>
            <w:r>
              <w:rPr>
                <w:rFonts w:hint="eastAsia" w:ascii="宋体" w:hAnsi="宋体" w:cs="宋体"/>
                <w:b/>
                <w:bCs/>
                <w:color w:val="auto"/>
                <w:kern w:val="2"/>
                <w:sz w:val="21"/>
                <w:szCs w:val="21"/>
                <w:highlight w:val="none"/>
              </w:rPr>
              <w:t>指标</w:t>
            </w:r>
          </w:p>
        </w:tc>
        <w:tc>
          <w:tcPr>
            <w:tcW w:w="4821" w:type="dxa"/>
            <w:tcBorders>
              <w:bottom w:val="single" w:color="auto" w:sz="4" w:space="0"/>
            </w:tcBorders>
            <w:vAlign w:val="center"/>
          </w:tcPr>
          <w:p w14:paraId="2AF914D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审查</w:t>
            </w:r>
            <w:r>
              <w:rPr>
                <w:rFonts w:hint="eastAsia" w:ascii="宋体" w:hAnsi="宋体" w:cs="宋体"/>
                <w:b/>
                <w:bCs/>
                <w:color w:val="auto"/>
                <w:sz w:val="21"/>
                <w:szCs w:val="21"/>
                <w:highlight w:val="none"/>
              </w:rPr>
              <w:t>标准</w:t>
            </w:r>
          </w:p>
        </w:tc>
        <w:tc>
          <w:tcPr>
            <w:tcW w:w="1968" w:type="dxa"/>
            <w:tcBorders>
              <w:bottom w:val="single" w:color="auto" w:sz="4" w:space="0"/>
            </w:tcBorders>
            <w:vAlign w:val="center"/>
          </w:tcPr>
          <w:p w14:paraId="223E4E9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格式要求</w:t>
            </w:r>
          </w:p>
        </w:tc>
      </w:tr>
      <w:tr w14:paraId="3598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6" w:hRule="atLeast"/>
          <w:jc w:val="center"/>
        </w:trPr>
        <w:tc>
          <w:tcPr>
            <w:tcW w:w="676" w:type="dxa"/>
            <w:vAlign w:val="center"/>
          </w:tcPr>
          <w:p w14:paraId="284B7FFB">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935" w:type="dxa"/>
            <w:vAlign w:val="center"/>
          </w:tcPr>
          <w:p w14:paraId="2CA9A6B2">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营业执照等</w:t>
            </w:r>
          </w:p>
          <w:p w14:paraId="1FDD76E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证明文件</w:t>
            </w:r>
          </w:p>
        </w:tc>
        <w:tc>
          <w:tcPr>
            <w:tcW w:w="4821" w:type="dxa"/>
            <w:tcBorders>
              <w:bottom w:val="single" w:color="auto" w:sz="4" w:space="0"/>
            </w:tcBorders>
            <w:vAlign w:val="center"/>
          </w:tcPr>
          <w:p w14:paraId="054729C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为企业（包括合伙企业）的，应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供有效的营业执照；</w:t>
            </w:r>
          </w:p>
          <w:p w14:paraId="76B2CB9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为事业单位的，应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供有效的事业单位法人证书；</w:t>
            </w:r>
          </w:p>
          <w:p w14:paraId="054359BF">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是非企业机构的，应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供有效的执业许可证</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登记证书等证明文件；</w:t>
            </w:r>
          </w:p>
          <w:p w14:paraId="23D005C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是个体工商户的，应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供有效的个体工商户营业执照；</w:t>
            </w:r>
          </w:p>
          <w:p w14:paraId="56B3597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是自然人的，应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供有效的自然人身份证明。</w:t>
            </w:r>
          </w:p>
        </w:tc>
        <w:tc>
          <w:tcPr>
            <w:tcW w:w="1968" w:type="dxa"/>
            <w:vAlign w:val="center"/>
          </w:tcPr>
          <w:p w14:paraId="3920FDCB">
            <w:pP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lang w:val="en-US" w:eastAsia="zh-CN"/>
              </w:rPr>
              <w:t>材料</w:t>
            </w:r>
            <w:r>
              <w:rPr>
                <w:rFonts w:hint="eastAsia" w:ascii="宋体" w:hAnsi="宋体" w:eastAsia="宋体" w:cs="宋体"/>
                <w:color w:val="auto"/>
                <w:sz w:val="21"/>
                <w:szCs w:val="21"/>
                <w:highlight w:val="none"/>
                <w:lang w:eastAsia="zh-CN"/>
              </w:rPr>
              <w:t>扫描件</w:t>
            </w:r>
            <w:r>
              <w:rPr>
                <w:rFonts w:hint="eastAsia" w:ascii="宋体" w:hAnsi="宋体" w:eastAsia="宋体" w:cs="宋体"/>
                <w:color w:val="auto"/>
                <w:sz w:val="21"/>
                <w:szCs w:val="21"/>
                <w:highlight w:val="none"/>
                <w:lang w:val="en-US" w:eastAsia="zh-CN"/>
              </w:rPr>
              <w:t>或电子证照</w:t>
            </w:r>
            <w:r>
              <w:rPr>
                <w:rFonts w:hint="eastAsia" w:ascii="宋体" w:hAnsi="宋体" w:eastAsia="宋体" w:cs="宋体"/>
                <w:color w:val="auto"/>
                <w:sz w:val="21"/>
                <w:szCs w:val="21"/>
                <w:highlight w:val="none"/>
                <w:lang w:eastAsia="zh-CN"/>
              </w:rPr>
              <w:t>，应完整的体现出</w:t>
            </w:r>
            <w:r>
              <w:rPr>
                <w:rFonts w:hint="eastAsia" w:ascii="宋体" w:hAnsi="宋体" w:eastAsia="宋体" w:cs="宋体"/>
                <w:color w:val="auto"/>
                <w:sz w:val="21"/>
                <w:szCs w:val="21"/>
                <w:highlight w:val="none"/>
                <w:lang w:val="en-US" w:eastAsia="zh-CN"/>
              </w:rPr>
              <w:t>材料或电子证照</w:t>
            </w:r>
            <w:r>
              <w:rPr>
                <w:rFonts w:hint="eastAsia" w:ascii="宋体" w:hAnsi="宋体" w:eastAsia="宋体" w:cs="宋体"/>
                <w:color w:val="auto"/>
                <w:sz w:val="21"/>
                <w:szCs w:val="21"/>
                <w:highlight w:val="none"/>
                <w:lang w:eastAsia="zh-CN"/>
              </w:rPr>
              <w:t>全部内容。联合体</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eastAsia="zh-CN"/>
              </w:rPr>
              <w:t>的联合体各方均须提供。</w:t>
            </w:r>
          </w:p>
        </w:tc>
      </w:tr>
      <w:tr w14:paraId="1736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676" w:type="dxa"/>
            <w:tcBorders>
              <w:bottom w:val="single" w:color="auto" w:sz="4" w:space="0"/>
            </w:tcBorders>
            <w:vAlign w:val="center"/>
          </w:tcPr>
          <w:p w14:paraId="49318B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935" w:type="dxa"/>
            <w:tcBorders>
              <w:bottom w:val="single" w:color="auto" w:sz="4" w:space="0"/>
            </w:tcBorders>
            <w:vAlign w:val="center"/>
          </w:tcPr>
          <w:p w14:paraId="6F5564F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供应商资格声明书</w:t>
            </w:r>
          </w:p>
        </w:tc>
        <w:tc>
          <w:tcPr>
            <w:tcW w:w="4821" w:type="dxa"/>
            <w:tcBorders>
              <w:bottom w:val="single" w:color="auto" w:sz="4" w:space="0"/>
            </w:tcBorders>
            <w:vAlign w:val="center"/>
          </w:tcPr>
          <w:p w14:paraId="2DC38C9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供符合</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文件要求的《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资格声明书》</w:t>
            </w:r>
            <w:r>
              <w:rPr>
                <w:rFonts w:hint="eastAsia" w:ascii="宋体" w:hAnsi="宋体" w:eastAsia="宋体" w:cs="宋体"/>
                <w:color w:val="auto"/>
                <w:sz w:val="21"/>
                <w:szCs w:val="21"/>
                <w:highlight w:val="none"/>
                <w:lang w:eastAsia="zh-CN"/>
              </w:rPr>
              <w:t>。</w:t>
            </w:r>
          </w:p>
        </w:tc>
        <w:tc>
          <w:tcPr>
            <w:tcW w:w="1968" w:type="dxa"/>
            <w:tcBorders>
              <w:bottom w:val="single" w:color="auto" w:sz="4" w:space="0"/>
            </w:tcBorders>
            <w:vAlign w:val="center"/>
          </w:tcPr>
          <w:p w14:paraId="4EF23DD3">
            <w:pPr>
              <w:spacing w:line="360" w:lineRule="auto"/>
              <w:jc w:val="center"/>
              <w:rPr>
                <w:rFonts w:hint="eastAsia"/>
                <w:sz w:val="21"/>
                <w:szCs w:val="21"/>
              </w:rPr>
            </w:pPr>
            <w:r>
              <w:rPr>
                <w:rFonts w:hint="eastAsia"/>
                <w:sz w:val="21"/>
                <w:szCs w:val="21"/>
              </w:rPr>
              <w:t>详见第六章</w:t>
            </w:r>
            <w:r>
              <w:rPr>
                <w:rFonts w:hint="eastAsia"/>
                <w:sz w:val="21"/>
                <w:szCs w:val="21"/>
                <w:lang w:val="en-US" w:eastAsia="zh-CN"/>
              </w:rPr>
              <w:t>响应</w:t>
            </w:r>
            <w:r>
              <w:rPr>
                <w:rFonts w:hint="eastAsia"/>
                <w:sz w:val="21"/>
                <w:szCs w:val="21"/>
              </w:rPr>
              <w:t>文件格式</w:t>
            </w:r>
            <w:r>
              <w:rPr>
                <w:rFonts w:hint="eastAsia"/>
                <w:sz w:val="21"/>
                <w:szCs w:val="21"/>
                <w:lang w:eastAsia="zh-CN"/>
              </w:rPr>
              <w:t>。</w:t>
            </w:r>
          </w:p>
        </w:tc>
      </w:tr>
      <w:tr w14:paraId="52AF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676" w:type="dxa"/>
            <w:tcBorders>
              <w:bottom w:val="single" w:color="auto" w:sz="4" w:space="0"/>
            </w:tcBorders>
            <w:vAlign w:val="center"/>
          </w:tcPr>
          <w:p w14:paraId="73580BA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935" w:type="dxa"/>
            <w:tcBorders>
              <w:bottom w:val="single" w:color="auto" w:sz="4" w:space="0"/>
            </w:tcBorders>
            <w:vAlign w:val="center"/>
          </w:tcPr>
          <w:p w14:paraId="55D43FDD">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供应商信用记录</w:t>
            </w:r>
          </w:p>
        </w:tc>
        <w:tc>
          <w:tcPr>
            <w:tcW w:w="4821" w:type="dxa"/>
            <w:tcBorders>
              <w:bottom w:val="single" w:color="auto" w:sz="4" w:space="0"/>
            </w:tcBorders>
            <w:vAlign w:val="center"/>
          </w:tcPr>
          <w:p w14:paraId="71749F0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不得存在</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须知正文第1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3条中</w:t>
            </w:r>
            <w:r>
              <w:rPr>
                <w:rFonts w:hint="eastAsia" w:ascii="宋体" w:hAnsi="宋体" w:eastAsia="宋体" w:cs="宋体"/>
                <w:color w:val="auto"/>
                <w:sz w:val="21"/>
                <w:szCs w:val="21"/>
                <w:highlight w:val="none"/>
              </w:rPr>
              <w:t>的不良信用记录情形</w:t>
            </w:r>
          </w:p>
        </w:tc>
        <w:tc>
          <w:tcPr>
            <w:tcW w:w="1968" w:type="dxa"/>
            <w:tcBorders>
              <w:bottom w:val="single" w:color="auto" w:sz="4" w:space="0"/>
            </w:tcBorders>
            <w:vAlign w:val="center"/>
          </w:tcPr>
          <w:p w14:paraId="6347C87C">
            <w:pPr>
              <w:spacing w:line="360" w:lineRule="auto"/>
              <w:jc w:val="center"/>
              <w:rPr>
                <w:rFonts w:hint="default" w:ascii="宋体" w:hAnsi="宋体" w:eastAsia="宋体" w:cs="宋体"/>
                <w:color w:val="auto"/>
                <w:sz w:val="21"/>
                <w:szCs w:val="21"/>
                <w:highlight w:val="none"/>
                <w:lang w:val="en-US"/>
              </w:rPr>
            </w:pPr>
            <w:r>
              <w:rPr>
                <w:rFonts w:hint="default" w:ascii="宋体" w:hAnsi="宋体" w:eastAsia="宋体" w:cs="宋体"/>
                <w:color w:val="auto"/>
                <w:sz w:val="21"/>
                <w:szCs w:val="21"/>
                <w:highlight w:val="none"/>
                <w:lang w:val="en-US"/>
              </w:rPr>
              <w:t>无须</w:t>
            </w:r>
            <w:r>
              <w:rPr>
                <w:rFonts w:hint="default" w:ascii="宋体" w:hAnsi="宋体" w:eastAsia="宋体" w:cs="宋体"/>
                <w:color w:val="auto"/>
                <w:sz w:val="21"/>
                <w:szCs w:val="21"/>
                <w:highlight w:val="none"/>
                <w:lang w:val="en-US" w:eastAsia="zh-CN"/>
              </w:rPr>
              <w:t>供应商提</w:t>
            </w:r>
            <w:r>
              <w:rPr>
                <w:rFonts w:hint="default" w:ascii="宋体" w:hAnsi="宋体" w:eastAsia="宋体" w:cs="宋体"/>
                <w:color w:val="auto"/>
                <w:sz w:val="21"/>
                <w:szCs w:val="21"/>
                <w:highlight w:val="none"/>
                <w:lang w:val="en-US"/>
              </w:rPr>
              <w:t>供，由采购人或采购代理机构查询。</w:t>
            </w:r>
          </w:p>
        </w:tc>
      </w:tr>
      <w:tr w14:paraId="55FF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6" w:type="dxa"/>
            <w:vAlign w:val="center"/>
          </w:tcPr>
          <w:p w14:paraId="62A476E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w:t>
            </w:r>
          </w:p>
        </w:tc>
        <w:tc>
          <w:tcPr>
            <w:tcW w:w="1935" w:type="dxa"/>
            <w:vAlign w:val="center"/>
          </w:tcPr>
          <w:p w14:paraId="03CB29AA">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磋商响应函</w:t>
            </w:r>
          </w:p>
        </w:tc>
        <w:tc>
          <w:tcPr>
            <w:tcW w:w="4821" w:type="dxa"/>
            <w:vAlign w:val="center"/>
          </w:tcPr>
          <w:p w14:paraId="50E5D2E1">
            <w:pPr>
              <w:spacing w:after="50"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格式、填写要求符合磋商文件规定并</w:t>
            </w:r>
            <w:r>
              <w:rPr>
                <w:rFonts w:hint="eastAsia" w:ascii="宋体" w:hAnsi="宋体" w:cs="宋体"/>
                <w:color w:val="auto"/>
                <w:sz w:val="21"/>
                <w:szCs w:val="21"/>
                <w:highlight w:val="none"/>
                <w:lang w:val="en-US" w:eastAsia="zh-CN"/>
              </w:rPr>
              <w:t>签章</w:t>
            </w:r>
          </w:p>
        </w:tc>
        <w:tc>
          <w:tcPr>
            <w:tcW w:w="1968" w:type="dxa"/>
            <w:vAlign w:val="center"/>
          </w:tcPr>
          <w:p w14:paraId="52BB452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889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6" w:type="dxa"/>
            <w:vAlign w:val="center"/>
          </w:tcPr>
          <w:p w14:paraId="785D24C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935" w:type="dxa"/>
            <w:vAlign w:val="center"/>
          </w:tcPr>
          <w:p w14:paraId="7E69903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授权书</w:t>
            </w:r>
          </w:p>
        </w:tc>
        <w:tc>
          <w:tcPr>
            <w:tcW w:w="4821" w:type="dxa"/>
            <w:vAlign w:val="center"/>
          </w:tcPr>
          <w:p w14:paraId="59ADEC2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格式、填写要求符合磋商文件规定并签章</w:t>
            </w:r>
          </w:p>
        </w:tc>
        <w:tc>
          <w:tcPr>
            <w:tcW w:w="1968" w:type="dxa"/>
            <w:vAlign w:val="center"/>
          </w:tcPr>
          <w:p w14:paraId="5949B6B4">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法定代表人参加磋商的无需此件，提供身份证明即可。详见第六章响应文件格式。</w:t>
            </w:r>
          </w:p>
        </w:tc>
      </w:tr>
      <w:tr w14:paraId="65D8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76" w:type="dxa"/>
            <w:vAlign w:val="center"/>
          </w:tcPr>
          <w:p w14:paraId="3F3601D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935" w:type="dxa"/>
            <w:vAlign w:val="center"/>
          </w:tcPr>
          <w:p w14:paraId="6C8C2F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磋商</w:t>
            </w:r>
            <w:r>
              <w:rPr>
                <w:rFonts w:hint="eastAsia" w:asciiTheme="minorEastAsia" w:hAnsiTheme="minorEastAsia" w:eastAsiaTheme="minorEastAsia"/>
                <w:color w:val="auto"/>
                <w:sz w:val="21"/>
                <w:szCs w:val="21"/>
                <w:highlight w:val="none"/>
              </w:rPr>
              <w:t>报价</w:t>
            </w:r>
          </w:p>
        </w:tc>
        <w:tc>
          <w:tcPr>
            <w:tcW w:w="4821" w:type="dxa"/>
            <w:vAlign w:val="center"/>
          </w:tcPr>
          <w:p w14:paraId="60966DE8">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符合磋商文件供应商须知正文第9条要求</w:t>
            </w:r>
          </w:p>
        </w:tc>
        <w:tc>
          <w:tcPr>
            <w:tcW w:w="1968" w:type="dxa"/>
            <w:vAlign w:val="center"/>
          </w:tcPr>
          <w:p w14:paraId="4A4B7CA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详见第六章响应文件格式。  </w:t>
            </w:r>
          </w:p>
        </w:tc>
      </w:tr>
      <w:tr w14:paraId="6999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dxa"/>
            <w:vAlign w:val="center"/>
          </w:tcPr>
          <w:p w14:paraId="3A33AB5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935" w:type="dxa"/>
            <w:vAlign w:val="center"/>
          </w:tcPr>
          <w:p w14:paraId="5986EBEB">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4821" w:type="dxa"/>
            <w:vAlign w:val="center"/>
          </w:tcPr>
          <w:p w14:paraId="50E6B8B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1968" w:type="dxa"/>
            <w:vAlign w:val="center"/>
          </w:tcPr>
          <w:p w14:paraId="5F9AA852">
            <w:pPr>
              <w:spacing w:after="50" w:line="360" w:lineRule="auto"/>
              <w:ind w:right="-10" w:rightChars="0"/>
              <w:jc w:val="center"/>
              <w:rPr>
                <w:rFonts w:hint="eastAsia" w:ascii="宋体" w:hAnsi="宋体" w:eastAsia="宋体" w:cs="宋体"/>
                <w:color w:val="auto"/>
                <w:sz w:val="21"/>
                <w:szCs w:val="21"/>
                <w:highlight w:val="none"/>
              </w:rPr>
            </w:pPr>
          </w:p>
        </w:tc>
      </w:tr>
    </w:tbl>
    <w:p w14:paraId="36AFE1D6">
      <w:pPr>
        <w:numPr>
          <w:ilvl w:val="0"/>
          <w:numId w:val="0"/>
        </w:numPr>
        <w:ind w:firstLine="211" w:firstLineChars="100"/>
        <w:rPr>
          <w:rFonts w:hint="eastAsia" w:ascii="宋体" w:hAnsi="宋体" w:cs="宋体"/>
          <w:b w:val="0"/>
          <w:bCs/>
          <w:color w:val="auto"/>
          <w:sz w:val="21"/>
          <w:szCs w:val="21"/>
          <w:highlight w:val="none"/>
          <w:lang w:val="en-US" w:eastAsia="zh-CN"/>
        </w:rPr>
      </w:pPr>
      <w:bookmarkStart w:id="53" w:name="_Toc431"/>
      <w:bookmarkStart w:id="54" w:name="_Toc7241"/>
      <w:bookmarkStart w:id="55" w:name="_Toc27586"/>
      <w:bookmarkStart w:id="56" w:name="_Toc28300"/>
      <w:bookmarkStart w:id="57" w:name="_Toc3977"/>
      <w:r>
        <w:rPr>
          <w:rFonts w:hint="eastAsia" w:ascii="宋体" w:hAnsi="宋体" w:cs="宋体"/>
          <w:b/>
          <w:bCs w:val="0"/>
          <w:color w:val="auto"/>
          <w:sz w:val="21"/>
          <w:szCs w:val="21"/>
          <w:highlight w:val="none"/>
          <w:lang w:val="en-US" w:eastAsia="zh-CN"/>
        </w:rPr>
        <w:t>初审指标通过标准：</w:t>
      </w:r>
      <w:r>
        <w:rPr>
          <w:rFonts w:hint="eastAsia" w:ascii="宋体" w:hAnsi="宋体" w:cs="宋体"/>
          <w:b w:val="0"/>
          <w:bCs/>
          <w:color w:val="auto"/>
          <w:sz w:val="21"/>
          <w:szCs w:val="21"/>
          <w:highlight w:val="none"/>
          <w:lang w:val="en-US" w:eastAsia="zh-CN"/>
        </w:rPr>
        <w:t>供应商必须通过初审表中的全部评审指标。</w:t>
      </w:r>
    </w:p>
    <w:p w14:paraId="1801C756">
      <w:pPr>
        <w:spacing w:line="360" w:lineRule="auto"/>
        <w:ind w:firstLine="210" w:firstLineChars="1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2、异常低价响应审查</w:t>
      </w:r>
    </w:p>
    <w:tbl>
      <w:tblPr>
        <w:tblStyle w:val="40"/>
        <w:tblW w:w="5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309"/>
        <w:gridCol w:w="5591"/>
        <w:gridCol w:w="2351"/>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0040" w:type="dxa"/>
            <w:gridSpan w:val="4"/>
            <w:tcBorders>
              <w:bottom w:val="single" w:color="auto" w:sz="4" w:space="0"/>
            </w:tcBorders>
            <w:vAlign w:val="center"/>
          </w:tcPr>
          <w:p w14:paraId="0A55AF2A">
            <w:pPr>
              <w:spacing w:line="360" w:lineRule="auto"/>
              <w:jc w:val="center"/>
              <w:rPr>
                <w:rFonts w:ascii="宋体" w:hAnsi="宋体" w:eastAsia="宋体"/>
                <w:sz w:val="21"/>
                <w:szCs w:val="21"/>
                <w:highlight w:val="none"/>
              </w:rPr>
            </w:pPr>
            <w:r>
              <w:rPr>
                <w:rFonts w:hint="eastAsia" w:ascii="宋体" w:hAnsi="宋体" w:eastAsia="宋体" w:cs="宋体"/>
                <w:b/>
                <w:bCs/>
                <w:color w:val="auto"/>
                <w:sz w:val="21"/>
                <w:szCs w:val="21"/>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88" w:type="dxa"/>
            <w:tcBorders>
              <w:bottom w:val="single" w:color="auto" w:sz="4" w:space="0"/>
            </w:tcBorders>
            <w:vAlign w:val="center"/>
          </w:tcPr>
          <w:p w14:paraId="24C66339">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309" w:type="dxa"/>
            <w:tcBorders>
              <w:bottom w:val="single" w:color="auto" w:sz="4" w:space="0"/>
            </w:tcBorders>
            <w:vAlign w:val="center"/>
          </w:tcPr>
          <w:p w14:paraId="242D7536">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评审指标</w:t>
            </w:r>
          </w:p>
        </w:tc>
        <w:tc>
          <w:tcPr>
            <w:tcW w:w="5592" w:type="dxa"/>
            <w:tcBorders>
              <w:bottom w:val="single" w:color="auto" w:sz="4" w:space="0"/>
            </w:tcBorders>
            <w:vAlign w:val="center"/>
          </w:tcPr>
          <w:p w14:paraId="63EC831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评审标准</w:t>
            </w:r>
          </w:p>
        </w:tc>
        <w:tc>
          <w:tcPr>
            <w:tcW w:w="2351" w:type="dxa"/>
            <w:tcBorders>
              <w:bottom w:val="single" w:color="auto" w:sz="4" w:space="0"/>
            </w:tcBorders>
            <w:vAlign w:val="center"/>
          </w:tcPr>
          <w:p w14:paraId="39E809DA">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tcBorders>
              <w:bottom w:val="single" w:color="auto" w:sz="4" w:space="0"/>
            </w:tcBorders>
            <w:vAlign w:val="center"/>
          </w:tcPr>
          <w:p w14:paraId="53262601">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309" w:type="dxa"/>
            <w:tcBorders>
              <w:bottom w:val="single" w:color="auto" w:sz="4" w:space="0"/>
            </w:tcBorders>
            <w:vAlign w:val="center"/>
          </w:tcPr>
          <w:p w14:paraId="4828CEF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异常低价响应审查</w:t>
            </w:r>
          </w:p>
        </w:tc>
        <w:tc>
          <w:tcPr>
            <w:tcW w:w="5592" w:type="dxa"/>
            <w:tcBorders>
              <w:bottom w:val="single" w:color="auto" w:sz="4" w:space="0"/>
            </w:tcBorders>
            <w:vAlign w:val="center"/>
          </w:tcPr>
          <w:p w14:paraId="14855D1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（1）报价＜全部通过初审供应商响应报价平均值×50%；</w:t>
            </w:r>
          </w:p>
          <w:p w14:paraId="12D6E1A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（2）报价＜通过初审的次低报价供应商响应报价×50%；</w:t>
            </w:r>
          </w:p>
          <w:p w14:paraId="595C90C5">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（3）报价＜采购项目最高限价（如采购项目未设定最高限价的，以采购项目预算金额作为最高限价）×45%；</w:t>
            </w:r>
          </w:p>
          <w:p w14:paraId="6545F9B4">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（4）谈判小组基于专业判断，认为供应商报价过低，有可能影响产品质量或者不能诚信履约的其他情形。</w:t>
            </w:r>
          </w:p>
          <w:p w14:paraId="14FCFEF9">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提醒：</w:t>
            </w:r>
          </w:p>
          <w:p w14:paraId="0BE4D07D">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（1）上述第（1）项数值计算：涉及总价、单价的精确到“分”并四舍五入，涉及费率的精确到小数点后两位，第三位四舍五入（例：如平均值为123.456元，即为123.46元；如平均值为80.126%，即为80.13%）。</w:t>
            </w:r>
          </w:p>
          <w:p w14:paraId="407B687B">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（2）上述报价均为供应商最后报价。</w:t>
            </w:r>
          </w:p>
        </w:tc>
        <w:tc>
          <w:tcPr>
            <w:tcW w:w="2351" w:type="dxa"/>
            <w:vAlign w:val="center"/>
          </w:tcPr>
          <w:p w14:paraId="4F4E35CC">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215560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注：</w:t>
      </w:r>
      <w:bookmarkEnd w:id="53"/>
      <w:bookmarkEnd w:id="54"/>
      <w:bookmarkEnd w:id="55"/>
      <w:bookmarkEnd w:id="56"/>
      <w:bookmarkEnd w:id="57"/>
      <w:r>
        <w:rPr>
          <w:rFonts w:hint="eastAsia" w:ascii="宋体" w:hAnsi="宋体" w:eastAsia="宋体" w:cs="Times New Roman"/>
          <w:sz w:val="21"/>
          <w:szCs w:val="21"/>
          <w:highlight w:val="none"/>
          <w:lang w:val="en-US" w:eastAsia="zh-CN"/>
        </w:rPr>
        <w:t>根据《关于推动解决政府采购异常低价问题的通知》（财库〔2026〕2号），采购人可以结合具体项目实际情况，提高上述评审标准第（1）项至第（3）项中的数值标准，但是最高不得超过65%。</w:t>
      </w:r>
    </w:p>
    <w:p w14:paraId="4F06E39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49988AE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0A09E5D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 w:val="21"/>
          <w:szCs w:val="21"/>
          <w:lang w:val="en-US" w:eastAsia="zh-CN" w:bidi="ar-SA"/>
        </w:rPr>
      </w:pPr>
      <w:r>
        <w:rPr>
          <w:rFonts w:hint="eastAsia" w:ascii="宋体" w:hAnsi="宋体" w:eastAsia="宋体" w:cs="Times New Roman"/>
          <w:sz w:val="21"/>
          <w:szCs w:val="21"/>
          <w:highlight w:val="none"/>
          <w:lang w:val="en-US" w:eastAsia="zh-CN"/>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421662E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cs="宋体"/>
          <w:b w:val="0"/>
          <w:bCs/>
          <w:color w:val="auto"/>
          <w:sz w:val="21"/>
          <w:szCs w:val="21"/>
          <w:lang w:val="en-US" w:eastAsia="zh-CN" w:bidi="ar-SA"/>
        </w:rPr>
        <w:t>3、</w:t>
      </w:r>
      <w:r>
        <w:rPr>
          <w:rFonts w:hint="eastAsia" w:ascii="宋体" w:hAnsi="宋体" w:eastAsia="宋体" w:cs="宋体"/>
          <w:b w:val="0"/>
          <w:bCs/>
          <w:color w:val="auto"/>
          <w:sz w:val="21"/>
          <w:szCs w:val="21"/>
          <w:lang w:val="en-US" w:eastAsia="zh-CN" w:bidi="ar-SA"/>
        </w:rPr>
        <w:t xml:space="preserve">综合评分 </w:t>
      </w:r>
    </w:p>
    <w:p w14:paraId="4094E45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3.1 磋商小组按照下表对进入综合评分的所有供应商的响应文件进行综合评分。 </w:t>
      </w:r>
    </w:p>
    <w:p w14:paraId="1A28ADC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3.2 本项目综合评分满分均为100分，其中：技术资信分值占总分值的权重为 </w:t>
      </w:r>
      <w:r>
        <w:rPr>
          <w:rFonts w:hint="eastAsia" w:ascii="宋体" w:hAnsi="宋体" w:cs="Times New Roman"/>
          <w:sz w:val="21"/>
          <w:szCs w:val="21"/>
          <w:highlight w:val="none"/>
          <w:lang w:val="en-US" w:eastAsia="zh-CN"/>
        </w:rPr>
        <w:t>7</w:t>
      </w:r>
      <w:r>
        <w:rPr>
          <w:rFonts w:hint="eastAsia" w:ascii="宋体" w:hAnsi="宋体" w:eastAsia="宋体" w:cs="Times New Roman"/>
          <w:sz w:val="21"/>
          <w:szCs w:val="21"/>
          <w:highlight w:val="none"/>
          <w:lang w:val="en-US" w:eastAsia="zh-CN"/>
        </w:rPr>
        <w:t xml:space="preserve">0  %，价格分值（投标费率）占总分值的权重为 </w:t>
      </w: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0  %。具体评分细则如下：</w:t>
      </w:r>
    </w:p>
    <w:tbl>
      <w:tblPr>
        <w:tblStyle w:val="40"/>
        <w:tblW w:w="10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667"/>
        <w:gridCol w:w="6310"/>
        <w:gridCol w:w="1108"/>
      </w:tblGrid>
      <w:tr w14:paraId="6DA3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352" w:type="dxa"/>
            <w:tcBorders>
              <w:top w:val="single" w:color="auto" w:sz="4" w:space="0"/>
              <w:left w:val="single" w:color="auto" w:sz="4" w:space="0"/>
              <w:bottom w:val="single" w:color="auto" w:sz="4" w:space="0"/>
              <w:right w:val="single" w:color="auto" w:sz="4" w:space="0"/>
            </w:tcBorders>
            <w:noWrap w:val="0"/>
            <w:vAlign w:val="center"/>
          </w:tcPr>
          <w:p w14:paraId="10B3B888">
            <w:pPr>
              <w:spacing w:line="360" w:lineRule="auto"/>
              <w:jc w:val="both"/>
              <w:rPr>
                <w:rFonts w:ascii="宋体" w:hAnsi="宋体" w:eastAsia="宋体"/>
                <w:b/>
                <w:bCs/>
                <w:sz w:val="21"/>
                <w:szCs w:val="21"/>
              </w:rPr>
            </w:pPr>
            <w:r>
              <w:rPr>
                <w:rFonts w:hint="eastAsia" w:ascii="宋体" w:hAnsi="宋体" w:eastAsia="宋体"/>
                <w:b/>
                <w:bCs/>
                <w:sz w:val="21"/>
                <w:szCs w:val="21"/>
              </w:rPr>
              <w:t>类别</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3793D215">
            <w:pPr>
              <w:spacing w:line="360" w:lineRule="auto"/>
              <w:jc w:val="both"/>
              <w:rPr>
                <w:rFonts w:ascii="宋体" w:hAnsi="宋体" w:eastAsia="宋体"/>
                <w:b/>
                <w:bCs/>
                <w:sz w:val="21"/>
                <w:szCs w:val="21"/>
              </w:rPr>
            </w:pPr>
            <w:r>
              <w:rPr>
                <w:rFonts w:hint="eastAsia" w:ascii="宋体" w:hAnsi="宋体" w:eastAsia="宋体"/>
                <w:b/>
                <w:bCs/>
                <w:sz w:val="21"/>
                <w:szCs w:val="21"/>
              </w:rPr>
              <w:t>评分内容</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7F420432">
            <w:pPr>
              <w:spacing w:line="360" w:lineRule="auto"/>
              <w:jc w:val="both"/>
              <w:rPr>
                <w:rFonts w:ascii="宋体" w:hAnsi="宋体" w:eastAsia="宋体"/>
                <w:b/>
                <w:bCs/>
                <w:sz w:val="21"/>
                <w:szCs w:val="21"/>
              </w:rPr>
            </w:pPr>
            <w:r>
              <w:rPr>
                <w:rFonts w:hint="eastAsia" w:ascii="宋体" w:hAnsi="宋体" w:eastAsia="宋体"/>
                <w:b/>
                <w:bCs/>
                <w:sz w:val="21"/>
                <w:szCs w:val="21"/>
              </w:rPr>
              <w:t>评分标准</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3E2403D0">
            <w:pPr>
              <w:spacing w:line="360" w:lineRule="auto"/>
              <w:jc w:val="both"/>
              <w:rPr>
                <w:rFonts w:ascii="宋体" w:hAnsi="宋体" w:eastAsia="宋体"/>
                <w:b/>
                <w:bCs/>
                <w:sz w:val="21"/>
                <w:szCs w:val="21"/>
              </w:rPr>
            </w:pPr>
            <w:r>
              <w:rPr>
                <w:rFonts w:hint="eastAsia" w:ascii="宋体" w:hAnsi="宋体" w:eastAsia="宋体"/>
                <w:b/>
                <w:bCs/>
                <w:sz w:val="21"/>
                <w:szCs w:val="21"/>
              </w:rPr>
              <w:t>分值范围</w:t>
            </w:r>
          </w:p>
        </w:tc>
      </w:tr>
      <w:tr w14:paraId="20BC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352" w:type="dxa"/>
            <w:vMerge w:val="restart"/>
            <w:tcBorders>
              <w:top w:val="single" w:color="auto" w:sz="4" w:space="0"/>
              <w:left w:val="single" w:color="auto" w:sz="4" w:space="0"/>
              <w:right w:val="single" w:color="auto" w:sz="4" w:space="0"/>
            </w:tcBorders>
            <w:noWrap w:val="0"/>
            <w:vAlign w:val="center"/>
          </w:tcPr>
          <w:p w14:paraId="755E4EA3">
            <w:pPr>
              <w:spacing w:line="360" w:lineRule="auto"/>
              <w:jc w:val="both"/>
              <w:rPr>
                <w:rFonts w:ascii="宋体" w:hAnsi="宋体" w:eastAsia="宋体"/>
                <w:sz w:val="21"/>
                <w:szCs w:val="21"/>
              </w:rPr>
            </w:pPr>
          </w:p>
          <w:p w14:paraId="45885748">
            <w:pPr>
              <w:spacing w:line="360" w:lineRule="auto"/>
              <w:jc w:val="both"/>
              <w:rPr>
                <w:rFonts w:ascii="宋体" w:hAnsi="宋体" w:eastAsia="宋体"/>
                <w:sz w:val="21"/>
                <w:szCs w:val="21"/>
              </w:rPr>
            </w:pPr>
          </w:p>
          <w:p w14:paraId="604C9517">
            <w:pPr>
              <w:spacing w:line="360" w:lineRule="auto"/>
              <w:jc w:val="both"/>
              <w:rPr>
                <w:rFonts w:ascii="宋体" w:hAnsi="宋体" w:eastAsia="宋体"/>
                <w:sz w:val="21"/>
                <w:szCs w:val="21"/>
              </w:rPr>
            </w:pPr>
            <w:r>
              <w:rPr>
                <w:rFonts w:hint="eastAsia" w:ascii="宋体" w:hAnsi="宋体" w:eastAsia="宋体"/>
                <w:sz w:val="21"/>
                <w:szCs w:val="21"/>
              </w:rPr>
              <w:t>技术资信分</w:t>
            </w:r>
          </w:p>
          <w:p w14:paraId="267748CE">
            <w:pPr>
              <w:spacing w:line="360" w:lineRule="auto"/>
              <w:jc w:val="both"/>
              <w:rPr>
                <w:rFonts w:ascii="宋体" w:hAnsi="宋体" w:eastAsia="宋体"/>
                <w:b/>
                <w:bCs/>
                <w:sz w:val="21"/>
                <w:szCs w:val="21"/>
              </w:rPr>
            </w:pPr>
            <w:r>
              <w:rPr>
                <w:rFonts w:hint="eastAsia" w:ascii="宋体" w:hAnsi="宋体" w:eastAsia="宋体"/>
                <w:sz w:val="21"/>
                <w:szCs w:val="21"/>
              </w:rPr>
              <w:t>（</w:t>
            </w:r>
            <w:r>
              <w:rPr>
                <w:rFonts w:hint="eastAsia" w:ascii="宋体" w:hAnsi="宋体"/>
                <w:sz w:val="21"/>
                <w:szCs w:val="21"/>
                <w:u w:val="single"/>
                <w:lang w:val="en-US" w:eastAsia="zh-CN"/>
              </w:rPr>
              <w:t>7</w:t>
            </w:r>
            <w:r>
              <w:rPr>
                <w:rFonts w:hint="eastAsia" w:ascii="宋体" w:hAnsi="宋体" w:eastAsia="宋体"/>
                <w:sz w:val="21"/>
                <w:szCs w:val="21"/>
                <w:u w:val="single"/>
              </w:rPr>
              <w:t>0</w:t>
            </w:r>
            <w:r>
              <w:rPr>
                <w:rFonts w:hint="eastAsia" w:ascii="宋体" w:hAnsi="宋体" w:eastAsia="宋体"/>
                <w:sz w:val="21"/>
                <w:szCs w:val="21"/>
              </w:rPr>
              <w:t>分）</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16651E57">
            <w:pPr>
              <w:snapToGrid w:val="0"/>
              <w:spacing w:line="360" w:lineRule="auto"/>
              <w:jc w:val="both"/>
              <w:rPr>
                <w:rFonts w:hint="eastAsia" w:ascii="宋体" w:hAnsi="宋体" w:eastAsia="宋体"/>
                <w:bCs/>
                <w:sz w:val="21"/>
                <w:szCs w:val="21"/>
              </w:rPr>
            </w:pPr>
            <w:r>
              <w:rPr>
                <w:rFonts w:hint="eastAsia" w:ascii="宋体" w:hAnsi="宋体" w:eastAsia="宋体"/>
                <w:bCs/>
                <w:sz w:val="21"/>
                <w:szCs w:val="21"/>
              </w:rPr>
              <w:t>设备技术</w:t>
            </w:r>
          </w:p>
          <w:p w14:paraId="17CEE675">
            <w:pPr>
              <w:snapToGrid w:val="0"/>
              <w:spacing w:line="360" w:lineRule="auto"/>
              <w:jc w:val="both"/>
              <w:rPr>
                <w:rFonts w:ascii="宋体" w:hAnsi="宋体" w:eastAsia="宋体"/>
                <w:bCs/>
                <w:sz w:val="21"/>
                <w:szCs w:val="21"/>
              </w:rPr>
            </w:pPr>
            <w:r>
              <w:rPr>
                <w:rFonts w:hint="eastAsia" w:ascii="宋体" w:hAnsi="宋体" w:eastAsia="宋体"/>
                <w:bCs/>
                <w:sz w:val="21"/>
                <w:szCs w:val="21"/>
              </w:rPr>
              <w:t>参数符合性</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2B3A1FB5">
            <w:pPr>
              <w:pStyle w:val="17"/>
              <w:jc w:val="both"/>
              <w:rPr>
                <w:rFonts w:hint="eastAsia"/>
                <w:bCs/>
                <w:sz w:val="21"/>
                <w:szCs w:val="21"/>
              </w:rPr>
            </w:pPr>
            <w:r>
              <w:rPr>
                <w:rFonts w:hint="eastAsia"/>
                <w:bCs/>
                <w:sz w:val="21"/>
                <w:szCs w:val="21"/>
              </w:rPr>
              <w:t>产品技术参数部分，全部满足招标要求的得满分20分；</w:t>
            </w:r>
          </w:p>
          <w:p w14:paraId="5A1B02E3">
            <w:pPr>
              <w:pStyle w:val="17"/>
              <w:jc w:val="both"/>
              <w:rPr>
                <w:bCs/>
                <w:sz w:val="21"/>
                <w:szCs w:val="21"/>
              </w:rPr>
            </w:pPr>
            <w:r>
              <w:rPr>
                <w:rFonts w:hint="eastAsia"/>
                <w:bCs/>
                <w:sz w:val="21"/>
                <w:szCs w:val="21"/>
              </w:rPr>
              <w:t>非标三角号参数，每一项负响应扣1分；加▲重点参数每一项负响应扣2分，扣完为止。</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69A2009D">
            <w:pPr>
              <w:widowControl/>
              <w:spacing w:line="360" w:lineRule="auto"/>
              <w:jc w:val="both"/>
              <w:rPr>
                <w:rFonts w:ascii="宋体" w:hAnsi="宋体" w:eastAsia="宋体"/>
                <w:b/>
                <w:bCs/>
                <w:sz w:val="21"/>
                <w:szCs w:val="21"/>
              </w:rPr>
            </w:pPr>
            <w:r>
              <w:rPr>
                <w:rFonts w:hint="eastAsia" w:ascii="宋体" w:hAnsi="宋体" w:eastAsia="宋体" w:cs="宋体"/>
                <w:sz w:val="21"/>
                <w:szCs w:val="21"/>
              </w:rPr>
              <w:t>0-</w:t>
            </w:r>
            <w:r>
              <w:rPr>
                <w:rFonts w:hint="eastAsia" w:ascii="宋体" w:hAnsi="宋体" w:cs="宋体"/>
                <w:sz w:val="21"/>
                <w:szCs w:val="21"/>
                <w:lang w:val="en-US" w:eastAsia="zh-CN"/>
              </w:rPr>
              <w:t>20</w:t>
            </w:r>
            <w:r>
              <w:rPr>
                <w:rFonts w:hint="eastAsia" w:ascii="宋体" w:hAnsi="宋体" w:eastAsia="宋体" w:cs="宋体"/>
                <w:sz w:val="21"/>
                <w:szCs w:val="21"/>
              </w:rPr>
              <w:t>分</w:t>
            </w:r>
          </w:p>
        </w:tc>
      </w:tr>
      <w:tr w14:paraId="6129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1352" w:type="dxa"/>
            <w:vMerge w:val="continue"/>
            <w:tcBorders>
              <w:left w:val="single" w:color="auto" w:sz="4" w:space="0"/>
              <w:right w:val="single" w:color="auto" w:sz="4" w:space="0"/>
            </w:tcBorders>
            <w:noWrap w:val="0"/>
            <w:vAlign w:val="center"/>
          </w:tcPr>
          <w:p w14:paraId="5A257D93">
            <w:pPr>
              <w:spacing w:line="360" w:lineRule="auto"/>
              <w:jc w:val="both"/>
              <w:rPr>
                <w:rFonts w:hint="eastAsia" w:ascii="宋体" w:hAnsi="宋体" w:eastAsia="宋体"/>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48D88D8">
            <w:pPr>
              <w:snapToGrid w:val="0"/>
              <w:spacing w:line="360"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技术方案</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6AAD9C99">
            <w:pPr>
              <w:pStyle w:val="17"/>
              <w:jc w:val="both"/>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根据投标供应商提供的针对本项目的技术方案情况，满分10分: </w:t>
            </w:r>
          </w:p>
          <w:p w14:paraId="05F070EA">
            <w:pPr>
              <w:pStyle w:val="17"/>
              <w:jc w:val="both"/>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1、提供详细完善、科学的方案，有针对性，充分考虑到本项目的特点要求得 6-10 分； </w:t>
            </w:r>
          </w:p>
          <w:p w14:paraId="77312DAA">
            <w:pPr>
              <w:pStyle w:val="17"/>
              <w:jc w:val="both"/>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2、提供的方案不全或内容简单得 1-5分； </w:t>
            </w:r>
          </w:p>
          <w:p w14:paraId="7610BB94">
            <w:pPr>
              <w:pStyle w:val="17"/>
              <w:jc w:val="both"/>
              <w:rPr>
                <w:rFonts w:hint="eastAsia" w:ascii="宋体" w:hAnsi="宋体" w:eastAsia="宋体" w:cs="宋体"/>
                <w:bCs/>
                <w:color w:val="000000"/>
                <w:sz w:val="21"/>
                <w:szCs w:val="21"/>
              </w:rPr>
            </w:pPr>
            <w:r>
              <w:rPr>
                <w:rFonts w:hint="eastAsia" w:ascii="宋体" w:hAnsi="宋体" w:eastAsia="宋体" w:cs="宋体"/>
                <w:bCs/>
                <w:color w:val="000000"/>
                <w:sz w:val="21"/>
                <w:szCs w:val="21"/>
              </w:rPr>
              <w:t>3、未提供的不得分。</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0419E473">
            <w:pPr>
              <w:widowControl/>
              <w:spacing w:line="360" w:lineRule="auto"/>
              <w:jc w:val="both"/>
              <w:rPr>
                <w:rFonts w:hint="default" w:ascii="宋体" w:hAnsi="宋体" w:eastAsia="宋体" w:cs="宋体"/>
                <w:sz w:val="21"/>
                <w:szCs w:val="21"/>
                <w:lang w:val="en-US" w:eastAsia="zh-CN"/>
              </w:rPr>
            </w:pPr>
            <w:r>
              <w:rPr>
                <w:rFonts w:hint="eastAsia" w:ascii="宋体" w:hAnsi="宋体" w:cs="宋体"/>
                <w:sz w:val="21"/>
                <w:szCs w:val="21"/>
                <w:lang w:val="en-US" w:eastAsia="zh-CN"/>
              </w:rPr>
              <w:t>0-10分</w:t>
            </w:r>
          </w:p>
        </w:tc>
      </w:tr>
      <w:tr w14:paraId="0C15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1352" w:type="dxa"/>
            <w:vMerge w:val="continue"/>
            <w:tcBorders>
              <w:left w:val="single" w:color="auto" w:sz="4" w:space="0"/>
              <w:right w:val="single" w:color="auto" w:sz="4" w:space="0"/>
            </w:tcBorders>
            <w:noWrap w:val="0"/>
            <w:vAlign w:val="center"/>
          </w:tcPr>
          <w:p w14:paraId="07D4B635">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0A079430">
            <w:pPr>
              <w:spacing w:line="360" w:lineRule="auto"/>
              <w:jc w:val="both"/>
              <w:rPr>
                <w:rFonts w:hint="eastAsia" w:ascii="宋体" w:hAnsi="宋体" w:eastAsia="宋体"/>
                <w:sz w:val="21"/>
                <w:szCs w:val="21"/>
              </w:rPr>
            </w:pPr>
            <w:r>
              <w:rPr>
                <w:rFonts w:hint="eastAsia" w:ascii="宋体" w:hAnsi="宋体" w:eastAsia="宋体"/>
                <w:sz w:val="21"/>
                <w:szCs w:val="21"/>
              </w:rPr>
              <w:t>项目实施</w:t>
            </w:r>
          </w:p>
          <w:p w14:paraId="5FA67460">
            <w:pPr>
              <w:spacing w:line="360" w:lineRule="auto"/>
              <w:jc w:val="both"/>
              <w:rPr>
                <w:rFonts w:ascii="宋体" w:hAnsi="宋体" w:eastAsia="宋体"/>
                <w:sz w:val="21"/>
                <w:szCs w:val="21"/>
              </w:rPr>
            </w:pPr>
            <w:r>
              <w:rPr>
                <w:rFonts w:hint="eastAsia" w:ascii="宋体" w:hAnsi="宋体" w:eastAsia="宋体"/>
                <w:sz w:val="21"/>
                <w:szCs w:val="21"/>
              </w:rPr>
              <w:t>售后服务</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1A2E2F31">
            <w:pPr>
              <w:spacing w:line="360" w:lineRule="auto"/>
              <w:jc w:val="both"/>
              <w:rPr>
                <w:rFonts w:hint="eastAsia" w:ascii="宋体" w:hAnsi="宋体" w:eastAsia="宋体"/>
                <w:sz w:val="21"/>
                <w:szCs w:val="21"/>
              </w:rPr>
            </w:pPr>
            <w:r>
              <w:rPr>
                <w:rFonts w:hint="eastAsia" w:ascii="宋体" w:hAnsi="宋体" w:eastAsia="宋体"/>
                <w:sz w:val="21"/>
                <w:szCs w:val="21"/>
              </w:rPr>
              <w:t xml:space="preserve">根据投标供应商提供的针对本项目的实施售后方案情况，满分6分: </w:t>
            </w:r>
          </w:p>
          <w:p w14:paraId="1972BAAB">
            <w:pPr>
              <w:spacing w:line="360" w:lineRule="auto"/>
              <w:jc w:val="both"/>
              <w:rPr>
                <w:rFonts w:hint="eastAsia" w:ascii="宋体" w:hAnsi="宋体" w:eastAsia="宋体"/>
                <w:sz w:val="21"/>
                <w:szCs w:val="21"/>
              </w:rPr>
            </w:pPr>
            <w:r>
              <w:rPr>
                <w:rFonts w:hint="eastAsia" w:ascii="宋体" w:hAnsi="宋体" w:eastAsia="宋体"/>
                <w:sz w:val="21"/>
                <w:szCs w:val="21"/>
              </w:rPr>
              <w:t xml:space="preserve">1、提供详细完善、科学的方案，有针对性，充分考虑到本项目的特点要求得 6-10 分； </w:t>
            </w:r>
          </w:p>
          <w:p w14:paraId="43DA3117">
            <w:pPr>
              <w:spacing w:line="360" w:lineRule="auto"/>
              <w:jc w:val="both"/>
              <w:rPr>
                <w:rFonts w:hint="eastAsia" w:ascii="宋体" w:hAnsi="宋体" w:eastAsia="宋体"/>
                <w:sz w:val="21"/>
                <w:szCs w:val="21"/>
              </w:rPr>
            </w:pPr>
            <w:r>
              <w:rPr>
                <w:rFonts w:hint="eastAsia" w:ascii="宋体" w:hAnsi="宋体" w:eastAsia="宋体"/>
                <w:sz w:val="21"/>
                <w:szCs w:val="21"/>
              </w:rPr>
              <w:t xml:space="preserve">2、提供的方案不全或内容简单得 1-5分； </w:t>
            </w:r>
          </w:p>
          <w:p w14:paraId="41563BAE">
            <w:pPr>
              <w:spacing w:line="360" w:lineRule="auto"/>
              <w:jc w:val="both"/>
              <w:rPr>
                <w:rFonts w:ascii="宋体" w:hAnsi="宋体" w:eastAsia="宋体"/>
                <w:sz w:val="21"/>
                <w:szCs w:val="21"/>
              </w:rPr>
            </w:pPr>
            <w:r>
              <w:rPr>
                <w:rFonts w:hint="eastAsia" w:ascii="宋体" w:hAnsi="宋体" w:eastAsia="宋体"/>
                <w:sz w:val="21"/>
                <w:szCs w:val="21"/>
              </w:rPr>
              <w:t>3、未提供的不得分。</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621234AC">
            <w:pPr>
              <w:spacing w:line="360" w:lineRule="auto"/>
              <w:jc w:val="both"/>
              <w:rPr>
                <w:rFonts w:ascii="宋体" w:hAnsi="宋体" w:eastAsia="宋体"/>
                <w:b/>
                <w:bCs/>
                <w:sz w:val="21"/>
                <w:szCs w:val="21"/>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10</w:t>
            </w:r>
            <w:r>
              <w:rPr>
                <w:rFonts w:hint="eastAsia" w:ascii="宋体" w:hAnsi="宋体" w:eastAsia="宋体" w:cs="宋体"/>
                <w:color w:val="000000"/>
                <w:sz w:val="21"/>
                <w:szCs w:val="21"/>
              </w:rPr>
              <w:t>分</w:t>
            </w:r>
          </w:p>
        </w:tc>
      </w:tr>
      <w:tr w14:paraId="4F16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jc w:val="center"/>
        </w:trPr>
        <w:tc>
          <w:tcPr>
            <w:tcW w:w="1352" w:type="dxa"/>
            <w:vMerge w:val="continue"/>
            <w:tcBorders>
              <w:left w:val="single" w:color="auto" w:sz="4" w:space="0"/>
              <w:right w:val="single" w:color="auto" w:sz="4" w:space="0"/>
            </w:tcBorders>
            <w:noWrap w:val="0"/>
            <w:vAlign w:val="center"/>
          </w:tcPr>
          <w:p w14:paraId="3993DF72">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1D485020">
            <w:pPr>
              <w:spacing w:line="360" w:lineRule="auto"/>
              <w:jc w:val="both"/>
              <w:rPr>
                <w:rFonts w:hint="eastAsia" w:ascii="宋体" w:hAnsi="宋体" w:eastAsia="宋体" w:cs="宋体"/>
                <w:color w:val="000000"/>
                <w:sz w:val="21"/>
                <w:szCs w:val="21"/>
              </w:rPr>
            </w:pPr>
            <w:r>
              <w:rPr>
                <w:rFonts w:hint="eastAsia" w:ascii="宋体" w:hAnsi="宋体" w:eastAsia="宋体" w:cs="宋体"/>
                <w:color w:val="000000"/>
                <w:sz w:val="21"/>
                <w:szCs w:val="21"/>
              </w:rPr>
              <w:t>培训方案</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206D6E8E">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 xml:space="preserve">根据投标供应商提供的针对本项目的培训方案情况，满分6分: </w:t>
            </w:r>
          </w:p>
          <w:p w14:paraId="3C903C22">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 xml:space="preserve">1、提供详细完善、科学的方案，有针对性，充分考虑到本项目的特点要求得 6-10 分； </w:t>
            </w:r>
          </w:p>
          <w:p w14:paraId="1EA19899">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 xml:space="preserve">2、提供的方案不全或内容简单得 1-5分； </w:t>
            </w:r>
          </w:p>
          <w:p w14:paraId="5912F5A0">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3、未提供的不得分。</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3F88CAF4">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10</w:t>
            </w:r>
            <w:r>
              <w:rPr>
                <w:rFonts w:hint="eastAsia" w:ascii="宋体" w:hAnsi="宋体" w:eastAsia="宋体" w:cs="宋体"/>
                <w:color w:val="000000"/>
                <w:sz w:val="21"/>
                <w:szCs w:val="21"/>
              </w:rPr>
              <w:t>分</w:t>
            </w:r>
          </w:p>
        </w:tc>
      </w:tr>
      <w:tr w14:paraId="3308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1B07DB0E">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273D4EF6">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同类项目经验</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425CF45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评标委员会根据响应情况投标人或制造商商提供的近5年（2021年</w:t>
            </w:r>
            <w:r>
              <w:rPr>
                <w:rFonts w:hint="eastAsia" w:ascii="宋体" w:hAnsi="宋体" w:cs="宋体"/>
                <w:color w:val="000000"/>
                <w:sz w:val="21"/>
                <w:szCs w:val="21"/>
                <w:lang w:val="en-US" w:eastAsia="zh-CN"/>
              </w:rPr>
              <w:t>10</w:t>
            </w:r>
            <w:r>
              <w:rPr>
                <w:rFonts w:hint="default" w:ascii="宋体" w:hAnsi="宋体" w:eastAsia="宋体" w:cs="宋体"/>
                <w:color w:val="000000"/>
                <w:sz w:val="21"/>
                <w:szCs w:val="21"/>
                <w:lang w:val="en-US" w:eastAsia="zh-CN"/>
              </w:rPr>
              <w:t>月至投标截止日前，以合同签订时间为准）类似项目案例计分，每提供一个得2分，满分8分。</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75BE21EE">
            <w:pPr>
              <w:spacing w:line="360" w:lineRule="auto"/>
              <w:jc w:val="both"/>
              <w:rPr>
                <w:rFonts w:ascii="宋体" w:hAnsi="宋体" w:eastAsia="宋体"/>
                <w:b/>
                <w:bCs/>
                <w:sz w:val="21"/>
                <w:szCs w:val="21"/>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8</w:t>
            </w:r>
            <w:r>
              <w:rPr>
                <w:rFonts w:hint="eastAsia" w:ascii="宋体" w:hAnsi="宋体" w:eastAsia="宋体" w:cs="宋体"/>
                <w:color w:val="000000"/>
                <w:sz w:val="21"/>
                <w:szCs w:val="21"/>
              </w:rPr>
              <w:t>分</w:t>
            </w:r>
          </w:p>
        </w:tc>
      </w:tr>
      <w:tr w14:paraId="5285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56EAC360">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0378315B">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投标人资质、</w:t>
            </w:r>
          </w:p>
          <w:p w14:paraId="78E1A529">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综合实力</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7B77829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1、投标人或制造商具有ISO9001质量管理体系认证证书、ISO14001环境管理体系认证证书、ISO45001职业健康安全管理体系认证证书，每提供1份证书得1分，最多3分。</w:t>
            </w:r>
          </w:p>
          <w:p w14:paraId="7CFFCC4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投标人或制造商具有职业教育领域建设服务能力，若连续5年内参与承办过云计算、大数据、人工智能等计算机专业方向行业竞赛的，得3分。投标文件中提供承办过行业赛的佐证材料，包括不限于官方文件通知或者竞赛现场图片、颁奖图片等材料，提供一项材料即可，不提供不得分。</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3FE20B46">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6</w:t>
            </w:r>
            <w:r>
              <w:rPr>
                <w:rFonts w:hint="eastAsia" w:ascii="宋体" w:hAnsi="宋体" w:eastAsia="宋体" w:cs="宋体"/>
                <w:color w:val="000000"/>
                <w:sz w:val="21"/>
                <w:szCs w:val="21"/>
              </w:rPr>
              <w:t>分</w:t>
            </w:r>
          </w:p>
        </w:tc>
      </w:tr>
      <w:tr w14:paraId="30B4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7D155708">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5EC8F632">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出版教材开发</w:t>
            </w:r>
          </w:p>
        </w:tc>
        <w:tc>
          <w:tcPr>
            <w:tcW w:w="6310" w:type="dxa"/>
            <w:tcBorders>
              <w:top w:val="single" w:color="auto" w:sz="4" w:space="0"/>
              <w:left w:val="single" w:color="auto" w:sz="4" w:space="0"/>
              <w:bottom w:val="single" w:color="auto" w:sz="4" w:space="0"/>
              <w:right w:val="single" w:color="auto" w:sz="4" w:space="0"/>
            </w:tcBorders>
            <w:noWrap w:val="0"/>
            <w:vAlign w:val="center"/>
          </w:tcPr>
          <w:p w14:paraId="46E4FF69">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投标人或制造商参与编制人工智能方向的出版教材的，每出版一门教材的得3分，总分6分。</w:t>
            </w:r>
          </w:p>
          <w:p w14:paraId="728E0898">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教材需满足以下条件：</w:t>
            </w:r>
          </w:p>
          <w:p w14:paraId="18F0A7C8">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1、教材需由国家级及以上出版社出版；</w:t>
            </w:r>
          </w:p>
          <w:p w14:paraId="2497D2E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2、软件制造商提供参与编写的课程配套出版教材，投标文件中提供教材ISBN编码，封面图片或原厂商参与编写证明材料等。</w:t>
            </w:r>
          </w:p>
          <w:p w14:paraId="3E27FDB3">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3、教材内容需是深度学习、计算机视觉、自然语言处理、智能数据分析等人工智能方向的，投标文件中提供教材目录内容截图证明。</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0C04BB0A">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6</w:t>
            </w:r>
            <w:r>
              <w:rPr>
                <w:rFonts w:hint="eastAsia" w:ascii="宋体" w:hAnsi="宋体" w:eastAsia="宋体" w:cs="宋体"/>
                <w:color w:val="000000"/>
                <w:sz w:val="21"/>
                <w:szCs w:val="21"/>
              </w:rPr>
              <w:t>分</w:t>
            </w:r>
          </w:p>
        </w:tc>
      </w:tr>
      <w:tr w14:paraId="7BD3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352" w:type="dxa"/>
            <w:tcBorders>
              <w:left w:val="single" w:color="auto" w:sz="4" w:space="0"/>
              <w:right w:val="single" w:color="auto" w:sz="4" w:space="0"/>
            </w:tcBorders>
            <w:noWrap w:val="0"/>
            <w:vAlign w:val="center"/>
          </w:tcPr>
          <w:p w14:paraId="42E43CF2">
            <w:pPr>
              <w:spacing w:line="360" w:lineRule="auto"/>
              <w:ind w:firstLine="210" w:firstLineChars="100"/>
              <w:jc w:val="both"/>
              <w:rPr>
                <w:rFonts w:ascii="宋体" w:hAnsi="宋体" w:eastAsia="宋体"/>
                <w:sz w:val="21"/>
                <w:szCs w:val="21"/>
              </w:rPr>
            </w:pPr>
            <w:r>
              <w:rPr>
                <w:rFonts w:hint="eastAsia" w:ascii="宋体" w:hAnsi="宋体" w:eastAsia="宋体"/>
                <w:sz w:val="21"/>
                <w:szCs w:val="21"/>
              </w:rPr>
              <w:t>价格分</w:t>
            </w:r>
          </w:p>
          <w:p w14:paraId="612E5458">
            <w:pPr>
              <w:spacing w:line="360" w:lineRule="auto"/>
              <w:jc w:val="both"/>
              <w:rPr>
                <w:rFonts w:ascii="宋体" w:hAnsi="宋体" w:eastAsia="宋体"/>
                <w:b/>
                <w:bCs/>
                <w:sz w:val="21"/>
                <w:szCs w:val="21"/>
              </w:rPr>
            </w:pPr>
            <w:r>
              <w:rPr>
                <w:rFonts w:hint="eastAsia" w:ascii="宋体" w:hAnsi="宋体" w:eastAsia="宋体"/>
                <w:sz w:val="21"/>
                <w:szCs w:val="21"/>
              </w:rPr>
              <w:t>（</w:t>
            </w:r>
            <w:r>
              <w:rPr>
                <w:rFonts w:hint="eastAsia" w:ascii="宋体" w:hAnsi="宋体"/>
                <w:sz w:val="21"/>
                <w:szCs w:val="21"/>
                <w:u w:val="single"/>
                <w:lang w:val="en-US" w:eastAsia="zh-CN"/>
              </w:rPr>
              <w:t>3</w:t>
            </w:r>
            <w:r>
              <w:rPr>
                <w:rFonts w:hint="eastAsia" w:ascii="宋体" w:hAnsi="宋体" w:eastAsia="宋体"/>
                <w:sz w:val="21"/>
                <w:szCs w:val="21"/>
                <w:u w:val="single"/>
              </w:rPr>
              <w:t>0</w:t>
            </w:r>
            <w:r>
              <w:rPr>
                <w:rFonts w:hint="eastAsia" w:ascii="宋体" w:hAnsi="宋体" w:eastAsia="宋体"/>
                <w:sz w:val="21"/>
                <w:szCs w:val="21"/>
              </w:rPr>
              <w:t>分）</w:t>
            </w:r>
          </w:p>
        </w:tc>
        <w:tc>
          <w:tcPr>
            <w:tcW w:w="9085" w:type="dxa"/>
            <w:gridSpan w:val="3"/>
            <w:tcBorders>
              <w:top w:val="single" w:color="auto" w:sz="4" w:space="0"/>
              <w:left w:val="single" w:color="auto" w:sz="4" w:space="0"/>
              <w:bottom w:val="single" w:color="auto" w:sz="4" w:space="0"/>
              <w:right w:val="single" w:color="auto" w:sz="4" w:space="0"/>
            </w:tcBorders>
            <w:noWrap w:val="0"/>
            <w:vAlign w:val="center"/>
          </w:tcPr>
          <w:p w14:paraId="51619EBE">
            <w:pPr>
              <w:spacing w:line="360" w:lineRule="auto"/>
              <w:jc w:val="both"/>
              <w:rPr>
                <w:rFonts w:hint="eastAsia" w:ascii="宋体" w:hAnsi="宋体" w:eastAsia="宋体"/>
                <w:b w:val="0"/>
                <w:bCs w:val="0"/>
                <w:sz w:val="21"/>
                <w:szCs w:val="21"/>
              </w:rPr>
            </w:pPr>
            <w:r>
              <w:rPr>
                <w:rFonts w:hint="eastAsia" w:ascii="宋体" w:hAnsi="宋体" w:eastAsia="宋体"/>
                <w:b w:val="0"/>
                <w:bCs w:val="0"/>
                <w:sz w:val="21"/>
                <w:szCs w:val="21"/>
              </w:rPr>
              <w:t>价格分统一采用低价优先法，即满足磋商文件要求且最后报价最低的供应商的价格为磋商基准价，其价格分为满分</w:t>
            </w:r>
            <w:r>
              <w:rPr>
                <w:rFonts w:hint="eastAsia" w:ascii="宋体" w:hAnsi="宋体"/>
                <w:b w:val="0"/>
                <w:bCs w:val="0"/>
                <w:sz w:val="21"/>
                <w:szCs w:val="21"/>
                <w:lang w:val="en-US" w:eastAsia="zh-CN"/>
              </w:rPr>
              <w:t>3</w:t>
            </w:r>
            <w:r>
              <w:rPr>
                <w:rFonts w:hint="eastAsia" w:ascii="宋体" w:hAnsi="宋体" w:eastAsia="宋体"/>
                <w:b w:val="0"/>
                <w:bCs w:val="0"/>
                <w:sz w:val="21"/>
                <w:szCs w:val="21"/>
                <w:lang w:val="en-US" w:eastAsia="zh-CN"/>
              </w:rPr>
              <w:t>0</w:t>
            </w:r>
            <w:r>
              <w:rPr>
                <w:rFonts w:hint="eastAsia" w:ascii="宋体" w:hAnsi="宋体" w:eastAsia="宋体"/>
                <w:b w:val="0"/>
                <w:bCs w:val="0"/>
                <w:sz w:val="21"/>
                <w:szCs w:val="21"/>
              </w:rPr>
              <w:t>分。其他供应商的价格分统一按照下列公式计算：</w:t>
            </w:r>
          </w:p>
          <w:p w14:paraId="4A7AFA4E">
            <w:pPr>
              <w:spacing w:line="360" w:lineRule="auto"/>
              <w:jc w:val="both"/>
              <w:rPr>
                <w:rFonts w:ascii="宋体" w:hAnsi="宋体" w:eastAsia="宋体"/>
                <w:b/>
                <w:bCs/>
                <w:sz w:val="21"/>
                <w:szCs w:val="21"/>
              </w:rPr>
            </w:pPr>
            <w:r>
              <w:rPr>
                <w:rFonts w:hint="eastAsia" w:ascii="宋体" w:hAnsi="宋体" w:eastAsia="宋体"/>
                <w:b w:val="0"/>
                <w:bCs w:val="0"/>
                <w:sz w:val="21"/>
                <w:szCs w:val="21"/>
              </w:rPr>
              <w:t>磋商报价得分＝（磋商基准价/最后磋商报价）×</w:t>
            </w:r>
            <w:r>
              <w:rPr>
                <w:rFonts w:hint="eastAsia" w:ascii="宋体" w:hAnsi="宋体"/>
                <w:b w:val="0"/>
                <w:bCs w:val="0"/>
                <w:sz w:val="21"/>
                <w:szCs w:val="21"/>
                <w:lang w:val="en-US" w:eastAsia="zh-CN"/>
              </w:rPr>
              <w:t>3</w:t>
            </w:r>
            <w:r>
              <w:rPr>
                <w:rFonts w:hint="eastAsia" w:ascii="宋体" w:hAnsi="宋体" w:eastAsia="宋体"/>
                <w:b w:val="0"/>
                <w:bCs w:val="0"/>
                <w:sz w:val="21"/>
                <w:szCs w:val="21"/>
                <w:lang w:val="en-US" w:eastAsia="zh-CN"/>
              </w:rPr>
              <w:t>0</w:t>
            </w:r>
            <w:r>
              <w:rPr>
                <w:rFonts w:hint="eastAsia" w:ascii="宋体" w:hAnsi="宋体" w:eastAsia="宋体"/>
                <w:b w:val="0"/>
                <w:bCs w:val="0"/>
                <w:sz w:val="21"/>
                <w:szCs w:val="21"/>
              </w:rPr>
              <w:t>％×100</w:t>
            </w:r>
          </w:p>
        </w:tc>
      </w:tr>
    </w:tbl>
    <w:p w14:paraId="4C4B15BA">
      <w:pPr>
        <w:pStyle w:val="13"/>
        <w:keepNext w:val="0"/>
        <w:keepLines w:val="0"/>
        <w:pageBreakBefore w:val="0"/>
        <w:widowControl w:val="0"/>
        <w:kinsoku/>
        <w:wordWrap/>
        <w:overflowPunct/>
        <w:topLinePunct w:val="0"/>
        <w:autoSpaceDE/>
        <w:autoSpaceDN/>
        <w:bidi w:val="0"/>
        <w:adjustRightInd/>
        <w:snapToGrid/>
        <w:spacing w:before="157" w:beforeLines="50" w:after="0"/>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3.3分值汇总</w:t>
      </w:r>
    </w:p>
    <w:p w14:paraId="6A486990">
      <w:pPr>
        <w:pStyle w:val="13"/>
        <w:ind w:left="0" w:leftChars="0" w:firstLine="0" w:firstLineChars="0"/>
        <w:rPr>
          <w:rFonts w:hint="eastAsia"/>
          <w:color w:val="auto"/>
          <w:highlight w:val="none"/>
          <w:lang w:val="en-US" w:eastAsia="zh-CN"/>
        </w:rPr>
      </w:pPr>
      <w:r>
        <w:rPr>
          <w:rFonts w:hint="eastAsia"/>
          <w:color w:val="auto"/>
          <w:highlight w:val="none"/>
          <w:lang w:val="en-US" w:eastAsia="zh-CN"/>
        </w:rPr>
        <w:t>（1）磋商小组各成员应当独立对每个有效响应的文件进行评价、打分，然后汇总每个供应商每项评分因素的得分，再取各位评委评分之平均值，四舍五入保留至小数点后两位数，得到该供应商的技术资信分。</w:t>
      </w:r>
    </w:p>
    <w:p w14:paraId="4F07A0B1">
      <w:pPr>
        <w:pStyle w:val="13"/>
        <w:ind w:left="0" w:leftChars="0" w:firstLine="0" w:firstLineChars="0"/>
        <w:rPr>
          <w:rFonts w:hint="eastAsia"/>
          <w:color w:val="auto"/>
          <w:highlight w:val="none"/>
          <w:lang w:val="en-US" w:eastAsia="zh-CN"/>
        </w:rPr>
      </w:pPr>
      <w:r>
        <w:rPr>
          <w:rFonts w:hint="eastAsia"/>
          <w:color w:val="auto"/>
          <w:highlight w:val="none"/>
          <w:lang w:val="en-US" w:eastAsia="zh-CN"/>
        </w:rPr>
        <w:t>（2）将每个供应商的技术资信分加上根据上述标准计算出的价格分，即为该供应商的综合总得分。</w:t>
      </w:r>
    </w:p>
    <w:p w14:paraId="3BC9D3A5">
      <w:pPr>
        <w:rPr>
          <w:rFonts w:hint="eastAsia" w:ascii="宋体" w:hAnsi="宋体" w:eastAsia="宋体" w:cs="宋体"/>
          <w:b/>
          <w:bCs/>
          <w:color w:val="auto"/>
          <w:kern w:val="2"/>
          <w:sz w:val="36"/>
          <w:szCs w:val="36"/>
          <w:highlight w:val="none"/>
          <w:lang w:val="en-US" w:eastAsia="zh-CN"/>
        </w:rPr>
      </w:pPr>
      <w:r>
        <w:rPr>
          <w:rFonts w:hint="eastAsia"/>
          <w:color w:val="auto"/>
          <w:highlight w:val="none"/>
          <w:lang w:val="en-US" w:eastAsia="zh-CN"/>
        </w:rPr>
        <w:t>（3）投标人要严格按照招标文件规定提交类似业绩和奖项供评标委员会评审，投标人应根据招标文件要求，最多只能提供N个类似业绩、M个奖项。若超过上述数量，评标委员会仅评审投标文件中排序在前的类似业绩和奖项，多余的类似业绩和奖项在本项目招投标活动中不予评审。（注：N、M分别为投标人获取满分的类似业绩和奖项的最少数量）。</w:t>
      </w:r>
      <w:bookmarkStart w:id="58" w:name="_Toc1812"/>
      <w:bookmarkStart w:id="59" w:name="_Toc8981"/>
      <w:bookmarkStart w:id="60" w:name="_Toc439316880"/>
      <w:bookmarkStart w:id="61" w:name="_Toc54941341"/>
    </w:p>
    <w:p w14:paraId="0A7825F5">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5D4353B3">
      <w:pPr>
        <w:rPr>
          <w:rFonts w:hint="eastAsia" w:ascii="宋体" w:hAnsi="宋体" w:eastAsia="宋体" w:cs="宋体"/>
          <w:b/>
          <w:bCs/>
          <w:color w:val="auto"/>
          <w:kern w:val="2"/>
          <w:sz w:val="36"/>
          <w:szCs w:val="36"/>
          <w:highlight w:val="none"/>
          <w:lang w:val="en-US" w:eastAsia="zh-CN"/>
        </w:rPr>
      </w:pPr>
    </w:p>
    <w:p w14:paraId="2E38AA87">
      <w:pPr>
        <w:rPr>
          <w:rFonts w:hint="eastAsia" w:ascii="宋体" w:hAnsi="宋体" w:eastAsia="宋体" w:cs="宋体"/>
          <w:b/>
          <w:bCs/>
          <w:color w:val="auto"/>
          <w:kern w:val="2"/>
          <w:sz w:val="36"/>
          <w:szCs w:val="36"/>
          <w:highlight w:val="none"/>
          <w:lang w:val="en-US" w:eastAsia="zh-CN"/>
        </w:rPr>
      </w:pPr>
    </w:p>
    <w:p w14:paraId="17B61E63">
      <w:pPr>
        <w:rPr>
          <w:rFonts w:hint="eastAsia" w:ascii="宋体" w:hAnsi="宋体" w:eastAsia="宋体" w:cs="宋体"/>
          <w:b/>
          <w:bCs/>
          <w:color w:val="auto"/>
          <w:kern w:val="2"/>
          <w:sz w:val="36"/>
          <w:szCs w:val="36"/>
          <w:highlight w:val="none"/>
          <w:lang w:val="en-US" w:eastAsia="zh-CN"/>
        </w:rPr>
      </w:pPr>
    </w:p>
    <w:p w14:paraId="2114B15D">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合 同</w:t>
      </w:r>
    </w:p>
    <w:p w14:paraId="163075B1">
      <w:pPr>
        <w:pStyle w:val="17"/>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7002AE6">
      <w:pPr>
        <w:pStyle w:val="17"/>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0E4CF258">
      <w:pPr>
        <w:pStyle w:val="17"/>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610ED54E">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A5F71D1">
      <w:pPr>
        <w:pStyle w:val="14"/>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/磋商</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4"/>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4"/>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38"/>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3"/>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3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556F6DDA">
      <w:pPr>
        <w:snapToGrid w:val="0"/>
        <w:spacing w:line="360" w:lineRule="auto"/>
        <w:ind w:firstLine="480" w:firstLineChars="200"/>
        <w:rPr>
          <w:rFonts w:hint="eastAsia" w:ascii="宋体" w:hAnsi="宋体" w:cs="宋体"/>
          <w:sz w:val="24"/>
          <w:szCs w:val="24"/>
        </w:rPr>
      </w:pPr>
      <w:bookmarkStart w:id="62" w:name="_Toc28375"/>
      <w:bookmarkStart w:id="63" w:name="_Toc16021"/>
      <w:bookmarkStart w:id="64" w:name="_Toc15583"/>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371330D4">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2A6CEADE">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8F2525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AF23FD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690EE1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7.合同争议的解决</w:t>
      </w:r>
      <w:bookmarkEnd w:id="62"/>
      <w:bookmarkEnd w:id="63"/>
      <w:bookmarkEnd w:id="64"/>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57F47BC">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w:t>
      </w:r>
    </w:p>
    <w:p w14:paraId="7DC8558F">
      <w:pPr>
        <w:pStyle w:val="48"/>
        <w:rPr>
          <w:rFonts w:hint="eastAsia" w:ascii="宋体" w:hAnsi="宋体" w:cs="宋体"/>
          <w:sz w:val="24"/>
          <w:szCs w:val="24"/>
          <w:u w:val="single"/>
        </w:rPr>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735"/>
        <w:gridCol w:w="2106"/>
        <w:gridCol w:w="2433"/>
        <w:gridCol w:w="2221"/>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49"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50"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9"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9"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9"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9"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9"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bl>
    <w:p w14:paraId="7EF9B88A">
      <w:pPr>
        <w:widowControl/>
        <w:spacing w:line="560" w:lineRule="exact"/>
        <w:jc w:val="left"/>
        <w:rPr>
          <w:rFonts w:hint="eastAsia"/>
          <w:lang w:val="zh-CN"/>
        </w:rPr>
      </w:pPr>
      <w:r>
        <w:rPr>
          <w:rFonts w:hint="eastAsia" w:ascii="宋体" w:hAnsi="宋体" w:eastAsia="宋体" w:cs="宋体"/>
          <w:sz w:val="24"/>
          <w:szCs w:val="24"/>
          <w:highlight w:val="none"/>
          <w:u w:val="single"/>
        </w:rPr>
        <w:br w:type="page"/>
      </w:r>
    </w:p>
    <w:bookmarkEnd w:id="58"/>
    <w:bookmarkEnd w:id="59"/>
    <w:bookmarkEnd w:id="60"/>
    <w:bookmarkEnd w:id="61"/>
    <w:p w14:paraId="3BD274A0">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65" w:name="_Toc417656001"/>
      <w:r>
        <w:rPr>
          <w:rFonts w:hint="eastAsia" w:ascii="Arial" w:hAnsi="Arial"/>
          <w:color w:val="auto"/>
          <w:kern w:val="2"/>
          <w:sz w:val="36"/>
          <w:szCs w:val="36"/>
          <w:highlight w:val="none"/>
        </w:rPr>
        <w:t>响应文件格式</w:t>
      </w:r>
      <w:bookmarkEnd w:id="65"/>
    </w:p>
    <w:p w14:paraId="6F61B9AA">
      <w:pPr>
        <w:spacing w:line="360" w:lineRule="auto"/>
        <w:jc w:val="center"/>
        <w:rPr>
          <w:rFonts w:ascii="仿宋" w:hAnsi="仿宋" w:eastAsia="仿宋"/>
          <w:b/>
          <w:color w:val="auto"/>
          <w:spacing w:val="20"/>
          <w:sz w:val="36"/>
          <w:szCs w:val="36"/>
          <w:highlight w:val="none"/>
          <w:u w:val="single"/>
        </w:rPr>
      </w:pPr>
    </w:p>
    <w:p w14:paraId="77CB8270">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41851454">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5570D467">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693F3B23">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10B9FA7C">
      <w:pPr>
        <w:pStyle w:val="48"/>
        <w:ind w:left="0" w:leftChars="0" w:firstLine="0" w:firstLineChars="0"/>
        <w:rPr>
          <w:rFonts w:ascii="宋体"/>
          <w:color w:val="auto"/>
          <w:sz w:val="24"/>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51AC5DAF">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81D6926">
      <w:pPr>
        <w:spacing w:line="360" w:lineRule="auto"/>
        <w:ind w:firstLine="602" w:firstLineChars="200"/>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p>
    <w:p w14:paraId="5925B018">
      <w:pPr>
        <w:spacing w:line="360" w:lineRule="auto"/>
        <w:rPr>
          <w:rFonts w:ascii="仿宋_GB2312" w:eastAsia="仿宋_GB2312"/>
          <w:color w:val="auto"/>
          <w:sz w:val="30"/>
          <w:szCs w:val="30"/>
          <w:highlight w:val="none"/>
        </w:rPr>
      </w:pPr>
    </w:p>
    <w:p w14:paraId="2356CC2F">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1C2C49">
      <w:pPr>
        <w:spacing w:line="480" w:lineRule="exact"/>
        <w:jc w:val="center"/>
        <w:rPr>
          <w:rFonts w:ascii="宋体" w:hAnsi="宋体"/>
          <w:b/>
          <w:color w:val="auto"/>
          <w:sz w:val="30"/>
          <w:szCs w:val="30"/>
          <w:highlight w:val="none"/>
        </w:rPr>
      </w:pPr>
    </w:p>
    <w:p w14:paraId="54D5A13D">
      <w:pPr>
        <w:spacing w:line="480" w:lineRule="exact"/>
        <w:rPr>
          <w:rFonts w:ascii="黑体" w:eastAsia="黑体"/>
          <w:b/>
          <w:bCs/>
          <w:color w:val="auto"/>
          <w:szCs w:val="21"/>
          <w:highlight w:val="none"/>
        </w:rPr>
      </w:pPr>
    </w:p>
    <w:p w14:paraId="01FCE25C">
      <w:pPr>
        <w:pStyle w:val="49"/>
      </w:pPr>
    </w:p>
    <w:p w14:paraId="28878E0F">
      <w:pPr>
        <w:rPr>
          <w:color w:val="auto"/>
          <w:highlight w:val="none"/>
        </w:rPr>
      </w:pPr>
    </w:p>
    <w:p w14:paraId="4DB001B2">
      <w:pPr>
        <w:jc w:val="center"/>
        <w:rPr>
          <w:rFonts w:hint="eastAsia" w:ascii="宋体" w:hAnsi="宋体" w:cs="宋体"/>
          <w:b/>
          <w:color w:val="auto"/>
          <w:sz w:val="32"/>
          <w:szCs w:val="32"/>
          <w:highlight w:val="none"/>
        </w:rPr>
      </w:pPr>
    </w:p>
    <w:p w14:paraId="19B9598F">
      <w:pPr>
        <w:spacing w:line="360" w:lineRule="auto"/>
        <w:jc w:val="center"/>
        <w:outlineLvl w:val="1"/>
        <w:rPr>
          <w:rFonts w:asciiTheme="minorEastAsia" w:hAnsiTheme="minorEastAsia" w:eastAsiaTheme="minorEastAsia"/>
          <w:b/>
          <w:color w:val="auto"/>
          <w:sz w:val="24"/>
          <w:highlight w:val="none"/>
        </w:rPr>
      </w:pPr>
      <w:bookmarkStart w:id="66" w:name="_Toc461056631"/>
      <w:bookmarkStart w:id="67" w:name="_Toc461053086"/>
      <w:bookmarkStart w:id="68" w:name="_Toc26791"/>
      <w:bookmarkStart w:id="69" w:name="_Toc5881"/>
      <w:bookmarkStart w:id="70" w:name="_Toc520983587"/>
      <w:r>
        <w:rPr>
          <w:rFonts w:hint="eastAsia" w:asciiTheme="minorEastAsia" w:hAnsiTheme="minorEastAsia" w:eastAsiaTheme="minorEastAsia"/>
          <w:b/>
          <w:color w:val="auto"/>
          <w:sz w:val="24"/>
          <w:highlight w:val="none"/>
        </w:rPr>
        <w:t>一</w:t>
      </w:r>
      <w:bookmarkEnd w:id="66"/>
      <w:bookmarkEnd w:id="67"/>
      <w:r>
        <w:rPr>
          <w:rFonts w:hint="eastAsia" w:asciiTheme="minorEastAsia" w:hAnsiTheme="minorEastAsia" w:eastAsiaTheme="minorEastAsia"/>
          <w:b/>
          <w:color w:val="auto"/>
          <w:sz w:val="24"/>
          <w:highlight w:val="none"/>
        </w:rPr>
        <w:t>、报价表格式</w:t>
      </w:r>
      <w:bookmarkEnd w:id="68"/>
      <w:bookmarkEnd w:id="69"/>
      <w:bookmarkEnd w:id="70"/>
    </w:p>
    <w:p w14:paraId="446639F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737EF5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A1E5EC7">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2B9B9F4">
      <w:pPr>
        <w:wordWrap w:val="0"/>
        <w:spacing w:beforeAutospacing="0" w:line="360" w:lineRule="auto"/>
        <w:jc w:val="right"/>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28BE9F4">
            <w:pPr>
              <w:spacing w:line="360" w:lineRule="auto"/>
              <w:rPr>
                <w:rFonts w:ascii="宋体" w:hAnsi="宋体" w:eastAsia="宋体"/>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磋商范围</w:t>
            </w:r>
          </w:p>
        </w:tc>
        <w:tc>
          <w:tcPr>
            <w:tcW w:w="3557" w:type="pct"/>
            <w:tcBorders>
              <w:left w:val="single" w:color="auto" w:sz="4" w:space="0"/>
            </w:tcBorders>
            <w:vAlign w:val="center"/>
          </w:tcPr>
          <w:p w14:paraId="314BE3B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33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11263759">
            <w:pPr>
              <w:snapToGrid w:val="0"/>
              <w:spacing w:line="360" w:lineRule="auto"/>
              <w:rPr>
                <w:rFonts w:ascii="宋体" w:hAnsi="宋体" w:eastAsia="宋体"/>
                <w:color w:val="auto"/>
                <w:sz w:val="24"/>
                <w:szCs w:val="28"/>
                <w:highlight w:val="none"/>
              </w:rPr>
            </w:pPr>
          </w:p>
          <w:p w14:paraId="00CEDBB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0315E39">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4936452F">
            <w:pPr>
              <w:snapToGrid w:val="0"/>
              <w:spacing w:line="360" w:lineRule="auto"/>
              <w:rPr>
                <w:rFonts w:ascii="宋体" w:hAnsi="宋体" w:eastAsia="宋体"/>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B5F88B">
            <w:pPr>
              <w:spacing w:line="360" w:lineRule="auto"/>
              <w:rPr>
                <w:rFonts w:ascii="宋体" w:hAnsi="宋体" w:eastAsia="宋体"/>
                <w:b/>
                <w:color w:val="auto"/>
                <w:sz w:val="24"/>
                <w:highlight w:val="none"/>
              </w:rPr>
            </w:pPr>
          </w:p>
        </w:tc>
      </w:tr>
    </w:tbl>
    <w:p w14:paraId="136B28F6">
      <w:pPr>
        <w:spacing w:line="360" w:lineRule="auto"/>
        <w:ind w:firstLine="4800" w:firstLineChars="2000"/>
        <w:rPr>
          <w:rFonts w:hint="eastAsia" w:ascii="宋体" w:hAnsi="宋体" w:eastAsia="宋体"/>
          <w:color w:val="auto"/>
          <w:sz w:val="24"/>
          <w:highlight w:val="none"/>
        </w:rPr>
      </w:pPr>
    </w:p>
    <w:p w14:paraId="01C994F2">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0B6648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A74FC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B3E707C">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1.本表内容根据磋商文件要求包括了</w:t>
      </w:r>
      <w:r>
        <w:rPr>
          <w:rFonts w:hint="eastAsia" w:ascii="宋体" w:hAnsi="宋体"/>
          <w:b/>
          <w:bCs/>
          <w:color w:val="auto"/>
          <w:sz w:val="24"/>
          <w:szCs w:val="28"/>
          <w:highlight w:val="none"/>
          <w:lang w:val="en-US" w:eastAsia="zh-CN"/>
        </w:rPr>
        <w:t>货物</w:t>
      </w:r>
      <w:r>
        <w:rPr>
          <w:rFonts w:hint="eastAsia" w:ascii="宋体" w:hAnsi="宋体" w:eastAsia="宋体"/>
          <w:b/>
          <w:bCs/>
          <w:color w:val="auto"/>
          <w:sz w:val="24"/>
          <w:szCs w:val="28"/>
          <w:highlight w:val="none"/>
        </w:rPr>
        <w:t>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22822C07">
      <w:pPr>
        <w:adjustRightInd w:val="0"/>
        <w:snapToGrid w:val="0"/>
        <w:spacing w:line="360" w:lineRule="auto"/>
        <w:ind w:firstLine="482" w:firstLineChars="200"/>
        <w:rPr>
          <w:rFonts w:hint="default" w:ascii="宋体" w:hAnsi="宋体" w:eastAsia="宋体"/>
          <w:b/>
          <w:bCs/>
          <w:color w:val="auto"/>
          <w:sz w:val="24"/>
          <w:szCs w:val="28"/>
          <w:highlight w:val="none"/>
          <w:lang w:val="en-US" w:eastAsia="zh-CN"/>
        </w:rPr>
      </w:pPr>
      <w:r>
        <w:rPr>
          <w:rFonts w:hint="eastAsia" w:ascii="宋体" w:hAnsi="宋体" w:eastAsia="宋体"/>
          <w:b/>
          <w:bCs/>
          <w:color w:val="auto"/>
          <w:sz w:val="24"/>
          <w:szCs w:val="28"/>
          <w:highlight w:val="none"/>
          <w:lang w:val="en-US" w:eastAsia="zh-CN"/>
        </w:rPr>
        <w:t>3</w:t>
      </w:r>
      <w:r>
        <w:rPr>
          <w:rFonts w:hint="eastAsia" w:ascii="宋体" w:hAnsi="宋体" w:eastAsia="宋体"/>
          <w:b/>
          <w:bCs/>
          <w:color w:val="auto"/>
          <w:sz w:val="24"/>
          <w:szCs w:val="28"/>
          <w:highlight w:val="none"/>
        </w:rPr>
        <w:t>.表中大写金额与小写金额不一致的，以大写金额为准。</w:t>
      </w:r>
    </w:p>
    <w:p w14:paraId="2FEFAA11">
      <w:pPr>
        <w:widowControl/>
        <w:jc w:val="left"/>
        <w:rPr>
          <w:rFonts w:ascii="宋体" w:hAnsi="宋体" w:eastAsia="宋体"/>
          <w:b/>
          <w:bCs/>
          <w:color w:val="auto"/>
          <w:sz w:val="24"/>
          <w:szCs w:val="28"/>
          <w:highlight w:val="none"/>
        </w:rPr>
      </w:pPr>
      <w:r>
        <w:rPr>
          <w:rFonts w:ascii="宋体" w:hAnsi="宋体" w:eastAsia="宋体"/>
          <w:b/>
          <w:bCs/>
          <w:color w:val="auto"/>
          <w:sz w:val="24"/>
          <w:szCs w:val="28"/>
          <w:highlight w:val="none"/>
        </w:rPr>
        <w:br w:type="page"/>
      </w: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3409"/>
        <w:gridCol w:w="1488"/>
        <w:gridCol w:w="1862"/>
        <w:gridCol w:w="1720"/>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序号</w:t>
            </w:r>
          </w:p>
        </w:tc>
        <w:tc>
          <w:tcPr>
            <w:tcW w:w="1823"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单价</w:t>
            </w:r>
          </w:p>
        </w:tc>
        <w:tc>
          <w:tcPr>
            <w:tcW w:w="920"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1</w:t>
            </w:r>
          </w:p>
        </w:tc>
        <w:tc>
          <w:tcPr>
            <w:tcW w:w="1823"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2</w:t>
            </w:r>
          </w:p>
        </w:tc>
        <w:tc>
          <w:tcPr>
            <w:tcW w:w="1823"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3</w:t>
            </w:r>
          </w:p>
        </w:tc>
        <w:tc>
          <w:tcPr>
            <w:tcW w:w="1823"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ascii="宋体" w:hAnsi="宋体" w:eastAsia="宋体"/>
                <w:sz w:val="24"/>
                <w:highlight w:val="none"/>
              </w:rPr>
              <w:t>…</w:t>
            </w:r>
          </w:p>
        </w:tc>
        <w:tc>
          <w:tcPr>
            <w:tcW w:w="1823"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79"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b/>
                <w:sz w:val="24"/>
                <w:highlight w:val="none"/>
              </w:rPr>
              <w:t>合计金额（元）</w:t>
            </w:r>
          </w:p>
        </w:tc>
        <w:tc>
          <w:tcPr>
            <w:tcW w:w="920"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bl>
    <w:p w14:paraId="4B6DB865">
      <w:pPr>
        <w:pStyle w:val="126"/>
        <w:jc w:val="both"/>
        <w:rPr>
          <w:rFonts w:hint="eastAsia" w:ascii="宋体" w:hAnsi="宋体" w:eastAsia="宋体"/>
          <w:b/>
          <w:bCs/>
          <w:highlight w:val="none"/>
          <w:lang w:val="en-US" w:eastAsia="zh-CN"/>
        </w:rPr>
      </w:pPr>
    </w:p>
    <w:p w14:paraId="0446BDE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AAF2D6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28A7822">
      <w:pPr>
        <w:pStyle w:val="126"/>
        <w:ind w:left="-108"/>
        <w:jc w:val="both"/>
        <w:rPr>
          <w:rFonts w:hint="eastAsia" w:ascii="宋体" w:hAnsi="宋体" w:eastAsia="宋体"/>
          <w:b/>
          <w:bCs/>
          <w:highlight w:val="none"/>
          <w:lang w:val="en-US" w:eastAsia="zh-CN"/>
        </w:rPr>
      </w:pPr>
    </w:p>
    <w:p w14:paraId="0983D8E1">
      <w:pPr>
        <w:pStyle w:val="126"/>
        <w:ind w:left="-108"/>
        <w:jc w:val="both"/>
        <w:rPr>
          <w:rFonts w:hint="eastAsia" w:ascii="宋体" w:hAnsi="宋体" w:eastAsia="宋体"/>
          <w:b/>
          <w:bCs/>
          <w:highlight w:val="none"/>
          <w:lang w:val="en-US" w:eastAsia="zh-CN"/>
        </w:rPr>
      </w:pPr>
    </w:p>
    <w:p w14:paraId="6710D830">
      <w:pPr>
        <w:pStyle w:val="126"/>
        <w:ind w:left="-108"/>
        <w:jc w:val="both"/>
        <w:rPr>
          <w:rFonts w:hint="eastAsia" w:ascii="宋体" w:hAnsi="宋体" w:eastAsia="宋体"/>
          <w:b/>
          <w:bCs/>
          <w:highlight w:val="none"/>
          <w:lang w:val="en-US" w:eastAsia="zh-CN"/>
        </w:rPr>
      </w:pPr>
    </w:p>
    <w:p w14:paraId="09FDD686">
      <w:pPr>
        <w:pStyle w:val="126"/>
        <w:ind w:left="-108"/>
        <w:jc w:val="both"/>
        <w:rPr>
          <w:rFonts w:hint="eastAsia" w:ascii="宋体" w:hAnsi="宋体" w:eastAsia="宋体"/>
          <w:b/>
          <w:bCs/>
          <w:highlight w:val="none"/>
          <w:lang w:val="en-US" w:eastAsia="zh-CN"/>
        </w:rPr>
      </w:pPr>
    </w:p>
    <w:p w14:paraId="377ABE4F">
      <w:pPr>
        <w:pStyle w:val="126"/>
        <w:ind w:left="-108"/>
        <w:jc w:val="both"/>
        <w:rPr>
          <w:rFonts w:hint="eastAsia" w:ascii="宋体" w:hAnsi="宋体" w:eastAsia="宋体"/>
          <w:b/>
          <w:bCs/>
          <w:highlight w:val="none"/>
          <w:lang w:val="en-US" w:eastAsia="zh-CN"/>
        </w:rPr>
      </w:pPr>
    </w:p>
    <w:p w14:paraId="38CF75EE">
      <w:pPr>
        <w:pStyle w:val="126"/>
        <w:ind w:left="-108"/>
        <w:jc w:val="both"/>
        <w:rPr>
          <w:rFonts w:hint="eastAsia" w:ascii="宋体" w:hAnsi="宋体" w:eastAsia="宋体"/>
          <w:b/>
          <w:bCs/>
          <w:highlight w:val="none"/>
          <w:lang w:val="en-US" w:eastAsia="zh-CN"/>
        </w:rPr>
      </w:pPr>
    </w:p>
    <w:p w14:paraId="0A4850BF">
      <w:pPr>
        <w:pStyle w:val="126"/>
        <w:ind w:left="-108"/>
        <w:jc w:val="both"/>
        <w:rPr>
          <w:rFonts w:hint="eastAsia" w:ascii="宋体" w:hAnsi="宋体" w:eastAsia="宋体"/>
          <w:b/>
          <w:bCs/>
          <w:highlight w:val="none"/>
          <w:lang w:val="en-US" w:eastAsia="zh-CN"/>
        </w:rPr>
      </w:pPr>
    </w:p>
    <w:p w14:paraId="23C68B4F">
      <w:pPr>
        <w:pStyle w:val="126"/>
        <w:ind w:left="-108"/>
        <w:jc w:val="both"/>
        <w:rPr>
          <w:rFonts w:hint="eastAsia" w:ascii="宋体" w:hAnsi="宋体" w:eastAsia="宋体"/>
          <w:b/>
          <w:bCs/>
          <w:highlight w:val="none"/>
          <w:lang w:val="en-US" w:eastAsia="zh-CN"/>
        </w:rPr>
      </w:pPr>
    </w:p>
    <w:p w14:paraId="41CBE10F">
      <w:pPr>
        <w:pStyle w:val="126"/>
        <w:ind w:left="-108"/>
        <w:jc w:val="both"/>
        <w:rPr>
          <w:rFonts w:hint="eastAsia" w:ascii="宋体" w:hAnsi="宋体" w:eastAsia="宋体"/>
          <w:b/>
          <w:bCs/>
          <w:highlight w:val="none"/>
          <w:lang w:val="en-US" w:eastAsia="zh-CN"/>
        </w:rPr>
      </w:pPr>
    </w:p>
    <w:p w14:paraId="64DDE308">
      <w:pPr>
        <w:pStyle w:val="126"/>
        <w:ind w:left="-108"/>
        <w:jc w:val="both"/>
        <w:rPr>
          <w:rFonts w:hint="eastAsia" w:ascii="宋体" w:hAnsi="宋体" w:eastAsia="宋体"/>
          <w:b/>
          <w:bCs/>
          <w:highlight w:val="none"/>
          <w:lang w:val="en-US" w:eastAsia="zh-CN"/>
        </w:rPr>
      </w:pPr>
    </w:p>
    <w:p w14:paraId="343CABE2">
      <w:pPr>
        <w:pStyle w:val="126"/>
        <w:ind w:left="-108"/>
        <w:jc w:val="both"/>
        <w:rPr>
          <w:rFonts w:hint="eastAsia" w:ascii="宋体" w:hAnsi="宋体" w:eastAsia="宋体"/>
          <w:b/>
          <w:bCs/>
          <w:highlight w:val="none"/>
          <w:lang w:val="en-US" w:eastAsia="zh-CN"/>
        </w:rPr>
      </w:pPr>
    </w:p>
    <w:p w14:paraId="7AA9EF5D">
      <w:pPr>
        <w:pStyle w:val="126"/>
        <w:ind w:left="-108"/>
        <w:jc w:val="both"/>
        <w:rPr>
          <w:rFonts w:hint="eastAsia" w:ascii="宋体" w:hAnsi="宋体" w:eastAsia="宋体"/>
          <w:b/>
          <w:bCs/>
          <w:highlight w:val="none"/>
          <w:lang w:val="en-US" w:eastAsia="zh-CN"/>
        </w:rPr>
      </w:pPr>
    </w:p>
    <w:p w14:paraId="4174EE1F">
      <w:pPr>
        <w:pStyle w:val="126"/>
        <w:ind w:left="-108"/>
        <w:jc w:val="both"/>
        <w:rPr>
          <w:rFonts w:hint="eastAsia" w:ascii="宋体" w:hAnsi="宋体" w:eastAsia="宋体"/>
          <w:b/>
          <w:bCs/>
          <w:highlight w:val="none"/>
          <w:lang w:val="en-US" w:eastAsia="zh-CN"/>
        </w:rPr>
      </w:pPr>
    </w:p>
    <w:p w14:paraId="4DE62E08">
      <w:pPr>
        <w:pStyle w:val="126"/>
        <w:ind w:left="-108"/>
        <w:jc w:val="both"/>
        <w:rPr>
          <w:rFonts w:hint="eastAsia" w:ascii="宋体" w:hAnsi="宋体" w:eastAsia="宋体"/>
          <w:b/>
          <w:bCs/>
          <w:highlight w:val="none"/>
          <w:lang w:val="en-US" w:eastAsia="zh-CN"/>
        </w:rPr>
      </w:pPr>
    </w:p>
    <w:p w14:paraId="4B3DB03F">
      <w:pPr>
        <w:pStyle w:val="126"/>
        <w:ind w:left="-108"/>
        <w:jc w:val="both"/>
        <w:rPr>
          <w:rFonts w:hint="eastAsia" w:ascii="宋体" w:hAnsi="宋体" w:eastAsia="宋体"/>
          <w:b/>
          <w:bCs/>
          <w:highlight w:val="none"/>
          <w:lang w:val="en-US" w:eastAsia="zh-CN"/>
        </w:rPr>
      </w:pPr>
    </w:p>
    <w:p w14:paraId="733F53A0">
      <w:pPr>
        <w:pStyle w:val="126"/>
        <w:ind w:left="-108"/>
        <w:jc w:val="both"/>
        <w:rPr>
          <w:rFonts w:hint="eastAsia" w:ascii="宋体" w:hAnsi="宋体" w:eastAsia="宋体"/>
          <w:b/>
          <w:bCs/>
          <w:highlight w:val="none"/>
          <w:lang w:val="en-US" w:eastAsia="zh-CN"/>
        </w:rPr>
      </w:pPr>
    </w:p>
    <w:p w14:paraId="22851E24">
      <w:pPr>
        <w:pStyle w:val="126"/>
        <w:ind w:left="-108"/>
        <w:jc w:val="both"/>
        <w:rPr>
          <w:rFonts w:hint="eastAsia" w:ascii="宋体" w:hAnsi="宋体" w:eastAsia="宋体"/>
          <w:b/>
          <w:bCs/>
          <w:highlight w:val="none"/>
          <w:lang w:val="en-US" w:eastAsia="zh-CN"/>
        </w:rPr>
      </w:pPr>
    </w:p>
    <w:p w14:paraId="3297F0FE">
      <w:pPr>
        <w:pStyle w:val="126"/>
        <w:ind w:left="-108"/>
        <w:jc w:val="both"/>
        <w:rPr>
          <w:rFonts w:hint="eastAsia" w:ascii="宋体" w:hAnsi="宋体" w:eastAsia="宋体"/>
          <w:b/>
          <w:bCs/>
          <w:highlight w:val="none"/>
          <w:lang w:val="en-US" w:eastAsia="zh-CN"/>
        </w:rPr>
      </w:pPr>
    </w:p>
    <w:p w14:paraId="64C8DDFC">
      <w:pPr>
        <w:pStyle w:val="126"/>
        <w:ind w:left="-108"/>
        <w:jc w:val="both"/>
        <w:rPr>
          <w:rFonts w:hint="eastAsia" w:ascii="宋体" w:hAnsi="宋体" w:eastAsia="宋体"/>
          <w:b/>
          <w:bCs/>
          <w:highlight w:val="none"/>
          <w:lang w:val="en-US" w:eastAsia="zh-CN"/>
        </w:rPr>
      </w:pPr>
    </w:p>
    <w:p w14:paraId="0C6F0B16">
      <w:pPr>
        <w:pStyle w:val="126"/>
        <w:ind w:left="-108"/>
        <w:jc w:val="both"/>
        <w:rPr>
          <w:rFonts w:hint="eastAsia" w:ascii="宋体" w:hAnsi="宋体" w:eastAsia="宋体"/>
          <w:b/>
          <w:bCs/>
          <w:highlight w:val="none"/>
          <w:lang w:val="en-US" w:eastAsia="zh-CN"/>
        </w:rPr>
      </w:pPr>
    </w:p>
    <w:p w14:paraId="4FFFE471">
      <w:pPr>
        <w:pStyle w:val="126"/>
        <w:ind w:left="-108"/>
        <w:jc w:val="both"/>
        <w:rPr>
          <w:rFonts w:hint="eastAsia" w:ascii="宋体" w:hAnsi="宋体" w:eastAsia="宋体"/>
          <w:b/>
          <w:bCs/>
          <w:highlight w:val="none"/>
          <w:lang w:val="en-US" w:eastAsia="zh-CN"/>
        </w:rPr>
      </w:pPr>
    </w:p>
    <w:p w14:paraId="642A393C">
      <w:pPr>
        <w:pStyle w:val="126"/>
        <w:ind w:left="-108"/>
        <w:jc w:val="both"/>
        <w:rPr>
          <w:rFonts w:hint="eastAsia" w:ascii="宋体" w:hAnsi="宋体" w:eastAsia="宋体"/>
          <w:b/>
          <w:bCs/>
          <w:highlight w:val="none"/>
          <w:lang w:val="en-US" w:eastAsia="zh-CN"/>
        </w:rPr>
      </w:pPr>
    </w:p>
    <w:p w14:paraId="68C52AD2">
      <w:pPr>
        <w:pStyle w:val="126"/>
        <w:ind w:left="-108"/>
        <w:jc w:val="both"/>
        <w:rPr>
          <w:rFonts w:hint="eastAsia" w:ascii="宋体" w:hAnsi="宋体" w:eastAsia="宋体"/>
          <w:b/>
          <w:bCs/>
          <w:highlight w:val="none"/>
          <w:lang w:val="en-US" w:eastAsia="zh-CN"/>
        </w:rPr>
      </w:pPr>
    </w:p>
    <w:p w14:paraId="0478AADA">
      <w:pPr>
        <w:pStyle w:val="126"/>
        <w:ind w:left="-108"/>
        <w:jc w:val="both"/>
        <w:rPr>
          <w:rFonts w:hint="eastAsia" w:ascii="宋体" w:hAnsi="宋体" w:eastAsia="宋体"/>
          <w:b/>
          <w:bCs/>
          <w:highlight w:val="none"/>
          <w:lang w:val="en-US" w:eastAsia="zh-CN"/>
        </w:rPr>
      </w:pPr>
    </w:p>
    <w:p w14:paraId="7E6976E2">
      <w:pPr>
        <w:pStyle w:val="126"/>
        <w:ind w:left="-108"/>
        <w:jc w:val="both"/>
        <w:rPr>
          <w:rFonts w:hint="eastAsia" w:ascii="宋体" w:hAnsi="宋体" w:eastAsia="宋体"/>
          <w:b/>
          <w:bCs/>
          <w:highlight w:val="none"/>
          <w:lang w:val="en-US" w:eastAsia="zh-CN"/>
        </w:rPr>
      </w:pPr>
    </w:p>
    <w:p w14:paraId="1DE1ECD8">
      <w:pPr>
        <w:pStyle w:val="126"/>
        <w:ind w:left="-108"/>
        <w:jc w:val="both"/>
        <w:rPr>
          <w:rFonts w:hint="eastAsia" w:ascii="宋体" w:hAnsi="宋体" w:eastAsia="宋体"/>
          <w:b/>
          <w:bCs/>
          <w:highlight w:val="none"/>
          <w:lang w:val="en-US" w:eastAsia="zh-CN"/>
        </w:rPr>
      </w:pPr>
    </w:p>
    <w:p w14:paraId="6748A4B9">
      <w:pPr>
        <w:pStyle w:val="126"/>
        <w:ind w:left="-108"/>
        <w:jc w:val="both"/>
        <w:rPr>
          <w:rFonts w:hint="eastAsia" w:ascii="宋体" w:hAnsi="宋体" w:eastAsia="宋体"/>
          <w:b/>
          <w:bCs/>
          <w:highlight w:val="none"/>
          <w:lang w:val="en-US" w:eastAsia="zh-CN"/>
        </w:rPr>
      </w:pPr>
    </w:p>
    <w:p w14:paraId="7D79ACD1">
      <w:pPr>
        <w:pStyle w:val="126"/>
        <w:ind w:left="-108"/>
        <w:jc w:val="both"/>
        <w:rPr>
          <w:rFonts w:hint="eastAsia" w:ascii="宋体" w:hAnsi="宋体" w:eastAsia="宋体"/>
          <w:b/>
          <w:bCs/>
          <w:highlight w:val="none"/>
          <w:lang w:val="en-US" w:eastAsia="zh-CN"/>
        </w:rPr>
      </w:pPr>
      <w:bookmarkStart w:id="115" w:name="_GoBack"/>
      <w:bookmarkEnd w:id="115"/>
    </w:p>
    <w:p w14:paraId="057B01D7">
      <w:pPr>
        <w:pStyle w:val="126"/>
        <w:ind w:left="-108"/>
        <w:jc w:val="both"/>
        <w:rPr>
          <w:rFonts w:hint="eastAsia" w:ascii="宋体" w:hAnsi="宋体" w:eastAsia="宋体"/>
          <w:b/>
          <w:bCs/>
          <w:highlight w:val="none"/>
          <w:lang w:val="en-US" w:eastAsia="zh-CN"/>
        </w:rPr>
      </w:pPr>
    </w:p>
    <w:p w14:paraId="06463D82">
      <w:pPr>
        <w:pStyle w:val="126"/>
        <w:ind w:left="-108"/>
        <w:jc w:val="both"/>
        <w:rPr>
          <w:rFonts w:hint="eastAsia" w:ascii="宋体" w:hAnsi="宋体" w:eastAsia="宋体"/>
          <w:b/>
          <w:bCs/>
          <w:highlight w:val="none"/>
          <w:lang w:val="en-US" w:eastAsia="zh-CN"/>
        </w:rPr>
      </w:pPr>
    </w:p>
    <w:p w14:paraId="61C0D65E">
      <w:pPr>
        <w:widowControl/>
        <w:jc w:val="left"/>
        <w:rPr>
          <w:rFonts w:ascii="宋体" w:hAnsi="宋体" w:eastAsia="宋体"/>
          <w:b/>
          <w:bCs/>
          <w:color w:val="auto"/>
          <w:sz w:val="24"/>
          <w:szCs w:val="28"/>
          <w:highlight w:val="none"/>
        </w:rPr>
      </w:pPr>
    </w:p>
    <w:p w14:paraId="68A4208E">
      <w:pPr>
        <w:spacing w:line="360" w:lineRule="auto"/>
        <w:jc w:val="center"/>
        <w:outlineLvl w:val="1"/>
        <w:rPr>
          <w:rFonts w:asciiTheme="minorEastAsia" w:hAnsiTheme="minorEastAsia" w:eastAsiaTheme="minorEastAsia"/>
          <w:b/>
          <w:color w:val="auto"/>
          <w:sz w:val="24"/>
          <w:highlight w:val="none"/>
        </w:rPr>
      </w:pPr>
      <w:bookmarkStart w:id="71" w:name="_Toc461053087"/>
      <w:bookmarkStart w:id="72" w:name="_Toc461056632"/>
      <w:bookmarkStart w:id="73" w:name="_Toc28695"/>
      <w:bookmarkStart w:id="74" w:name="_Toc520983588"/>
      <w:bookmarkStart w:id="75" w:name="_Toc32436"/>
      <w:r>
        <w:rPr>
          <w:rFonts w:hint="eastAsia" w:asciiTheme="minorEastAsia" w:hAnsiTheme="minorEastAsia" w:eastAsiaTheme="minorEastAsia"/>
          <w:b/>
          <w:color w:val="auto"/>
          <w:sz w:val="24"/>
          <w:highlight w:val="none"/>
        </w:rPr>
        <w:t>二</w:t>
      </w:r>
      <w:bookmarkEnd w:id="71"/>
      <w:bookmarkEnd w:id="72"/>
      <w:r>
        <w:rPr>
          <w:rFonts w:hint="eastAsia" w:asciiTheme="minorEastAsia" w:hAnsiTheme="minorEastAsia" w:eastAsiaTheme="minorEastAsia"/>
          <w:b/>
          <w:color w:val="auto"/>
          <w:sz w:val="24"/>
          <w:highlight w:val="none"/>
        </w:rPr>
        <w:t>、最后承诺报价表</w:t>
      </w:r>
      <w:bookmarkEnd w:id="73"/>
      <w:bookmarkEnd w:id="74"/>
      <w:bookmarkEnd w:id="75"/>
    </w:p>
    <w:p w14:paraId="7E649E58">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95FD5AE">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7FCD52A">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5530F463">
      <w:pPr>
        <w:wordWrap w:val="0"/>
        <w:spacing w:beforeAutospacing="0" w:line="360" w:lineRule="auto"/>
        <w:jc w:val="right"/>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7D6166BF">
            <w:pPr>
              <w:spacing w:line="360" w:lineRule="auto"/>
              <w:rPr>
                <w:rFonts w:ascii="宋体" w:hAnsi="宋体" w:eastAsia="宋体"/>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磋商</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3FD963C8">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374BC0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6A57BBC0">
            <w:pPr>
              <w:snapToGrid w:val="0"/>
              <w:spacing w:line="360" w:lineRule="auto"/>
              <w:rPr>
                <w:rFonts w:ascii="宋体" w:hAnsi="宋体" w:eastAsia="宋体"/>
                <w:color w:val="auto"/>
                <w:sz w:val="24"/>
                <w:szCs w:val="28"/>
                <w:highlight w:val="none"/>
              </w:rPr>
            </w:pPr>
          </w:p>
          <w:p w14:paraId="48D29B0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p>
          <w:p w14:paraId="45A1A035">
            <w:pPr>
              <w:spacing w:line="360" w:lineRule="auto"/>
              <w:ind w:right="-670"/>
              <w:rPr>
                <w:rFonts w:ascii="宋体" w:hAnsi="宋体" w:eastAsia="宋体"/>
                <w:b/>
                <w:color w:val="auto"/>
                <w:sz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54E98CD2">
            <w:pPr>
              <w:spacing w:line="360" w:lineRule="auto"/>
              <w:rPr>
                <w:rFonts w:ascii="宋体" w:hAnsi="宋体" w:eastAsia="宋体"/>
                <w:b/>
                <w:color w:val="auto"/>
                <w:sz w:val="24"/>
                <w:highlight w:val="none"/>
              </w:rPr>
            </w:pPr>
          </w:p>
        </w:tc>
      </w:tr>
    </w:tbl>
    <w:p w14:paraId="6B17390E">
      <w:pPr>
        <w:spacing w:line="360" w:lineRule="auto"/>
        <w:ind w:firstLine="3600" w:firstLineChars="1500"/>
        <w:jc w:val="left"/>
        <w:rPr>
          <w:rFonts w:hint="eastAsia" w:ascii="宋体" w:hAnsi="宋体" w:eastAsia="宋体"/>
          <w:color w:val="auto"/>
          <w:sz w:val="24"/>
          <w:highlight w:val="none"/>
        </w:rPr>
      </w:pPr>
    </w:p>
    <w:p w14:paraId="5E31BF6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2E3C56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0415931">
      <w:pPr>
        <w:spacing w:line="360" w:lineRule="auto"/>
        <w:jc w:val="left"/>
        <w:rPr>
          <w:rFonts w:hint="eastAsia" w:ascii="宋体" w:hAnsi="宋体" w:eastAsia="宋体"/>
          <w:b/>
          <w:bCs/>
          <w:color w:val="auto"/>
          <w:sz w:val="24"/>
          <w:highlight w:val="none"/>
        </w:rPr>
      </w:pPr>
      <w:r>
        <w:rPr>
          <w:rFonts w:hint="eastAsia" w:ascii="宋体" w:hAnsi="宋体" w:eastAsia="宋体"/>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bCs/>
          <w:color w:val="auto"/>
          <w:sz w:val="24"/>
          <w:highlight w:val="none"/>
        </w:rPr>
      </w:pPr>
      <w:r>
        <w:rPr>
          <w:rFonts w:hint="eastAsia" w:ascii="宋体" w:hAnsi="宋体" w:eastAsia="宋体"/>
          <w:b/>
          <w:bCs/>
          <w:color w:val="auto"/>
          <w:sz w:val="24"/>
          <w:highlight w:val="none"/>
          <w:lang w:val="en-US" w:eastAsia="zh-CN"/>
        </w:rPr>
        <w:t>1.</w:t>
      </w:r>
      <w:r>
        <w:rPr>
          <w:rFonts w:hint="eastAsia" w:ascii="宋体" w:hAnsi="宋体" w:eastAsia="宋体"/>
          <w:b/>
          <w:bCs/>
          <w:color w:val="auto"/>
          <w:sz w:val="24"/>
          <w:highlight w:val="none"/>
        </w:rPr>
        <w:t>本页《报价表》由供应商在接到报价通知后依据磋商情况填写,并在规定时间内提交。</w:t>
      </w:r>
      <w:r>
        <w:rPr>
          <w:rFonts w:hint="eastAsia" w:ascii="宋体" w:hAnsi="宋体" w:eastAsia="宋体"/>
          <w:color w:val="auto"/>
          <w:sz w:val="24"/>
          <w:highlight w:val="none"/>
        </w:rPr>
        <w:t>考虑磋商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w:t>
      </w:r>
      <w:r>
        <w:rPr>
          <w:rFonts w:hint="eastAsia" w:ascii="宋体" w:hAnsi="宋体" w:eastAsia="宋体"/>
          <w:bCs/>
          <w:color w:val="auto"/>
          <w:sz w:val="24"/>
          <w:highlight w:val="none"/>
        </w:rPr>
        <w:t>此优惠率调整原则适用于合同内价格的计算及项目增减、变更时价格的计算。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54F6424B">
      <w:pPr>
        <w:spacing w:line="360" w:lineRule="auto"/>
        <w:ind w:firstLine="482" w:firstLineChars="200"/>
        <w:rPr>
          <w:rFonts w:hint="eastAsia" w:asciiTheme="minorEastAsia" w:hAnsiTheme="minorEastAsia" w:eastAsiaTheme="minorEastAsia"/>
          <w:b/>
          <w:color w:val="auto"/>
          <w:sz w:val="24"/>
          <w:highlight w:val="none"/>
        </w:rPr>
      </w:pPr>
      <w:r>
        <w:rPr>
          <w:rFonts w:hint="eastAsia" w:ascii="宋体" w:hAnsi="宋体" w:eastAsia="宋体"/>
          <w:b/>
          <w:bCs/>
          <w:color w:val="auto"/>
          <w:sz w:val="24"/>
          <w:szCs w:val="28"/>
          <w:highlight w:val="none"/>
          <w:lang w:val="en-US" w:eastAsia="zh-CN"/>
        </w:rPr>
        <w:t>3.</w:t>
      </w:r>
      <w:r>
        <w:rPr>
          <w:rFonts w:hint="eastAsia" w:ascii="宋体" w:hAnsi="宋体"/>
          <w:b/>
          <w:sz w:val="24"/>
        </w:rPr>
        <w:t>此表请各供应商多准备几份，并加盖供应商公章，以便在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p>
    <w:p w14:paraId="50B72D77">
      <w:pPr>
        <w:pStyle w:val="17"/>
        <w:ind w:firstLine="420" w:firstLineChars="200"/>
        <w:rPr>
          <w:rFonts w:hint="default" w:eastAsia="宋体"/>
          <w:lang w:val="en-US" w:eastAsia="zh-CN"/>
        </w:rPr>
      </w:pPr>
    </w:p>
    <w:p w14:paraId="74523BB0">
      <w:pPr>
        <w:widowControl/>
        <w:jc w:val="left"/>
        <w:rPr>
          <w:rFonts w:ascii="宋体" w:hAnsi="宋体" w:eastAsia="宋体"/>
          <w:bCs/>
          <w:color w:val="auto"/>
          <w:sz w:val="24"/>
          <w:highlight w:val="none"/>
        </w:rPr>
      </w:pPr>
    </w:p>
    <w:p w14:paraId="166BBDFA">
      <w:pPr>
        <w:spacing w:line="360" w:lineRule="auto"/>
        <w:jc w:val="center"/>
        <w:outlineLvl w:val="1"/>
        <w:rPr>
          <w:rFonts w:asciiTheme="minorEastAsia" w:hAnsiTheme="minorEastAsia" w:eastAsiaTheme="minorEastAsia"/>
          <w:b/>
          <w:color w:val="auto"/>
          <w:sz w:val="24"/>
          <w:highlight w:val="none"/>
        </w:rPr>
      </w:pPr>
      <w:bookmarkStart w:id="76" w:name="_Toc32385"/>
      <w:bookmarkStart w:id="77" w:name="_Toc520983591"/>
      <w:bookmarkStart w:id="78" w:name="_Toc11500"/>
      <w:r>
        <w:rPr>
          <w:rFonts w:hint="eastAsia" w:asciiTheme="minorEastAsia" w:hAnsiTheme="minorEastAsia" w:eastAsiaTheme="minorEastAsia"/>
          <w:b/>
          <w:color w:val="auto"/>
          <w:sz w:val="24"/>
          <w:highlight w:val="none"/>
        </w:rPr>
        <w:t>三、磋商响应函</w:t>
      </w:r>
      <w:bookmarkEnd w:id="76"/>
      <w:bookmarkEnd w:id="77"/>
      <w:bookmarkEnd w:id="78"/>
    </w:p>
    <w:p w14:paraId="5FCDD945">
      <w:pPr>
        <w:pStyle w:val="23"/>
        <w:spacing w:line="360" w:lineRule="auto"/>
        <w:ind w:left="0" w:leftChars="0" w:firstLine="0" w:firstLineChars="0"/>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lang w:val="en-US" w:eastAsia="zh-CN"/>
        </w:rPr>
        <w:t>采购人</w:t>
      </w:r>
    </w:p>
    <w:p w14:paraId="5ADEBF28">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79" w:name="_Hlk44287543"/>
      <w:r>
        <w:rPr>
          <w:rFonts w:hint="eastAsia" w:ascii="宋体" w:hAnsi="宋体" w:eastAsia="宋体"/>
          <w:color w:val="auto"/>
          <w:sz w:val="24"/>
          <w:highlight w:val="none"/>
        </w:rPr>
        <w:t>竞争性磋商公告和磋商邀请</w:t>
      </w:r>
      <w:bookmarkEnd w:id="79"/>
      <w:r>
        <w:rPr>
          <w:rFonts w:hint="eastAsia" w:ascii="宋体" w:hAnsi="宋体" w:eastAsia="宋体"/>
          <w:color w:val="auto"/>
          <w:sz w:val="24"/>
          <w:highlight w:val="none"/>
        </w:rPr>
        <w:t>，我方兹宣布同意如下：</w:t>
      </w:r>
    </w:p>
    <w:p w14:paraId="382E69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096EDAF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文件，包括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我方正式认可并遵守本次</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文件各项条款、规定及要求均无异议。</w:t>
      </w:r>
    </w:p>
    <w:p w14:paraId="7261F9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日期起遵循本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有效期之前均具有约束力。</w:t>
      </w:r>
    </w:p>
    <w:p w14:paraId="72F656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有关的任何证据、数据或资料。</w:t>
      </w:r>
    </w:p>
    <w:p w14:paraId="5F0FC154">
      <w:pPr>
        <w:spacing w:line="360" w:lineRule="auto"/>
        <w:ind w:firstLine="480" w:firstLineChars="200"/>
        <w:rPr>
          <w:rFonts w:ascii="宋体" w:hAnsi="宋体" w:eastAsia="宋体"/>
          <w:color w:val="auto"/>
          <w:sz w:val="24"/>
          <w:highlight w:val="none"/>
        </w:rPr>
      </w:pPr>
    </w:p>
    <w:p w14:paraId="5F4F6F74">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37D08BA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36A6F00">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F2AB49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0" w:name="_Toc21328"/>
      <w:r>
        <w:rPr>
          <w:rFonts w:hint="eastAsia" w:asciiTheme="minorEastAsia" w:hAnsiTheme="minorEastAsia" w:eastAsiaTheme="minorEastAsia"/>
          <w:b/>
          <w:color w:val="auto"/>
          <w:sz w:val="24"/>
          <w:highlight w:val="none"/>
          <w:lang w:val="en-US" w:eastAsia="zh-CN"/>
        </w:rPr>
        <w:t>四、供应商资格声明书</w:t>
      </w:r>
      <w:bookmarkEnd w:id="80"/>
    </w:p>
    <w:p w14:paraId="1EA6E051">
      <w:pPr>
        <w:pStyle w:val="23"/>
        <w:spacing w:line="360" w:lineRule="auto"/>
        <w:ind w:left="0" w:leftChars="0" w:firstLine="0" w:firstLineChars="0"/>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val="en-US" w:eastAsia="zh-CN"/>
        </w:rPr>
        <w:t>采购人</w:t>
      </w:r>
    </w:p>
    <w:p w14:paraId="64C40B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在参与本次项目磋商中，我单位承诺：</w:t>
      </w:r>
    </w:p>
    <w:p w14:paraId="7F9385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05359DE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15B01F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7B9014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F0334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78A8D5B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4501"/>
        <w:gridCol w:w="2681"/>
      </w:tblGrid>
      <w:tr w14:paraId="0330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19CF5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4501" w:type="dxa"/>
          </w:tcPr>
          <w:p w14:paraId="5DDA946A">
            <w:pPr>
              <w:pStyle w:val="17"/>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681" w:type="dxa"/>
          </w:tcPr>
          <w:p w14:paraId="28441586">
            <w:pPr>
              <w:pStyle w:val="17"/>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5FAF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3354442">
            <w:pPr>
              <w:pStyle w:val="17"/>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4501" w:type="dxa"/>
          </w:tcPr>
          <w:p w14:paraId="28258176">
            <w:pPr>
              <w:pStyle w:val="17"/>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58E189A1">
            <w:pPr>
              <w:pStyle w:val="17"/>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5FFE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26B7F91A">
            <w:pPr>
              <w:pStyle w:val="17"/>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4501" w:type="dxa"/>
          </w:tcPr>
          <w:p w14:paraId="4B81DBBB">
            <w:pPr>
              <w:pStyle w:val="17"/>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23C42DF3">
            <w:pPr>
              <w:pStyle w:val="17"/>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70F7D5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9FCB01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A398CF">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0A978556">
      <w:pPr>
        <w:spacing w:line="440" w:lineRule="exact"/>
        <w:ind w:firstLine="4800" w:firstLineChars="2000"/>
        <w:rPr>
          <w:rFonts w:ascii="宋体" w:hAnsi="宋体" w:eastAsia="宋体"/>
          <w:color w:val="auto"/>
          <w:sz w:val="24"/>
          <w:szCs w:val="24"/>
          <w:highlight w:val="none"/>
          <w:u w:val="single"/>
        </w:rPr>
      </w:pPr>
    </w:p>
    <w:p w14:paraId="2CE20A56">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D1959CE">
      <w:pPr>
        <w:spacing w:line="360" w:lineRule="auto"/>
        <w:jc w:val="center"/>
        <w:outlineLvl w:val="1"/>
        <w:rPr>
          <w:rFonts w:asciiTheme="minorEastAsia" w:hAnsiTheme="minorEastAsia" w:eastAsiaTheme="minorEastAsia"/>
          <w:b/>
          <w:color w:val="auto"/>
          <w:sz w:val="24"/>
          <w:highlight w:val="none"/>
        </w:rPr>
      </w:pPr>
      <w:bookmarkStart w:id="81" w:name="_Toc26922"/>
      <w:bookmarkStart w:id="82" w:name="_Toc516969106"/>
      <w:bookmarkStart w:id="83" w:name="_Toc520983594"/>
      <w:bookmarkStart w:id="84" w:name="_Toc204594911"/>
      <w:bookmarkStart w:id="85" w:name="_Toc121626298"/>
      <w:bookmarkStart w:id="86" w:name="_Toc31518"/>
      <w:r>
        <w:rPr>
          <w:rFonts w:hint="eastAsia" w:asciiTheme="minorEastAsia" w:hAnsiTheme="minorEastAsia" w:eastAsiaTheme="minorEastAsia"/>
          <w:b/>
          <w:color w:val="auto"/>
          <w:sz w:val="24"/>
          <w:highlight w:val="none"/>
        </w:rPr>
        <w:t>五、授权书</w:t>
      </w:r>
      <w:bookmarkEnd w:id="81"/>
      <w:bookmarkEnd w:id="82"/>
      <w:bookmarkEnd w:id="83"/>
      <w:bookmarkEnd w:id="84"/>
      <w:bookmarkEnd w:id="85"/>
      <w:bookmarkEnd w:id="86"/>
    </w:p>
    <w:p w14:paraId="74844012">
      <w:pPr>
        <w:spacing w:line="360" w:lineRule="auto"/>
        <w:jc w:val="center"/>
        <w:rPr>
          <w:rFonts w:asciiTheme="minorEastAsia" w:hAnsiTheme="minorEastAsia" w:eastAsiaTheme="minorEastAsia"/>
          <w:b/>
          <w:color w:val="auto"/>
          <w:sz w:val="24"/>
          <w:highlight w:val="none"/>
        </w:rPr>
      </w:pPr>
    </w:p>
    <w:p w14:paraId="2FFA1621">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4E8E3A7">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4D25A89">
      <w:pPr>
        <w:pStyle w:val="21"/>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4B2FE112">
      <w:pPr>
        <w:pStyle w:val="21"/>
        <w:snapToGrid w:val="0"/>
        <w:spacing w:line="360" w:lineRule="auto"/>
        <w:ind w:firstLine="480" w:firstLineChars="200"/>
        <w:jc w:val="left"/>
        <w:rPr>
          <w:rFonts w:hAnsi="宋体" w:eastAsia="宋体"/>
          <w:color w:val="auto"/>
          <w:sz w:val="24"/>
          <w:highlight w:val="none"/>
        </w:rPr>
      </w:pPr>
    </w:p>
    <w:p w14:paraId="051E05DE">
      <w:pPr>
        <w:pStyle w:val="21"/>
        <w:snapToGrid w:val="0"/>
        <w:spacing w:line="360" w:lineRule="auto"/>
        <w:ind w:firstLine="480" w:firstLineChars="200"/>
        <w:jc w:val="left"/>
        <w:rPr>
          <w:rFonts w:hAnsi="宋体" w:eastAsia="宋体"/>
          <w:color w:val="auto"/>
          <w:sz w:val="24"/>
          <w:highlight w:val="none"/>
        </w:rPr>
      </w:pPr>
    </w:p>
    <w:p w14:paraId="2C51C88F">
      <w:pPr>
        <w:pStyle w:val="21"/>
        <w:snapToGrid w:val="0"/>
        <w:spacing w:line="360" w:lineRule="auto"/>
        <w:ind w:firstLine="480" w:firstLineChars="200"/>
        <w:jc w:val="left"/>
        <w:rPr>
          <w:rFonts w:hAnsi="宋体" w:eastAsia="宋体"/>
          <w:color w:val="auto"/>
          <w:sz w:val="24"/>
          <w:highlight w:val="none"/>
        </w:rPr>
      </w:pPr>
    </w:p>
    <w:p w14:paraId="2FC590E9">
      <w:pPr>
        <w:pStyle w:val="21"/>
        <w:snapToGrid w:val="0"/>
        <w:spacing w:line="360" w:lineRule="auto"/>
        <w:ind w:firstLine="480" w:firstLineChars="200"/>
        <w:jc w:val="left"/>
        <w:rPr>
          <w:rFonts w:hAnsi="宋体" w:eastAsia="宋体"/>
          <w:color w:val="auto"/>
          <w:sz w:val="24"/>
          <w:highlight w:val="none"/>
        </w:rPr>
      </w:pPr>
    </w:p>
    <w:p w14:paraId="7CB07B64">
      <w:pPr>
        <w:pStyle w:val="2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210D4038">
      <w:pPr>
        <w:pStyle w:val="21"/>
        <w:snapToGrid w:val="0"/>
        <w:spacing w:line="360" w:lineRule="auto"/>
        <w:ind w:firstLine="480" w:firstLineChars="200"/>
        <w:jc w:val="left"/>
        <w:rPr>
          <w:rFonts w:hAnsi="宋体" w:eastAsia="宋体"/>
          <w:color w:val="auto"/>
          <w:sz w:val="24"/>
          <w:szCs w:val="28"/>
          <w:highlight w:val="none"/>
        </w:rPr>
      </w:pPr>
    </w:p>
    <w:p w14:paraId="120F58AB">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148449A2">
      <w:pPr>
        <w:spacing w:line="360" w:lineRule="auto"/>
        <w:rPr>
          <w:rFonts w:ascii="宋体" w:hAnsi="宋体" w:eastAsia="宋体"/>
          <w:color w:val="auto"/>
          <w:sz w:val="24"/>
          <w:szCs w:val="28"/>
          <w:highlight w:val="none"/>
        </w:rPr>
      </w:pPr>
    </w:p>
    <w:p w14:paraId="0848D97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A97D23C">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4DFFF86B">
      <w:pPr>
        <w:spacing w:line="360" w:lineRule="auto"/>
        <w:rPr>
          <w:rFonts w:ascii="宋体" w:hAnsi="宋体" w:eastAsia="宋体"/>
          <w:color w:val="auto"/>
          <w:sz w:val="24"/>
          <w:szCs w:val="28"/>
          <w:highlight w:val="none"/>
        </w:rPr>
      </w:pPr>
    </w:p>
    <w:p w14:paraId="5F2F2079">
      <w:pPr>
        <w:spacing w:line="360" w:lineRule="auto"/>
        <w:rPr>
          <w:rFonts w:ascii="宋体" w:hAnsi="宋体" w:eastAsia="宋体"/>
          <w:color w:val="auto"/>
          <w:sz w:val="24"/>
          <w:szCs w:val="28"/>
          <w:highlight w:val="none"/>
        </w:rPr>
      </w:pPr>
    </w:p>
    <w:p w14:paraId="121E39B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5250677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36C5FDCB">
      <w:pPr>
        <w:spacing w:line="360" w:lineRule="auto"/>
        <w:jc w:val="left"/>
        <w:rPr>
          <w:rFonts w:ascii="宋体" w:hAnsi="宋体" w:eastAsia="宋体"/>
          <w:color w:val="auto"/>
          <w:sz w:val="24"/>
          <w:highlight w:val="none"/>
        </w:rPr>
      </w:pPr>
      <w:r>
        <w:rPr>
          <w:rFonts w:hint="eastAsia" w:ascii="宋体" w:hAnsi="宋体" w:eastAsia="宋体"/>
          <w:color w:val="auto"/>
          <w:sz w:val="24"/>
          <w:highlight w:val="none"/>
        </w:rPr>
        <w:t>2.法定代表人参加磋商的无需提供授权书，仅提供身份证明扫描件。</w:t>
      </w:r>
    </w:p>
    <w:p w14:paraId="62DC3EBB">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4B903AAF">
      <w:pPr>
        <w:spacing w:line="360" w:lineRule="auto"/>
        <w:jc w:val="center"/>
        <w:outlineLvl w:val="1"/>
        <w:rPr>
          <w:rFonts w:asciiTheme="minorEastAsia" w:hAnsiTheme="minorEastAsia" w:eastAsiaTheme="minorEastAsia"/>
          <w:b/>
          <w:color w:val="auto"/>
          <w:sz w:val="24"/>
          <w:highlight w:val="none"/>
        </w:rPr>
      </w:pPr>
      <w:bookmarkStart w:id="87" w:name="_Toc28033"/>
      <w:bookmarkStart w:id="88" w:name="_Toc22233"/>
      <w:r>
        <w:rPr>
          <w:rFonts w:hint="eastAsia" w:asciiTheme="minorEastAsia" w:hAnsiTheme="minorEastAsia" w:eastAsiaTheme="minorEastAsia"/>
          <w:b/>
          <w:color w:val="auto"/>
          <w:sz w:val="24"/>
          <w:highlight w:val="none"/>
        </w:rPr>
        <w:t>六、</w:t>
      </w:r>
      <w:r>
        <w:rPr>
          <w:rFonts w:hint="eastAsia" w:asciiTheme="minorEastAsia" w:hAnsiTheme="minorEastAsia" w:eastAsiaTheme="minorEastAsia"/>
          <w:b/>
          <w:color w:val="auto"/>
          <w:sz w:val="24"/>
          <w:highlight w:val="none"/>
          <w:lang w:val="en-US" w:eastAsia="zh-CN"/>
        </w:rPr>
        <w:t>磋商</w:t>
      </w:r>
      <w:r>
        <w:rPr>
          <w:rFonts w:hint="eastAsia" w:asciiTheme="minorEastAsia" w:hAnsiTheme="minorEastAsia" w:eastAsiaTheme="minorEastAsia"/>
          <w:b/>
          <w:color w:val="auto"/>
          <w:sz w:val="24"/>
          <w:highlight w:val="none"/>
        </w:rPr>
        <w:t>响应表</w:t>
      </w:r>
      <w:bookmarkEnd w:id="87"/>
      <w:bookmarkEnd w:id="88"/>
    </w:p>
    <w:p w14:paraId="01B07B6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2102"/>
        <w:gridCol w:w="2739"/>
        <w:gridCol w:w="2823"/>
        <w:gridCol w:w="888"/>
      </w:tblGrid>
      <w:tr w14:paraId="587B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5C43715B">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773A8394">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266B2DD">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磋商文件</w:t>
            </w:r>
            <w:r>
              <w:rPr>
                <w:rFonts w:hint="eastAsia" w:cs="Wingdings" w:asciiTheme="minorEastAsia" w:hAnsiTheme="minorEastAsia"/>
                <w:b/>
                <w:color w:val="auto"/>
                <w:sz w:val="24"/>
                <w:highlight w:val="none"/>
              </w:rPr>
              <w:t>要求</w:t>
            </w:r>
          </w:p>
        </w:tc>
        <w:tc>
          <w:tcPr>
            <w:tcW w:w="1510" w:type="pct"/>
            <w:vAlign w:val="center"/>
          </w:tcPr>
          <w:p w14:paraId="7A9A8ED3">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475" w:type="pct"/>
            <w:vAlign w:val="center"/>
          </w:tcPr>
          <w:p w14:paraId="5728A1B1">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B6C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44A99A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1EBC49B">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2AE8C24">
            <w:pPr>
              <w:jc w:val="center"/>
              <w:rPr>
                <w:rFonts w:asciiTheme="minorEastAsia" w:hAnsiTheme="minorEastAsia" w:eastAsiaTheme="minorEastAsia"/>
                <w:color w:val="auto"/>
                <w:sz w:val="24"/>
                <w:highlight w:val="none"/>
              </w:rPr>
            </w:pPr>
          </w:p>
        </w:tc>
        <w:tc>
          <w:tcPr>
            <w:tcW w:w="1510" w:type="pct"/>
            <w:vAlign w:val="center"/>
          </w:tcPr>
          <w:p w14:paraId="5BBAC6ED">
            <w:pPr>
              <w:jc w:val="center"/>
              <w:rPr>
                <w:rFonts w:asciiTheme="minorEastAsia" w:hAnsiTheme="minorEastAsia" w:eastAsiaTheme="minorEastAsia"/>
                <w:color w:val="auto"/>
                <w:sz w:val="24"/>
                <w:highlight w:val="none"/>
              </w:rPr>
            </w:pPr>
          </w:p>
        </w:tc>
        <w:tc>
          <w:tcPr>
            <w:tcW w:w="475" w:type="pct"/>
            <w:vAlign w:val="center"/>
          </w:tcPr>
          <w:p w14:paraId="037F7025">
            <w:pPr>
              <w:jc w:val="center"/>
              <w:rPr>
                <w:rFonts w:asciiTheme="minorEastAsia" w:hAnsiTheme="minorEastAsia" w:eastAsiaTheme="minorEastAsia"/>
                <w:color w:val="auto"/>
                <w:sz w:val="24"/>
                <w:highlight w:val="none"/>
              </w:rPr>
            </w:pPr>
          </w:p>
        </w:tc>
      </w:tr>
      <w:tr w14:paraId="3C30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BB52AD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75375698">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23D9CC61">
            <w:pPr>
              <w:jc w:val="center"/>
              <w:rPr>
                <w:rFonts w:asciiTheme="minorEastAsia" w:hAnsiTheme="minorEastAsia" w:eastAsiaTheme="minorEastAsia"/>
                <w:color w:val="auto"/>
                <w:sz w:val="24"/>
                <w:highlight w:val="none"/>
              </w:rPr>
            </w:pPr>
          </w:p>
        </w:tc>
        <w:tc>
          <w:tcPr>
            <w:tcW w:w="1510" w:type="pct"/>
            <w:vAlign w:val="center"/>
          </w:tcPr>
          <w:p w14:paraId="4F1CE2F0">
            <w:pPr>
              <w:jc w:val="center"/>
              <w:rPr>
                <w:rFonts w:asciiTheme="minorEastAsia" w:hAnsiTheme="minorEastAsia" w:eastAsiaTheme="minorEastAsia"/>
                <w:color w:val="auto"/>
                <w:sz w:val="24"/>
                <w:highlight w:val="none"/>
              </w:rPr>
            </w:pPr>
          </w:p>
        </w:tc>
        <w:tc>
          <w:tcPr>
            <w:tcW w:w="475" w:type="pct"/>
            <w:vAlign w:val="center"/>
          </w:tcPr>
          <w:p w14:paraId="2C2E8FFC">
            <w:pPr>
              <w:jc w:val="center"/>
              <w:rPr>
                <w:rFonts w:asciiTheme="minorEastAsia" w:hAnsiTheme="minorEastAsia" w:eastAsiaTheme="minorEastAsia"/>
                <w:color w:val="auto"/>
                <w:sz w:val="24"/>
                <w:highlight w:val="none"/>
              </w:rPr>
            </w:pPr>
          </w:p>
        </w:tc>
      </w:tr>
      <w:tr w14:paraId="672D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AB985B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74241A5B">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527E5E0C">
            <w:pPr>
              <w:jc w:val="center"/>
              <w:rPr>
                <w:rFonts w:asciiTheme="minorEastAsia" w:hAnsiTheme="minorEastAsia" w:eastAsiaTheme="minorEastAsia"/>
                <w:color w:val="auto"/>
                <w:sz w:val="24"/>
                <w:highlight w:val="none"/>
              </w:rPr>
            </w:pPr>
          </w:p>
        </w:tc>
        <w:tc>
          <w:tcPr>
            <w:tcW w:w="1510" w:type="pct"/>
            <w:vAlign w:val="center"/>
          </w:tcPr>
          <w:p w14:paraId="76CE8F7D">
            <w:pPr>
              <w:pStyle w:val="126"/>
              <w:jc w:val="center"/>
              <w:rPr>
                <w:rFonts w:asciiTheme="minorEastAsia" w:hAnsiTheme="minorEastAsia" w:eastAsiaTheme="minorEastAsia"/>
                <w:color w:val="auto"/>
                <w:highlight w:val="none"/>
              </w:rPr>
            </w:pPr>
          </w:p>
        </w:tc>
        <w:tc>
          <w:tcPr>
            <w:tcW w:w="475" w:type="pct"/>
            <w:vAlign w:val="center"/>
          </w:tcPr>
          <w:p w14:paraId="02D8BBE9">
            <w:pPr>
              <w:jc w:val="center"/>
              <w:rPr>
                <w:rFonts w:asciiTheme="minorEastAsia" w:hAnsiTheme="minorEastAsia" w:eastAsiaTheme="minorEastAsia"/>
                <w:color w:val="auto"/>
                <w:sz w:val="24"/>
                <w:highlight w:val="none"/>
              </w:rPr>
            </w:pPr>
          </w:p>
        </w:tc>
      </w:tr>
      <w:tr w14:paraId="2E29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1D1CE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47264FA7">
            <w:pPr>
              <w:jc w:val="center"/>
              <w:rPr>
                <w:rFonts w:ascii="宋体" w:hAnsi="宋体" w:eastAsia="宋体"/>
                <w:color w:val="auto"/>
                <w:sz w:val="24"/>
                <w:highlight w:val="none"/>
              </w:rPr>
            </w:pPr>
          </w:p>
        </w:tc>
        <w:tc>
          <w:tcPr>
            <w:tcW w:w="1465" w:type="pct"/>
            <w:vAlign w:val="center"/>
          </w:tcPr>
          <w:p w14:paraId="1CF5FBCF">
            <w:pPr>
              <w:jc w:val="center"/>
              <w:rPr>
                <w:rFonts w:asciiTheme="minorEastAsia" w:hAnsiTheme="minorEastAsia" w:eastAsiaTheme="minorEastAsia"/>
                <w:color w:val="auto"/>
                <w:sz w:val="24"/>
                <w:highlight w:val="none"/>
              </w:rPr>
            </w:pPr>
          </w:p>
        </w:tc>
        <w:tc>
          <w:tcPr>
            <w:tcW w:w="1510" w:type="pct"/>
            <w:vAlign w:val="center"/>
          </w:tcPr>
          <w:p w14:paraId="4B6D9AD1">
            <w:pPr>
              <w:jc w:val="center"/>
              <w:rPr>
                <w:rFonts w:asciiTheme="minorEastAsia" w:hAnsiTheme="minorEastAsia" w:eastAsiaTheme="minorEastAsia"/>
                <w:color w:val="auto"/>
                <w:sz w:val="24"/>
                <w:highlight w:val="none"/>
              </w:rPr>
            </w:pPr>
          </w:p>
        </w:tc>
        <w:tc>
          <w:tcPr>
            <w:tcW w:w="475" w:type="pct"/>
            <w:vAlign w:val="center"/>
          </w:tcPr>
          <w:p w14:paraId="1C9A3C9D">
            <w:pPr>
              <w:jc w:val="center"/>
              <w:rPr>
                <w:rFonts w:asciiTheme="minorEastAsia" w:hAnsiTheme="minorEastAsia" w:eastAsiaTheme="minorEastAsia"/>
                <w:color w:val="auto"/>
                <w:sz w:val="24"/>
                <w:highlight w:val="none"/>
              </w:rPr>
            </w:pPr>
          </w:p>
        </w:tc>
      </w:tr>
    </w:tbl>
    <w:p w14:paraId="5F25C8AB">
      <w:pPr>
        <w:spacing w:line="360" w:lineRule="auto"/>
        <w:ind w:firstLine="435"/>
        <w:outlineLvl w:val="2"/>
        <w:rPr>
          <w:rFonts w:hint="eastAsia" w:asciiTheme="minorEastAsia" w:hAnsiTheme="minorEastAsia" w:eastAsiaTheme="minorEastAsia"/>
          <w:b/>
          <w:color w:val="auto"/>
          <w:sz w:val="24"/>
          <w:highlight w:val="none"/>
        </w:rPr>
      </w:pPr>
    </w:p>
    <w:p w14:paraId="57879636">
      <w:pPr>
        <w:spacing w:line="360" w:lineRule="auto"/>
        <w:ind w:firstLine="4800" w:firstLineChars="2000"/>
        <w:rPr>
          <w:rFonts w:hint="eastAsia" w:ascii="宋体" w:hAnsi="宋体" w:eastAsia="宋体"/>
          <w:color w:val="auto"/>
          <w:sz w:val="24"/>
          <w:highlight w:val="none"/>
          <w:lang w:val="en-US" w:eastAsia="zh-CN"/>
        </w:rPr>
      </w:pPr>
    </w:p>
    <w:p w14:paraId="47ECA67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9FFA25">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039307A3">
      <w:pPr>
        <w:pStyle w:val="23"/>
        <w:spacing w:line="360" w:lineRule="auto"/>
        <w:ind w:left="0" w:leftChars="0" w:firstLine="0" w:firstLineChars="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48B51F54">
      <w:pPr>
        <w:pStyle w:val="17"/>
        <w:rPr>
          <w:rFonts w:hint="eastAsia" w:asciiTheme="minorEastAsia" w:hAnsiTheme="minorEastAsia" w:eastAsiaTheme="minorEastAsia"/>
          <w:b/>
          <w:bCs/>
          <w:color w:val="auto"/>
          <w:sz w:val="24"/>
          <w:highlight w:val="none"/>
          <w:lang w:eastAsia="zh-CN"/>
        </w:rPr>
        <w:sectPr>
          <w:headerReference r:id="rId10" w:type="default"/>
          <w:footerReference r:id="rId11" w:type="default"/>
          <w:pgSz w:w="11907" w:h="16840"/>
          <w:pgMar w:top="1117" w:right="1078" w:bottom="1060" w:left="1700" w:header="510" w:footer="886" w:gutter="0"/>
          <w:pgNumType w:fmt="decimal"/>
          <w:cols w:space="720" w:num="1"/>
        </w:sectPr>
      </w:pPr>
      <w:bookmarkStart w:id="89" w:name="_Hlk44283017"/>
    </w:p>
    <w:bookmarkEnd w:id="89"/>
    <w:p w14:paraId="37E76ABE">
      <w:pPr>
        <w:rPr>
          <w:rFonts w:hint="eastAsia" w:asciiTheme="minorEastAsia" w:hAnsiTheme="minorEastAsia" w:eastAsiaTheme="minorEastAsia"/>
          <w:b/>
          <w:color w:val="auto"/>
          <w:sz w:val="24"/>
          <w:highlight w:val="none"/>
        </w:rPr>
      </w:pPr>
      <w:bookmarkStart w:id="90" w:name="_Toc20592"/>
      <w:bookmarkStart w:id="91" w:name="_Toc2278"/>
      <w:bookmarkStart w:id="92" w:name="_Hlk44283088"/>
    </w:p>
    <w:p w14:paraId="1AC1F39F">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90"/>
      <w:bookmarkEnd w:id="91"/>
    </w:p>
    <w:p w14:paraId="4400A65A">
      <w:pPr>
        <w:spacing w:line="360" w:lineRule="auto"/>
        <w:rPr>
          <w:rFonts w:asciiTheme="minorEastAsia" w:hAnsiTheme="minorEastAsia" w:eastAsiaTheme="minorEastAsia"/>
          <w:b/>
          <w:bCs/>
          <w:color w:val="auto"/>
          <w:sz w:val="24"/>
          <w:highlight w:val="none"/>
        </w:rPr>
      </w:pPr>
    </w:p>
    <w:p w14:paraId="44F134C2">
      <w:pPr>
        <w:spacing w:line="360" w:lineRule="auto"/>
        <w:rPr>
          <w:rFonts w:hint="eastAsia" w:asciiTheme="minorEastAsia" w:hAnsiTheme="minorEastAsia" w:eastAsiaTheme="minorEastAsia"/>
          <w:b/>
          <w:bCs/>
          <w:color w:val="auto"/>
          <w:sz w:val="24"/>
          <w:highlight w:val="none"/>
          <w:u w:val="single"/>
          <w:lang w:val="en-US"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lang w:val="en-US" w:eastAsia="zh-CN"/>
        </w:rPr>
        <w:t>采购人</w:t>
      </w:r>
    </w:p>
    <w:p w14:paraId="31C4328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5A3A24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F3D729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1DCD9B4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5C30CF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4B7F73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E8191C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5818E23">
      <w:pPr>
        <w:spacing w:line="360" w:lineRule="auto"/>
        <w:rPr>
          <w:rFonts w:asciiTheme="minorEastAsia" w:hAnsiTheme="minorEastAsia" w:eastAsiaTheme="minorEastAsia"/>
          <w:bCs/>
          <w:color w:val="auto"/>
          <w:sz w:val="24"/>
          <w:highlight w:val="none"/>
        </w:rPr>
      </w:pPr>
    </w:p>
    <w:p w14:paraId="732BBA0C">
      <w:pPr>
        <w:spacing w:line="360" w:lineRule="auto"/>
        <w:rPr>
          <w:rFonts w:asciiTheme="minorEastAsia" w:hAnsiTheme="minorEastAsia" w:eastAsiaTheme="minorEastAsia"/>
          <w:bCs/>
          <w:color w:val="auto"/>
          <w:sz w:val="24"/>
          <w:highlight w:val="none"/>
        </w:rPr>
      </w:pPr>
    </w:p>
    <w:p w14:paraId="27372F9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8C7D21E">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9D1A404">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488D0E2">
      <w:pPr>
        <w:pStyle w:val="17"/>
        <w:spacing w:before="78" w:line="219" w:lineRule="auto"/>
        <w:ind w:left="3195"/>
        <w:outlineLvl w:val="1"/>
        <w:rPr>
          <w:rFonts w:hint="eastAsia" w:asciiTheme="minorEastAsia" w:hAnsiTheme="minorEastAsia" w:eastAsiaTheme="minorEastAsia"/>
          <w:b/>
          <w:color w:val="auto"/>
          <w:sz w:val="24"/>
          <w:highlight w:val="yellow"/>
          <w:lang w:val="en-US" w:eastAsia="zh-CN"/>
        </w:rPr>
      </w:pPr>
    </w:p>
    <w:p w14:paraId="4A11C58B">
      <w:pPr>
        <w:pStyle w:val="17"/>
        <w:spacing w:before="78" w:line="219" w:lineRule="auto"/>
        <w:ind w:left="3195"/>
        <w:outlineLvl w:val="1"/>
        <w:rPr>
          <w:sz w:val="24"/>
          <w:szCs w:val="24"/>
          <w:highlight w:val="yellow"/>
        </w:rPr>
      </w:pPr>
      <w:r>
        <w:rPr>
          <w:rFonts w:hint="eastAsia" w:asciiTheme="minorEastAsia" w:hAnsiTheme="minorEastAsia" w:eastAsiaTheme="minorEastAsia"/>
          <w:b/>
          <w:color w:val="auto"/>
          <w:sz w:val="24"/>
          <w:highlight w:val="yellow"/>
          <w:lang w:val="en-US" w:eastAsia="zh-CN"/>
        </w:rPr>
        <w:t>八、</w:t>
      </w:r>
      <w:r>
        <w:rPr>
          <w:rFonts w:hint="eastAsia"/>
          <w:b/>
          <w:bCs/>
          <w:spacing w:val="-3"/>
          <w:sz w:val="24"/>
          <w:szCs w:val="24"/>
          <w:highlight w:val="yellow"/>
          <w:lang w:val="en-US" w:eastAsia="zh-CN"/>
        </w:rPr>
        <w:t>磋商</w:t>
      </w:r>
      <w:r>
        <w:rPr>
          <w:b/>
          <w:bCs/>
          <w:spacing w:val="-3"/>
          <w:sz w:val="24"/>
          <w:szCs w:val="24"/>
          <w:highlight w:val="yellow"/>
        </w:rPr>
        <w:t>业绩承诺函</w:t>
      </w:r>
    </w:p>
    <w:p w14:paraId="40436738">
      <w:pPr>
        <w:spacing w:line="285" w:lineRule="auto"/>
        <w:rPr>
          <w:rFonts w:ascii="Arial"/>
          <w:sz w:val="21"/>
          <w:highlight w:val="yellow"/>
        </w:rPr>
      </w:pPr>
    </w:p>
    <w:p w14:paraId="3139DCA6">
      <w:pPr>
        <w:pStyle w:val="17"/>
        <w:spacing w:before="256" w:line="480" w:lineRule="auto"/>
        <w:ind w:firstLine="480" w:firstLineChars="200"/>
        <w:rPr>
          <w:spacing w:val="-2"/>
          <w:sz w:val="24"/>
          <w:szCs w:val="24"/>
          <w:highlight w:val="yellow"/>
        </w:rPr>
      </w:pPr>
      <w:r>
        <w:rPr>
          <w:rFonts w:ascii="宋体" w:hAnsi="宋体" w:eastAsia="宋体" w:cs="宋体"/>
          <w:b w:val="0"/>
          <w:bCs w:val="0"/>
          <w:color w:val="000000"/>
          <w:sz w:val="24"/>
          <w:szCs w:val="24"/>
          <w:highlight w:val="yellow"/>
        </w:rPr>
        <w:t>我单位同意</w:t>
      </w:r>
      <w:r>
        <w:rPr>
          <w:rFonts w:hint="eastAsia" w:ascii="宋体" w:hAnsi="宋体" w:eastAsia="宋体" w:cs="宋体"/>
          <w:b w:val="0"/>
          <w:bCs w:val="0"/>
          <w:color w:val="000000"/>
          <w:sz w:val="24"/>
          <w:szCs w:val="24"/>
          <w:highlight w:val="yellow"/>
          <w:lang w:val="en-US" w:eastAsia="zh-CN"/>
        </w:rPr>
        <w:t>成交</w:t>
      </w:r>
      <w:r>
        <w:rPr>
          <w:rFonts w:ascii="宋体" w:hAnsi="宋体" w:eastAsia="宋体" w:cs="宋体"/>
          <w:b w:val="0"/>
          <w:bCs w:val="0"/>
          <w:color w:val="000000"/>
          <w:sz w:val="24"/>
          <w:szCs w:val="24"/>
          <w:highlight w:val="yellow"/>
        </w:rPr>
        <w:t>结果公告中公示以下业绩并承诺：</w:t>
      </w:r>
      <w:r>
        <w:rPr>
          <w:rFonts w:hint="eastAsia" w:ascii="宋体" w:hAnsi="宋体" w:eastAsia="宋体" w:cs="宋体"/>
          <w:b w:val="0"/>
          <w:bCs w:val="0"/>
          <w:color w:val="000000"/>
          <w:sz w:val="24"/>
          <w:szCs w:val="24"/>
          <w:highlight w:val="yellow"/>
          <w:lang w:val="en-US" w:eastAsia="zh-CN"/>
        </w:rPr>
        <w:t>响应</w:t>
      </w:r>
      <w:r>
        <w:rPr>
          <w:rFonts w:ascii="宋体" w:hAnsi="宋体" w:eastAsia="宋体" w:cs="宋体"/>
          <w:b w:val="0"/>
          <w:bCs w:val="0"/>
          <w:color w:val="000000"/>
          <w:sz w:val="24"/>
          <w:szCs w:val="24"/>
          <w:highlight w:val="yellow"/>
        </w:rPr>
        <w:t>文件中所提供的业绩 均真实有效，且不属于与关联公司（如母公司、控股公司、分公司、子公司、同 一法定代表人的公司）之间的业绩，若被发现存在任何虚假</w:t>
      </w:r>
      <w:r>
        <w:rPr>
          <w:rFonts w:hint="eastAsia" w:ascii="宋体" w:hAnsi="宋体" w:eastAsia="宋体" w:cs="宋体"/>
          <w:b w:val="0"/>
          <w:bCs w:val="0"/>
          <w:color w:val="000000"/>
          <w:sz w:val="24"/>
          <w:szCs w:val="24"/>
          <w:highlight w:val="yellow"/>
          <w:lang w:eastAsia="zh-CN"/>
        </w:rPr>
        <w:t>、</w:t>
      </w:r>
      <w:r>
        <w:rPr>
          <w:rFonts w:ascii="宋体" w:hAnsi="宋体" w:eastAsia="宋体" w:cs="宋体"/>
          <w:b w:val="0"/>
          <w:bCs w:val="0"/>
          <w:color w:val="000000"/>
          <w:sz w:val="24"/>
          <w:szCs w:val="24"/>
          <w:highlight w:val="yellow"/>
        </w:rPr>
        <w:t>隐瞒情况，我单位承担由此产生的一切后果。</w:t>
      </w:r>
    </w:p>
    <w:p w14:paraId="13D6FB47">
      <w:pPr>
        <w:pStyle w:val="17"/>
        <w:spacing w:before="78" w:line="219" w:lineRule="auto"/>
        <w:ind w:left="4350"/>
        <w:rPr>
          <w:spacing w:val="-2"/>
          <w:sz w:val="24"/>
          <w:szCs w:val="24"/>
          <w:highlight w:val="yellow"/>
        </w:rPr>
      </w:pPr>
    </w:p>
    <w:p w14:paraId="785F5771">
      <w:pPr>
        <w:pStyle w:val="17"/>
        <w:spacing w:before="78" w:line="219" w:lineRule="auto"/>
        <w:ind w:left="4350"/>
        <w:rPr>
          <w:sz w:val="24"/>
          <w:szCs w:val="24"/>
          <w:highlight w:val="yellow"/>
        </w:rPr>
      </w:pPr>
      <w:r>
        <w:rPr>
          <w:spacing w:val="-2"/>
          <w:sz w:val="24"/>
          <w:szCs w:val="24"/>
          <w:highlight w:val="yellow"/>
        </w:rPr>
        <w:t>供应商签章：</w:t>
      </w:r>
      <w:r>
        <w:rPr>
          <w:sz w:val="24"/>
          <w:szCs w:val="24"/>
          <w:highlight w:val="yellow"/>
          <w:u w:val="single" w:color="auto"/>
        </w:rPr>
        <w:t xml:space="preserve">              </w:t>
      </w:r>
    </w:p>
    <w:p w14:paraId="4E6919FA">
      <w:pPr>
        <w:pStyle w:val="17"/>
        <w:spacing w:before="183" w:line="220" w:lineRule="auto"/>
        <w:ind w:left="4392"/>
        <w:rPr>
          <w:sz w:val="24"/>
          <w:szCs w:val="24"/>
          <w:highlight w:val="yellow"/>
        </w:rPr>
      </w:pPr>
      <w:r>
        <w:rPr>
          <w:spacing w:val="-32"/>
          <w:sz w:val="24"/>
          <w:szCs w:val="24"/>
          <w:highlight w:val="yellow"/>
        </w:rPr>
        <w:t>日</w:t>
      </w:r>
      <w:r>
        <w:rPr>
          <w:spacing w:val="1"/>
          <w:sz w:val="24"/>
          <w:szCs w:val="24"/>
          <w:highlight w:val="yellow"/>
        </w:rPr>
        <w:t xml:space="preserve">      </w:t>
      </w:r>
      <w:r>
        <w:rPr>
          <w:spacing w:val="-32"/>
          <w:sz w:val="24"/>
          <w:szCs w:val="24"/>
          <w:highlight w:val="yellow"/>
        </w:rPr>
        <w:t>期</w:t>
      </w:r>
      <w:r>
        <w:rPr>
          <w:spacing w:val="-2"/>
          <w:sz w:val="24"/>
          <w:szCs w:val="24"/>
          <w:highlight w:val="yellow"/>
        </w:rPr>
        <w:t>：</w:t>
      </w:r>
      <w:r>
        <w:rPr>
          <w:sz w:val="24"/>
          <w:szCs w:val="24"/>
          <w:highlight w:val="yellow"/>
          <w:u w:val="single" w:color="auto"/>
        </w:rPr>
        <w:t xml:space="preserve">      </w:t>
      </w:r>
      <w:r>
        <w:rPr>
          <w:rFonts w:hint="eastAsia"/>
          <w:sz w:val="24"/>
          <w:szCs w:val="24"/>
          <w:highlight w:val="yellow"/>
          <w:u w:val="single" w:color="auto"/>
          <w:lang w:val="en-US" w:eastAsia="zh-CN"/>
        </w:rPr>
        <w:t xml:space="preserve">  </w:t>
      </w:r>
      <w:r>
        <w:rPr>
          <w:sz w:val="24"/>
          <w:szCs w:val="24"/>
          <w:highlight w:val="yellow"/>
          <w:u w:val="single" w:color="auto"/>
        </w:rPr>
        <w:t xml:space="preserve">       </w:t>
      </w:r>
    </w:p>
    <w:p w14:paraId="483000D9">
      <w:pPr>
        <w:spacing w:before="27"/>
        <w:rPr>
          <w:highlight w:val="yellow"/>
        </w:rPr>
      </w:pPr>
    </w:p>
    <w:tbl>
      <w:tblPr>
        <w:tblStyle w:val="141"/>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0"/>
        <w:gridCol w:w="2873"/>
        <w:gridCol w:w="2437"/>
        <w:gridCol w:w="1609"/>
        <w:gridCol w:w="867"/>
      </w:tblGrid>
      <w:tr w14:paraId="479B6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97" w:type="pct"/>
            <w:vAlign w:val="top"/>
          </w:tcPr>
          <w:p w14:paraId="23D05868">
            <w:pPr>
              <w:pStyle w:val="140"/>
              <w:spacing w:before="149" w:line="221" w:lineRule="auto"/>
              <w:ind w:left="238"/>
              <w:rPr>
                <w:highlight w:val="yellow"/>
              </w:rPr>
            </w:pPr>
            <w:r>
              <w:rPr>
                <w:spacing w:val="-5"/>
                <w:highlight w:val="yellow"/>
              </w:rPr>
              <w:t>序号</w:t>
            </w:r>
          </w:p>
        </w:tc>
        <w:tc>
          <w:tcPr>
            <w:tcW w:w="1661" w:type="pct"/>
            <w:vAlign w:val="top"/>
          </w:tcPr>
          <w:p w14:paraId="150FB2FF">
            <w:pPr>
              <w:pStyle w:val="140"/>
              <w:spacing w:before="149" w:line="220" w:lineRule="auto"/>
              <w:jc w:val="center"/>
              <w:rPr>
                <w:highlight w:val="yellow"/>
              </w:rPr>
            </w:pPr>
            <w:r>
              <w:rPr>
                <w:spacing w:val="-4"/>
                <w:highlight w:val="yellow"/>
              </w:rPr>
              <w:t>项目名称</w:t>
            </w:r>
          </w:p>
        </w:tc>
        <w:tc>
          <w:tcPr>
            <w:tcW w:w="1409" w:type="pct"/>
            <w:vAlign w:val="top"/>
          </w:tcPr>
          <w:p w14:paraId="5268FC69">
            <w:pPr>
              <w:pStyle w:val="140"/>
              <w:spacing w:before="150" w:line="219" w:lineRule="auto"/>
              <w:jc w:val="center"/>
              <w:rPr>
                <w:highlight w:val="yellow"/>
              </w:rPr>
            </w:pPr>
            <w:r>
              <w:rPr>
                <w:rFonts w:hint="eastAsia" w:eastAsia="宋体"/>
                <w:spacing w:val="-3"/>
                <w:highlight w:val="yellow"/>
                <w:lang w:val="en-US" w:eastAsia="zh-CN"/>
              </w:rPr>
              <w:t>服务</w:t>
            </w:r>
            <w:r>
              <w:rPr>
                <w:spacing w:val="-3"/>
                <w:highlight w:val="yellow"/>
              </w:rPr>
              <w:t>范围</w:t>
            </w:r>
          </w:p>
        </w:tc>
        <w:tc>
          <w:tcPr>
            <w:tcW w:w="930" w:type="pct"/>
            <w:vAlign w:val="top"/>
          </w:tcPr>
          <w:p w14:paraId="44EBDC04">
            <w:pPr>
              <w:pStyle w:val="140"/>
              <w:spacing w:before="150" w:line="219" w:lineRule="auto"/>
              <w:jc w:val="center"/>
              <w:rPr>
                <w:rFonts w:hint="default" w:eastAsia="宋体"/>
                <w:spacing w:val="-3"/>
                <w:highlight w:val="yellow"/>
                <w:lang w:val="en-US" w:eastAsia="zh-CN"/>
              </w:rPr>
            </w:pPr>
            <w:r>
              <w:rPr>
                <w:rFonts w:hint="eastAsia" w:eastAsia="宋体"/>
                <w:spacing w:val="-3"/>
                <w:highlight w:val="yellow"/>
                <w:lang w:val="en-US" w:eastAsia="zh-CN"/>
              </w:rPr>
              <w:t>是否履约完成</w:t>
            </w:r>
          </w:p>
        </w:tc>
        <w:tc>
          <w:tcPr>
            <w:tcW w:w="501" w:type="pct"/>
            <w:vAlign w:val="top"/>
          </w:tcPr>
          <w:p w14:paraId="283ECCB8">
            <w:pPr>
              <w:pStyle w:val="140"/>
              <w:spacing w:before="149" w:line="221" w:lineRule="auto"/>
              <w:ind w:left="245"/>
              <w:rPr>
                <w:highlight w:val="yellow"/>
              </w:rPr>
            </w:pPr>
            <w:r>
              <w:rPr>
                <w:spacing w:val="-7"/>
                <w:highlight w:val="yellow"/>
              </w:rPr>
              <w:t>备注</w:t>
            </w:r>
          </w:p>
        </w:tc>
      </w:tr>
      <w:tr w14:paraId="1A8CC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5E3F4C8F">
            <w:pPr>
              <w:pStyle w:val="140"/>
              <w:spacing w:before="115" w:line="241" w:lineRule="auto"/>
              <w:ind w:left="437"/>
              <w:rPr>
                <w:highlight w:val="yellow"/>
              </w:rPr>
            </w:pPr>
            <w:r>
              <w:rPr>
                <w:highlight w:val="yellow"/>
              </w:rPr>
              <w:t>1</w:t>
            </w:r>
          </w:p>
        </w:tc>
        <w:tc>
          <w:tcPr>
            <w:tcW w:w="1661" w:type="pct"/>
            <w:vAlign w:val="top"/>
          </w:tcPr>
          <w:p w14:paraId="2706018D">
            <w:pPr>
              <w:rPr>
                <w:rFonts w:ascii="Arial"/>
                <w:sz w:val="21"/>
                <w:highlight w:val="yellow"/>
              </w:rPr>
            </w:pPr>
          </w:p>
        </w:tc>
        <w:tc>
          <w:tcPr>
            <w:tcW w:w="1409" w:type="pct"/>
            <w:vAlign w:val="top"/>
          </w:tcPr>
          <w:p w14:paraId="42018C30">
            <w:pPr>
              <w:rPr>
                <w:rFonts w:ascii="Arial"/>
                <w:sz w:val="21"/>
                <w:highlight w:val="yellow"/>
              </w:rPr>
            </w:pPr>
          </w:p>
        </w:tc>
        <w:tc>
          <w:tcPr>
            <w:tcW w:w="930" w:type="pct"/>
            <w:vAlign w:val="top"/>
          </w:tcPr>
          <w:p w14:paraId="55DDC6D4">
            <w:pPr>
              <w:rPr>
                <w:rFonts w:ascii="Arial"/>
                <w:sz w:val="21"/>
                <w:highlight w:val="yellow"/>
              </w:rPr>
            </w:pPr>
          </w:p>
        </w:tc>
        <w:tc>
          <w:tcPr>
            <w:tcW w:w="501" w:type="pct"/>
            <w:vAlign w:val="top"/>
          </w:tcPr>
          <w:p w14:paraId="60E21923">
            <w:pPr>
              <w:rPr>
                <w:rFonts w:ascii="Arial"/>
                <w:sz w:val="21"/>
                <w:highlight w:val="yellow"/>
              </w:rPr>
            </w:pPr>
          </w:p>
        </w:tc>
      </w:tr>
      <w:tr w14:paraId="15456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0E5DDC60">
            <w:pPr>
              <w:pStyle w:val="140"/>
              <w:spacing w:before="115" w:line="241" w:lineRule="auto"/>
              <w:ind w:left="422"/>
              <w:rPr>
                <w:highlight w:val="yellow"/>
              </w:rPr>
            </w:pPr>
            <w:r>
              <w:rPr>
                <w:highlight w:val="yellow"/>
              </w:rPr>
              <w:t>2</w:t>
            </w:r>
          </w:p>
        </w:tc>
        <w:tc>
          <w:tcPr>
            <w:tcW w:w="1661" w:type="pct"/>
            <w:vAlign w:val="top"/>
          </w:tcPr>
          <w:p w14:paraId="39536F28">
            <w:pPr>
              <w:rPr>
                <w:rFonts w:ascii="Arial"/>
                <w:sz w:val="21"/>
                <w:highlight w:val="yellow"/>
              </w:rPr>
            </w:pPr>
          </w:p>
        </w:tc>
        <w:tc>
          <w:tcPr>
            <w:tcW w:w="1409" w:type="pct"/>
            <w:vAlign w:val="top"/>
          </w:tcPr>
          <w:p w14:paraId="31B01710">
            <w:pPr>
              <w:rPr>
                <w:rFonts w:ascii="Arial"/>
                <w:sz w:val="21"/>
                <w:highlight w:val="yellow"/>
              </w:rPr>
            </w:pPr>
          </w:p>
        </w:tc>
        <w:tc>
          <w:tcPr>
            <w:tcW w:w="930" w:type="pct"/>
            <w:vAlign w:val="top"/>
          </w:tcPr>
          <w:p w14:paraId="65C4BBB3">
            <w:pPr>
              <w:rPr>
                <w:rFonts w:ascii="Arial"/>
                <w:sz w:val="21"/>
                <w:highlight w:val="yellow"/>
              </w:rPr>
            </w:pPr>
          </w:p>
        </w:tc>
        <w:tc>
          <w:tcPr>
            <w:tcW w:w="501" w:type="pct"/>
            <w:vAlign w:val="top"/>
          </w:tcPr>
          <w:p w14:paraId="34D20A5C">
            <w:pPr>
              <w:rPr>
                <w:rFonts w:ascii="Arial"/>
                <w:sz w:val="21"/>
                <w:highlight w:val="yellow"/>
              </w:rPr>
            </w:pPr>
          </w:p>
        </w:tc>
      </w:tr>
      <w:tr w14:paraId="6D3D3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97" w:type="pct"/>
            <w:vAlign w:val="top"/>
          </w:tcPr>
          <w:p w14:paraId="7DA03297">
            <w:pPr>
              <w:pStyle w:val="140"/>
              <w:spacing w:before="118"/>
              <w:ind w:left="424"/>
              <w:rPr>
                <w:highlight w:val="yellow"/>
              </w:rPr>
            </w:pPr>
            <w:r>
              <w:rPr>
                <w:highlight w:val="yellow"/>
              </w:rPr>
              <w:t>3</w:t>
            </w:r>
          </w:p>
        </w:tc>
        <w:tc>
          <w:tcPr>
            <w:tcW w:w="1661" w:type="pct"/>
            <w:vAlign w:val="top"/>
          </w:tcPr>
          <w:p w14:paraId="19341408">
            <w:pPr>
              <w:rPr>
                <w:rFonts w:ascii="Arial"/>
                <w:sz w:val="21"/>
                <w:highlight w:val="yellow"/>
              </w:rPr>
            </w:pPr>
          </w:p>
        </w:tc>
        <w:tc>
          <w:tcPr>
            <w:tcW w:w="1409" w:type="pct"/>
            <w:vAlign w:val="top"/>
          </w:tcPr>
          <w:p w14:paraId="7452D099">
            <w:pPr>
              <w:rPr>
                <w:rFonts w:ascii="Arial"/>
                <w:sz w:val="21"/>
                <w:highlight w:val="yellow"/>
              </w:rPr>
            </w:pPr>
          </w:p>
        </w:tc>
        <w:tc>
          <w:tcPr>
            <w:tcW w:w="930" w:type="pct"/>
            <w:vAlign w:val="top"/>
          </w:tcPr>
          <w:p w14:paraId="17A47195">
            <w:pPr>
              <w:rPr>
                <w:rFonts w:ascii="Arial"/>
                <w:sz w:val="21"/>
                <w:highlight w:val="yellow"/>
              </w:rPr>
            </w:pPr>
          </w:p>
        </w:tc>
        <w:tc>
          <w:tcPr>
            <w:tcW w:w="501" w:type="pct"/>
            <w:vAlign w:val="top"/>
          </w:tcPr>
          <w:p w14:paraId="3794785C">
            <w:pPr>
              <w:rPr>
                <w:rFonts w:ascii="Arial"/>
                <w:sz w:val="21"/>
                <w:highlight w:val="yellow"/>
              </w:rPr>
            </w:pPr>
          </w:p>
        </w:tc>
      </w:tr>
      <w:tr w14:paraId="77642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7FF4137A">
            <w:pPr>
              <w:pStyle w:val="140"/>
              <w:spacing w:before="118" w:line="241" w:lineRule="auto"/>
              <w:ind w:left="418"/>
              <w:rPr>
                <w:highlight w:val="yellow"/>
              </w:rPr>
            </w:pPr>
            <w:r>
              <w:rPr>
                <w:highlight w:val="yellow"/>
              </w:rPr>
              <w:t>4</w:t>
            </w:r>
          </w:p>
        </w:tc>
        <w:tc>
          <w:tcPr>
            <w:tcW w:w="1661" w:type="pct"/>
            <w:vAlign w:val="top"/>
          </w:tcPr>
          <w:p w14:paraId="24145F21">
            <w:pPr>
              <w:rPr>
                <w:rFonts w:ascii="Arial"/>
                <w:sz w:val="21"/>
                <w:highlight w:val="yellow"/>
              </w:rPr>
            </w:pPr>
          </w:p>
        </w:tc>
        <w:tc>
          <w:tcPr>
            <w:tcW w:w="1409" w:type="pct"/>
            <w:vAlign w:val="top"/>
          </w:tcPr>
          <w:p w14:paraId="23AD9719">
            <w:pPr>
              <w:rPr>
                <w:rFonts w:ascii="Arial"/>
                <w:sz w:val="21"/>
                <w:highlight w:val="yellow"/>
              </w:rPr>
            </w:pPr>
          </w:p>
        </w:tc>
        <w:tc>
          <w:tcPr>
            <w:tcW w:w="930" w:type="pct"/>
            <w:vAlign w:val="top"/>
          </w:tcPr>
          <w:p w14:paraId="20CB4632">
            <w:pPr>
              <w:rPr>
                <w:rFonts w:ascii="Arial"/>
                <w:sz w:val="21"/>
                <w:highlight w:val="yellow"/>
              </w:rPr>
            </w:pPr>
          </w:p>
        </w:tc>
        <w:tc>
          <w:tcPr>
            <w:tcW w:w="501" w:type="pct"/>
            <w:vAlign w:val="top"/>
          </w:tcPr>
          <w:p w14:paraId="63E36A07">
            <w:pPr>
              <w:rPr>
                <w:rFonts w:ascii="Arial"/>
                <w:sz w:val="21"/>
                <w:highlight w:val="yellow"/>
              </w:rPr>
            </w:pPr>
          </w:p>
        </w:tc>
      </w:tr>
      <w:tr w14:paraId="57F27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5094B378">
            <w:pPr>
              <w:pStyle w:val="140"/>
              <w:spacing w:before="118"/>
              <w:ind w:left="424"/>
              <w:rPr>
                <w:highlight w:val="yellow"/>
              </w:rPr>
            </w:pPr>
            <w:r>
              <w:rPr>
                <w:highlight w:val="yellow"/>
              </w:rPr>
              <w:t>5</w:t>
            </w:r>
          </w:p>
        </w:tc>
        <w:tc>
          <w:tcPr>
            <w:tcW w:w="1661" w:type="pct"/>
            <w:vAlign w:val="top"/>
          </w:tcPr>
          <w:p w14:paraId="1C7C2917">
            <w:pPr>
              <w:rPr>
                <w:rFonts w:ascii="Arial"/>
                <w:sz w:val="21"/>
                <w:highlight w:val="yellow"/>
              </w:rPr>
            </w:pPr>
          </w:p>
        </w:tc>
        <w:tc>
          <w:tcPr>
            <w:tcW w:w="1409" w:type="pct"/>
            <w:vAlign w:val="top"/>
          </w:tcPr>
          <w:p w14:paraId="3990632B">
            <w:pPr>
              <w:rPr>
                <w:rFonts w:ascii="Arial"/>
                <w:sz w:val="21"/>
                <w:highlight w:val="yellow"/>
              </w:rPr>
            </w:pPr>
          </w:p>
        </w:tc>
        <w:tc>
          <w:tcPr>
            <w:tcW w:w="930" w:type="pct"/>
            <w:vAlign w:val="top"/>
          </w:tcPr>
          <w:p w14:paraId="09942810">
            <w:pPr>
              <w:rPr>
                <w:rFonts w:ascii="Arial"/>
                <w:sz w:val="21"/>
                <w:highlight w:val="yellow"/>
              </w:rPr>
            </w:pPr>
          </w:p>
        </w:tc>
        <w:tc>
          <w:tcPr>
            <w:tcW w:w="501" w:type="pct"/>
            <w:vAlign w:val="top"/>
          </w:tcPr>
          <w:p w14:paraId="5FB6B056">
            <w:pPr>
              <w:rPr>
                <w:rFonts w:ascii="Arial"/>
                <w:sz w:val="21"/>
                <w:highlight w:val="yellow"/>
              </w:rPr>
            </w:pPr>
          </w:p>
        </w:tc>
      </w:tr>
      <w:tr w14:paraId="7F165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97" w:type="pct"/>
            <w:vAlign w:val="top"/>
          </w:tcPr>
          <w:p w14:paraId="130D3C59">
            <w:pPr>
              <w:pStyle w:val="140"/>
              <w:spacing w:before="119" w:line="348" w:lineRule="exact"/>
              <w:ind w:left="254"/>
              <w:rPr>
                <w:highlight w:val="yellow"/>
              </w:rPr>
            </w:pPr>
            <w:r>
              <w:rPr>
                <w:spacing w:val="-13"/>
                <w:position w:val="2"/>
                <w:highlight w:val="yellow"/>
              </w:rPr>
              <w:t>……</w:t>
            </w:r>
          </w:p>
        </w:tc>
        <w:tc>
          <w:tcPr>
            <w:tcW w:w="1661" w:type="pct"/>
            <w:vAlign w:val="top"/>
          </w:tcPr>
          <w:p w14:paraId="6D9A8292">
            <w:pPr>
              <w:rPr>
                <w:rFonts w:ascii="Arial"/>
                <w:sz w:val="21"/>
                <w:highlight w:val="yellow"/>
              </w:rPr>
            </w:pPr>
          </w:p>
        </w:tc>
        <w:tc>
          <w:tcPr>
            <w:tcW w:w="1409" w:type="pct"/>
            <w:vAlign w:val="top"/>
          </w:tcPr>
          <w:p w14:paraId="27B474F5">
            <w:pPr>
              <w:rPr>
                <w:rFonts w:ascii="Arial"/>
                <w:sz w:val="21"/>
                <w:highlight w:val="yellow"/>
              </w:rPr>
            </w:pPr>
          </w:p>
        </w:tc>
        <w:tc>
          <w:tcPr>
            <w:tcW w:w="930" w:type="pct"/>
            <w:vAlign w:val="top"/>
          </w:tcPr>
          <w:p w14:paraId="7EC16B01">
            <w:pPr>
              <w:rPr>
                <w:rFonts w:ascii="Arial"/>
                <w:sz w:val="21"/>
                <w:highlight w:val="yellow"/>
              </w:rPr>
            </w:pPr>
          </w:p>
        </w:tc>
        <w:tc>
          <w:tcPr>
            <w:tcW w:w="501" w:type="pct"/>
            <w:vAlign w:val="top"/>
          </w:tcPr>
          <w:p w14:paraId="774BD42D">
            <w:pPr>
              <w:rPr>
                <w:rFonts w:ascii="Arial"/>
                <w:sz w:val="21"/>
                <w:highlight w:val="yellow"/>
              </w:rPr>
            </w:pPr>
          </w:p>
        </w:tc>
      </w:tr>
    </w:tbl>
    <w:p w14:paraId="6C7A4F28">
      <w:pPr>
        <w:spacing w:before="26"/>
        <w:rPr>
          <w:highlight w:val="yellow"/>
        </w:rPr>
      </w:pPr>
    </w:p>
    <w:p w14:paraId="4E7F5A21">
      <w:pPr>
        <w:pStyle w:val="17"/>
        <w:spacing w:before="78" w:line="224" w:lineRule="auto"/>
        <w:ind w:firstLine="450" w:firstLineChars="200"/>
        <w:rPr>
          <w:sz w:val="24"/>
          <w:szCs w:val="24"/>
          <w:highlight w:val="yellow"/>
        </w:rPr>
      </w:pPr>
      <w:r>
        <w:rPr>
          <w:b/>
          <w:bCs/>
          <w:spacing w:val="-8"/>
          <w:sz w:val="24"/>
          <w:szCs w:val="24"/>
          <w:highlight w:val="yellow"/>
        </w:rPr>
        <w:t>注：</w:t>
      </w:r>
    </w:p>
    <w:p w14:paraId="6467157E">
      <w:pPr>
        <w:pStyle w:val="17"/>
        <w:spacing w:before="184" w:line="289" w:lineRule="auto"/>
        <w:ind w:left="127" w:right="112" w:firstLine="431"/>
        <w:rPr>
          <w:rFonts w:ascii="@微软简标宋" w:hAnsi="@微软简标宋" w:eastAsia="宋体"/>
          <w:spacing w:val="-2"/>
          <w:sz w:val="24"/>
          <w:szCs w:val="24"/>
          <w:highlight w:val="yellow"/>
        </w:rPr>
      </w:pPr>
      <w:r>
        <w:rPr>
          <w:rFonts w:hint="eastAsia" w:ascii="@微软简标宋" w:hAnsi="@微软简标宋" w:eastAsia="宋体"/>
          <w:spacing w:val="-2"/>
          <w:sz w:val="24"/>
          <w:szCs w:val="24"/>
          <w:highlight w:val="yellow"/>
        </w:rPr>
        <w:t>1.供应商须按上述格式填写所提供的业绩。如未填写或未按格式填写，则该业绩</w:t>
      </w:r>
      <w:r>
        <w:rPr>
          <w:rFonts w:hint="eastAsia" w:ascii="@微软简标宋" w:hAnsi="@微软简标宋" w:eastAsia="宋体"/>
          <w:spacing w:val="-2"/>
          <w:sz w:val="24"/>
          <w:szCs w:val="24"/>
          <w:highlight w:val="yellow"/>
          <w:lang w:eastAsia="zh-CN"/>
        </w:rPr>
        <w:t>评审不予认可</w:t>
      </w:r>
      <w:r>
        <w:rPr>
          <w:rFonts w:hint="eastAsia" w:ascii="@微软简标宋" w:hAnsi="@微软简标宋" w:eastAsia="宋体"/>
          <w:spacing w:val="-2"/>
          <w:sz w:val="24"/>
          <w:szCs w:val="24"/>
          <w:highlight w:val="yellow"/>
        </w:rPr>
        <w:t>；</w:t>
      </w:r>
    </w:p>
    <w:p w14:paraId="2D383FB2">
      <w:pPr>
        <w:pStyle w:val="17"/>
        <w:spacing w:before="184" w:line="289" w:lineRule="auto"/>
        <w:ind w:left="127" w:right="112" w:firstLine="431"/>
        <w:rPr>
          <w:spacing w:val="-2"/>
          <w:sz w:val="24"/>
          <w:szCs w:val="24"/>
          <w:highlight w:val="yellow"/>
          <w:lang w:val="zh-CN" w:eastAsia="zh-CN"/>
        </w:rPr>
        <w:sectPr>
          <w:pgSz w:w="11906" w:h="16839"/>
          <w:pgMar w:top="1166" w:right="1633" w:bottom="1234" w:left="1633" w:header="829" w:footer="985" w:gutter="0"/>
          <w:pgNumType w:fmt="decimal"/>
          <w:cols w:space="720" w:num="1"/>
        </w:sectPr>
      </w:pPr>
      <w:r>
        <w:rPr>
          <w:spacing w:val="-2"/>
          <w:sz w:val="24"/>
          <w:szCs w:val="24"/>
          <w:highlight w:val="yellow"/>
        </w:rPr>
        <w:t>2.</w:t>
      </w:r>
      <w:r>
        <w:rPr>
          <w:rFonts w:hint="eastAsia"/>
          <w:spacing w:val="-2"/>
          <w:sz w:val="24"/>
          <w:szCs w:val="24"/>
          <w:highlight w:val="yellow"/>
          <w:lang w:val="en-US" w:eastAsia="zh-CN"/>
        </w:rPr>
        <w:t xml:space="preserve"> 如磋商文件《供应商须知前附表》有约定的，成交供应商经磋商小组评审认可的相关业绩将按约定随成交公告结果公告同时公告。</w:t>
      </w:r>
    </w:p>
    <w:bookmarkEnd w:id="92"/>
    <w:p w14:paraId="1F4B89C8">
      <w:pPr>
        <w:spacing w:line="360" w:lineRule="auto"/>
        <w:jc w:val="center"/>
        <w:outlineLvl w:val="1"/>
        <w:rPr>
          <w:rFonts w:asciiTheme="minorEastAsia" w:hAnsiTheme="minorEastAsia" w:eastAsiaTheme="minorEastAsia"/>
          <w:b/>
          <w:color w:val="auto"/>
          <w:sz w:val="24"/>
          <w:highlight w:val="none"/>
        </w:rPr>
      </w:pPr>
      <w:bookmarkStart w:id="93" w:name="_Toc7807"/>
      <w:bookmarkStart w:id="94" w:name="_Toc3826"/>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93"/>
      <w:bookmarkEnd w:id="94"/>
    </w:p>
    <w:p w14:paraId="5E539229">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提供符合磋商邀请、采购需求及评审方法和标准规定的相关证明文件</w:t>
      </w:r>
      <w:r>
        <w:rPr>
          <w:rFonts w:hint="eastAsia" w:ascii="宋体" w:hAnsi="宋体" w:eastAsia="宋体"/>
          <w:color w:val="auto"/>
          <w:sz w:val="24"/>
          <w:highlight w:val="none"/>
          <w:lang w:eastAsia="zh-CN"/>
        </w:rPr>
        <w:t>的</w:t>
      </w:r>
      <w:r>
        <w:rPr>
          <w:rFonts w:hint="eastAsia" w:ascii="宋体" w:hAnsi="宋体" w:eastAsia="宋体"/>
          <w:color w:val="auto"/>
          <w:sz w:val="24"/>
          <w:highlight w:val="none"/>
          <w:lang w:val="en-US" w:eastAsia="zh-CN"/>
        </w:rPr>
        <w:t>影印件</w:t>
      </w:r>
      <w:r>
        <w:rPr>
          <w:rFonts w:hint="eastAsia" w:ascii="宋体" w:hAnsi="宋体" w:eastAsia="宋体"/>
          <w:color w:val="auto"/>
          <w:sz w:val="24"/>
          <w:highlight w:val="none"/>
        </w:rPr>
        <w:t>。</w:t>
      </w:r>
    </w:p>
    <w:p w14:paraId="4069CC21">
      <w:pPr>
        <w:spacing w:line="360" w:lineRule="auto"/>
        <w:ind w:firstLine="435"/>
        <w:rPr>
          <w:rFonts w:asciiTheme="minorEastAsia" w:hAnsiTheme="minorEastAsia" w:eastAsiaTheme="minorEastAsia"/>
          <w:color w:val="auto"/>
          <w:sz w:val="24"/>
          <w:highlight w:val="none"/>
        </w:rPr>
      </w:pPr>
    </w:p>
    <w:p w14:paraId="2CB02D42">
      <w:pPr>
        <w:spacing w:line="360" w:lineRule="auto"/>
        <w:ind w:firstLine="480" w:firstLineChars="200"/>
        <w:rPr>
          <w:rFonts w:asciiTheme="minorEastAsia" w:hAnsiTheme="minorEastAsia" w:eastAsiaTheme="minorEastAsia"/>
          <w:color w:val="auto"/>
          <w:sz w:val="24"/>
          <w:highlight w:val="none"/>
        </w:rPr>
      </w:pPr>
    </w:p>
    <w:p w14:paraId="7A089CDF">
      <w:pPr>
        <w:spacing w:line="360" w:lineRule="auto"/>
        <w:jc w:val="center"/>
        <w:rPr>
          <w:rFonts w:asciiTheme="minorEastAsia" w:hAnsiTheme="minorEastAsia" w:eastAsiaTheme="minorEastAsia"/>
          <w:b/>
          <w:color w:val="auto"/>
          <w:sz w:val="24"/>
          <w:highlight w:val="none"/>
        </w:rPr>
      </w:pPr>
    </w:p>
    <w:p w14:paraId="2ED54802">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379889EA">
      <w:pPr>
        <w:spacing w:line="360" w:lineRule="auto"/>
        <w:jc w:val="center"/>
        <w:outlineLvl w:val="0"/>
        <w:rPr>
          <w:rFonts w:ascii="宋体" w:hAnsi="宋体" w:eastAsia="宋体"/>
          <w:b/>
          <w:bCs/>
          <w:color w:val="auto"/>
          <w:sz w:val="28"/>
          <w:highlight w:val="none"/>
        </w:rPr>
      </w:pPr>
      <w:bookmarkStart w:id="95" w:name="_Toc63440924"/>
      <w:bookmarkStart w:id="96" w:name="_Toc19418"/>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  政府采购</w:t>
      </w:r>
      <w:bookmarkEnd w:id="95"/>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6"/>
    </w:p>
    <w:p w14:paraId="41FD10DD">
      <w:pPr>
        <w:spacing w:line="360" w:lineRule="auto"/>
        <w:jc w:val="center"/>
        <w:outlineLvl w:val="1"/>
        <w:rPr>
          <w:rFonts w:ascii="仿宋" w:hAnsi="仿宋" w:eastAsia="仿宋" w:cs="仿宋"/>
          <w:b/>
          <w:bCs/>
          <w:color w:val="auto"/>
          <w:sz w:val="32"/>
          <w:szCs w:val="44"/>
          <w:highlight w:val="none"/>
        </w:rPr>
      </w:pPr>
      <w:bookmarkStart w:id="97" w:name="_Toc2142"/>
      <w:bookmarkStart w:id="98" w:name="_Toc8735"/>
      <w:r>
        <w:rPr>
          <w:rFonts w:hint="eastAsia" w:ascii="仿宋" w:hAnsi="仿宋" w:eastAsia="仿宋" w:cs="仿宋"/>
          <w:b/>
          <w:bCs/>
          <w:color w:val="auto"/>
          <w:sz w:val="32"/>
          <w:szCs w:val="44"/>
          <w:highlight w:val="none"/>
        </w:rPr>
        <w:t>询问函范本</w:t>
      </w:r>
      <w:bookmarkEnd w:id="97"/>
      <w:bookmarkEnd w:id="98"/>
    </w:p>
    <w:p w14:paraId="7FF4F453">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738BBC9A">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val="en-US" w:eastAsia="zh-CN"/>
        </w:rPr>
        <w:t>采购人</w:t>
      </w:r>
    </w:p>
    <w:p w14:paraId="19F8740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0FEF962A">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9" w:name="_Toc9092"/>
      <w:bookmarkStart w:id="100" w:name="_Toc26386"/>
      <w:r>
        <w:rPr>
          <w:rFonts w:hint="eastAsia" w:cs="仿宋" w:asciiTheme="minorEastAsia" w:hAnsiTheme="minorEastAsia" w:eastAsiaTheme="minorEastAsia"/>
          <w:color w:val="auto"/>
          <w:sz w:val="24"/>
          <w:szCs w:val="24"/>
          <w:highlight w:val="none"/>
        </w:rPr>
        <w:t>一、(事项一)</w:t>
      </w:r>
      <w:bookmarkEnd w:id="99"/>
      <w:bookmarkEnd w:id="100"/>
    </w:p>
    <w:p w14:paraId="1281EAB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7618FB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E227F6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6E793BF">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1" w:name="_Toc9273"/>
      <w:bookmarkStart w:id="102" w:name="_Toc17582"/>
      <w:r>
        <w:rPr>
          <w:rFonts w:hint="eastAsia" w:cs="仿宋" w:asciiTheme="minorEastAsia" w:hAnsiTheme="minorEastAsia" w:eastAsiaTheme="minorEastAsia"/>
          <w:color w:val="auto"/>
          <w:sz w:val="24"/>
          <w:szCs w:val="24"/>
          <w:highlight w:val="none"/>
        </w:rPr>
        <w:t>二、(事项二)</w:t>
      </w:r>
      <w:bookmarkEnd w:id="101"/>
      <w:bookmarkEnd w:id="102"/>
    </w:p>
    <w:p w14:paraId="19A5D88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B9C940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FCB34A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2ACE8E9">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CC9AA14">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5718456">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714913D">
      <w:pPr>
        <w:jc w:val="center"/>
        <w:outlineLvl w:val="1"/>
        <w:rPr>
          <w:rFonts w:ascii="仿宋" w:hAnsi="仿宋" w:eastAsia="仿宋" w:cs="仿宋"/>
          <w:b/>
          <w:bCs/>
          <w:color w:val="auto"/>
          <w:sz w:val="32"/>
          <w:szCs w:val="44"/>
          <w:highlight w:val="none"/>
        </w:rPr>
      </w:pPr>
      <w:bookmarkStart w:id="103" w:name="_Toc6990"/>
      <w:bookmarkStart w:id="104" w:name="_Toc26673"/>
      <w:r>
        <w:rPr>
          <w:rFonts w:hint="eastAsia" w:ascii="仿宋" w:hAnsi="仿宋" w:eastAsia="仿宋" w:cs="仿宋"/>
          <w:b/>
          <w:bCs/>
          <w:color w:val="auto"/>
          <w:sz w:val="32"/>
          <w:szCs w:val="44"/>
          <w:highlight w:val="none"/>
        </w:rPr>
        <w:t>质疑函范本</w:t>
      </w:r>
      <w:bookmarkEnd w:id="103"/>
      <w:bookmarkEnd w:id="104"/>
    </w:p>
    <w:p w14:paraId="49AD0B40">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5" w:name="_Toc29510"/>
      <w:bookmarkStart w:id="106" w:name="_Toc2994"/>
      <w:r>
        <w:rPr>
          <w:rFonts w:hint="eastAsia" w:cs="仿宋" w:asciiTheme="minorEastAsia" w:hAnsiTheme="minorEastAsia" w:eastAsiaTheme="minorEastAsia"/>
          <w:b/>
          <w:bCs/>
          <w:color w:val="auto"/>
          <w:sz w:val="24"/>
          <w:szCs w:val="24"/>
          <w:highlight w:val="none"/>
        </w:rPr>
        <w:t>一、质疑供应商基本信息</w:t>
      </w:r>
      <w:bookmarkEnd w:id="105"/>
      <w:bookmarkEnd w:id="106"/>
    </w:p>
    <w:p w14:paraId="3F0CCCA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F6290C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157851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BE4009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5C098AE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31A89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7AF4C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7" w:name="_Toc28130"/>
      <w:bookmarkStart w:id="108" w:name="_Toc31042"/>
      <w:r>
        <w:rPr>
          <w:rFonts w:hint="eastAsia" w:cs="仿宋" w:asciiTheme="minorEastAsia" w:hAnsiTheme="minorEastAsia" w:eastAsiaTheme="minorEastAsia"/>
          <w:b/>
          <w:bCs/>
          <w:color w:val="auto"/>
          <w:sz w:val="24"/>
          <w:szCs w:val="24"/>
          <w:highlight w:val="none"/>
        </w:rPr>
        <w:t>二、质疑项目基本情况</w:t>
      </w:r>
      <w:bookmarkEnd w:id="107"/>
      <w:bookmarkEnd w:id="108"/>
    </w:p>
    <w:p w14:paraId="3C2E3A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597E0A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2B9870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F3C89B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C3AFE7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9" w:name="_Toc6486"/>
      <w:bookmarkStart w:id="110" w:name="_Toc20587"/>
      <w:r>
        <w:rPr>
          <w:rFonts w:hint="eastAsia" w:cs="仿宋" w:asciiTheme="minorEastAsia" w:hAnsiTheme="minorEastAsia" w:eastAsiaTheme="minorEastAsia"/>
          <w:b/>
          <w:bCs/>
          <w:color w:val="auto"/>
          <w:sz w:val="24"/>
          <w:szCs w:val="24"/>
          <w:highlight w:val="none"/>
        </w:rPr>
        <w:t>三、质疑事项具体内容</w:t>
      </w:r>
      <w:bookmarkEnd w:id="109"/>
      <w:bookmarkEnd w:id="110"/>
    </w:p>
    <w:p w14:paraId="4F8523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D7C01D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31E16F8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363EBF6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14E0C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5108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766B30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03A67DC">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1" w:name="_Toc20470"/>
      <w:bookmarkStart w:id="112" w:name="_Toc32755"/>
      <w:r>
        <w:rPr>
          <w:rFonts w:hint="eastAsia" w:cs="仿宋" w:asciiTheme="minorEastAsia" w:hAnsiTheme="minorEastAsia" w:eastAsiaTheme="minorEastAsia"/>
          <w:b/>
          <w:bCs/>
          <w:color w:val="auto"/>
          <w:sz w:val="24"/>
          <w:szCs w:val="24"/>
          <w:highlight w:val="none"/>
        </w:rPr>
        <w:t>四、与质疑事项相关的质疑请求</w:t>
      </w:r>
      <w:bookmarkEnd w:id="111"/>
      <w:bookmarkEnd w:id="112"/>
    </w:p>
    <w:p w14:paraId="0DAA263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17E6B87">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1F9F2A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F509A5">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A38DDD5">
      <w:pPr>
        <w:outlineLvl w:val="0"/>
        <w:rPr>
          <w:rFonts w:asciiTheme="minorEastAsia" w:hAnsiTheme="minorEastAsia" w:eastAsiaTheme="minorEastAsia"/>
          <w:b/>
          <w:color w:val="auto"/>
          <w:sz w:val="28"/>
          <w:szCs w:val="32"/>
          <w:highlight w:val="none"/>
        </w:rPr>
      </w:pPr>
      <w:bookmarkStart w:id="113" w:name="_Toc21667"/>
      <w:bookmarkStart w:id="114" w:name="_Toc8368"/>
      <w:r>
        <w:rPr>
          <w:rFonts w:hint="eastAsia" w:asciiTheme="minorEastAsia" w:hAnsiTheme="minorEastAsia" w:eastAsiaTheme="minorEastAsia"/>
          <w:b/>
          <w:color w:val="auto"/>
          <w:sz w:val="28"/>
          <w:szCs w:val="32"/>
          <w:highlight w:val="none"/>
        </w:rPr>
        <w:t>质疑函制作说明：</w:t>
      </w:r>
      <w:bookmarkEnd w:id="113"/>
      <w:bookmarkEnd w:id="114"/>
    </w:p>
    <w:p w14:paraId="4C105B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973A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8948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9CDB3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361DC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43FF26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CB09746">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540754C8">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6"/>
      <w:jc w:val="both"/>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5178">
    <w:pPr>
      <w:pStyle w:val="26"/>
      <w:jc w:val="center"/>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89A92">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FE89A92">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6"/>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4EE66B">
                    <w:pPr>
                      <w:pStyle w:val="2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8FE08">
                          <w:pPr>
                            <w:pStyle w:val="2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38FE08">
                    <w:pPr>
                      <w:pStyle w:val="2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AA83">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656D5">
                          <w:pPr>
                            <w:pStyle w:val="2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90656D5">
                    <w:pPr>
                      <w:pStyle w:val="2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6"/>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6094B">
                          <w:pPr>
                            <w:pStyle w:val="2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86094B">
                    <w:pPr>
                      <w:pStyle w:val="2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8"/>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F3248">
    <w:pPr>
      <w:pStyle w:val="28"/>
      <w:pBdr>
        <w:bottom w:val="none" w:color="auto" w:sz="0" w:space="1"/>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B47D60"/>
    <w:multiLevelType w:val="singleLevel"/>
    <w:tmpl w:val="BAB47D60"/>
    <w:lvl w:ilvl="0" w:tentative="0">
      <w:start w:val="2"/>
      <w:numFmt w:val="chineseCounting"/>
      <w:suff w:val="nothing"/>
      <w:lvlText w:val="%1、"/>
      <w:lvlJc w:val="left"/>
      <w:rPr>
        <w:rFonts w:hint="eastAsia"/>
      </w:rPr>
    </w:lvl>
  </w:abstractNum>
  <w:abstractNum w:abstractNumId="1">
    <w:nsid w:val="FFEFC674"/>
    <w:multiLevelType w:val="singleLevel"/>
    <w:tmpl w:val="FFEFC674"/>
    <w:lvl w:ilvl="0" w:tentative="0">
      <w:start w:val="1"/>
      <w:numFmt w:val="decimal"/>
      <w:suff w:val="nothing"/>
      <w:lvlText w:val="（%1）"/>
      <w:lvlJc w:val="left"/>
    </w:lvl>
  </w:abstractNum>
  <w:abstractNum w:abstractNumId="2">
    <w:nsid w:val="7AAB2737"/>
    <w:multiLevelType w:val="singleLevel"/>
    <w:tmpl w:val="7AAB2737"/>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8C5C9F"/>
    <w:rsid w:val="07C80EFB"/>
    <w:rsid w:val="08251EAA"/>
    <w:rsid w:val="084121A6"/>
    <w:rsid w:val="08916AB3"/>
    <w:rsid w:val="09084174"/>
    <w:rsid w:val="09287EA3"/>
    <w:rsid w:val="0A903CFA"/>
    <w:rsid w:val="0A91481A"/>
    <w:rsid w:val="0CC021A1"/>
    <w:rsid w:val="0E3725F8"/>
    <w:rsid w:val="10E24D87"/>
    <w:rsid w:val="119A1F8D"/>
    <w:rsid w:val="13524CBA"/>
    <w:rsid w:val="13750D6C"/>
    <w:rsid w:val="13C347B9"/>
    <w:rsid w:val="158B3597"/>
    <w:rsid w:val="16A92918"/>
    <w:rsid w:val="17685A93"/>
    <w:rsid w:val="18735030"/>
    <w:rsid w:val="18FA2EDF"/>
    <w:rsid w:val="1A66331F"/>
    <w:rsid w:val="1AF95668"/>
    <w:rsid w:val="1CE22479"/>
    <w:rsid w:val="1E0104DD"/>
    <w:rsid w:val="1EA4741C"/>
    <w:rsid w:val="20344F28"/>
    <w:rsid w:val="206770AC"/>
    <w:rsid w:val="21D50357"/>
    <w:rsid w:val="23241284"/>
    <w:rsid w:val="233762C9"/>
    <w:rsid w:val="234E207A"/>
    <w:rsid w:val="23530B29"/>
    <w:rsid w:val="26A734B0"/>
    <w:rsid w:val="27AC56F0"/>
    <w:rsid w:val="282F3B79"/>
    <w:rsid w:val="283C571B"/>
    <w:rsid w:val="2850063C"/>
    <w:rsid w:val="28577B15"/>
    <w:rsid w:val="291E2007"/>
    <w:rsid w:val="29CF3D8B"/>
    <w:rsid w:val="2CD32C5A"/>
    <w:rsid w:val="2D2D2C20"/>
    <w:rsid w:val="3098291B"/>
    <w:rsid w:val="30C62676"/>
    <w:rsid w:val="30D37E45"/>
    <w:rsid w:val="31BF072E"/>
    <w:rsid w:val="32895994"/>
    <w:rsid w:val="340842AA"/>
    <w:rsid w:val="353B3065"/>
    <w:rsid w:val="35DA59F3"/>
    <w:rsid w:val="37321D6A"/>
    <w:rsid w:val="37903539"/>
    <w:rsid w:val="388A16E7"/>
    <w:rsid w:val="38F3153C"/>
    <w:rsid w:val="39F03816"/>
    <w:rsid w:val="3BA464C6"/>
    <w:rsid w:val="3CC75F2B"/>
    <w:rsid w:val="3CE61832"/>
    <w:rsid w:val="3CF814E4"/>
    <w:rsid w:val="3D874491"/>
    <w:rsid w:val="3F5D7BA0"/>
    <w:rsid w:val="41817B76"/>
    <w:rsid w:val="418A33DF"/>
    <w:rsid w:val="435C016E"/>
    <w:rsid w:val="43964717"/>
    <w:rsid w:val="43BE3353"/>
    <w:rsid w:val="443D4540"/>
    <w:rsid w:val="45553AE5"/>
    <w:rsid w:val="45974888"/>
    <w:rsid w:val="47470D57"/>
    <w:rsid w:val="47D26073"/>
    <w:rsid w:val="47E75CBA"/>
    <w:rsid w:val="4B700D53"/>
    <w:rsid w:val="4BDA12B0"/>
    <w:rsid w:val="4D317F5A"/>
    <w:rsid w:val="4D3A7115"/>
    <w:rsid w:val="4D677E3B"/>
    <w:rsid w:val="523429E2"/>
    <w:rsid w:val="52F037A1"/>
    <w:rsid w:val="536D2F2E"/>
    <w:rsid w:val="53F1220D"/>
    <w:rsid w:val="546D21DB"/>
    <w:rsid w:val="5658373F"/>
    <w:rsid w:val="566D6A2E"/>
    <w:rsid w:val="57346FE0"/>
    <w:rsid w:val="591C7D2C"/>
    <w:rsid w:val="59B361F2"/>
    <w:rsid w:val="5CAC4BB0"/>
    <w:rsid w:val="5DFC5B86"/>
    <w:rsid w:val="5E677C9B"/>
    <w:rsid w:val="5EA70DDA"/>
    <w:rsid w:val="60C63B32"/>
    <w:rsid w:val="629038C3"/>
    <w:rsid w:val="642A69CF"/>
    <w:rsid w:val="65271F32"/>
    <w:rsid w:val="66091AE9"/>
    <w:rsid w:val="68AB6E74"/>
    <w:rsid w:val="6942558D"/>
    <w:rsid w:val="6A2133F4"/>
    <w:rsid w:val="6AC87D14"/>
    <w:rsid w:val="6BE0108D"/>
    <w:rsid w:val="6C550632"/>
    <w:rsid w:val="6D263022"/>
    <w:rsid w:val="742915A0"/>
    <w:rsid w:val="76764668"/>
    <w:rsid w:val="774C5829"/>
    <w:rsid w:val="77893908"/>
    <w:rsid w:val="77E56B80"/>
    <w:rsid w:val="78A3591C"/>
    <w:rsid w:val="78E37CC7"/>
    <w:rsid w:val="790E7239"/>
    <w:rsid w:val="79FB4EC7"/>
    <w:rsid w:val="7C42088B"/>
    <w:rsid w:val="7CE63738"/>
    <w:rsid w:val="7D36737D"/>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1"/>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2"/>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3"/>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54"/>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55"/>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56"/>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57"/>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58"/>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59"/>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79"/>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86"/>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link w:val="63"/>
    <w:unhideWhenUsed/>
    <w:qFormat/>
    <w:uiPriority w:val="0"/>
    <w:pPr>
      <w:ind w:left="2730" w:hanging="2730" w:hangingChars="1365"/>
      <w:jc w:val="left"/>
    </w:pPr>
    <w:rPr>
      <w:sz w:val="20"/>
      <w:lang w:bidi="he-IL"/>
    </w:rPr>
  </w:style>
  <w:style w:type="paragraph" w:styleId="15">
    <w:name w:val="annotation text"/>
    <w:basedOn w:val="1"/>
    <w:link w:val="117"/>
    <w:unhideWhenUsed/>
    <w:qFormat/>
    <w:uiPriority w:val="0"/>
    <w:pPr>
      <w:adjustRightInd/>
      <w:spacing w:line="500" w:lineRule="exact"/>
      <w:jc w:val="left"/>
    </w:pPr>
    <w:rPr>
      <w:sz w:val="20"/>
    </w:rPr>
  </w:style>
  <w:style w:type="paragraph" w:styleId="16">
    <w:name w:val="Body Text 3"/>
    <w:basedOn w:val="1"/>
    <w:link w:val="73"/>
    <w:semiHidden/>
    <w:unhideWhenUsed/>
    <w:qFormat/>
    <w:uiPriority w:val="99"/>
    <w:pPr>
      <w:spacing w:after="120"/>
    </w:pPr>
    <w:rPr>
      <w:sz w:val="16"/>
      <w:szCs w:val="16"/>
    </w:rPr>
  </w:style>
  <w:style w:type="paragraph" w:styleId="17">
    <w:name w:val="Body Text"/>
    <w:basedOn w:val="1"/>
    <w:link w:val="80"/>
    <w:autoRedefine/>
    <w:unhideWhenUsed/>
    <w:qFormat/>
    <w:uiPriority w:val="0"/>
    <w:pPr>
      <w:spacing w:after="120"/>
    </w:pPr>
  </w:style>
  <w:style w:type="paragraph" w:styleId="18">
    <w:name w:val="Block Text"/>
    <w:basedOn w:val="1"/>
    <w:autoRedefine/>
    <w:unhideWhenUsed/>
    <w:qFormat/>
    <w:uiPriority w:val="99"/>
    <w:pPr>
      <w:spacing w:after="120"/>
      <w:ind w:left="1440" w:leftChars="700" w:right="1440" w:rightChars="700"/>
    </w:pPr>
    <w:rPr>
      <w:szCs w:val="24"/>
    </w:rPr>
  </w:style>
  <w:style w:type="paragraph" w:styleId="19">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0">
    <w:name w:val="toc 3"/>
    <w:basedOn w:val="1"/>
    <w:next w:val="1"/>
    <w:autoRedefine/>
    <w:unhideWhenUsed/>
    <w:qFormat/>
    <w:uiPriority w:val="39"/>
    <w:pPr>
      <w:ind w:left="840" w:leftChars="400"/>
    </w:pPr>
  </w:style>
  <w:style w:type="paragraph" w:styleId="21">
    <w:name w:val="Plain Text"/>
    <w:basedOn w:val="1"/>
    <w:link w:val="118"/>
    <w:autoRedefine/>
    <w:qFormat/>
    <w:uiPriority w:val="0"/>
    <w:pPr>
      <w:textAlignment w:val="baseline"/>
    </w:pPr>
    <w:rPr>
      <w:rFonts w:ascii="宋体" w:hAnsi="Courier New"/>
    </w:rPr>
  </w:style>
  <w:style w:type="paragraph" w:styleId="22">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3">
    <w:name w:val="Date"/>
    <w:basedOn w:val="1"/>
    <w:next w:val="1"/>
    <w:link w:val="78"/>
    <w:autoRedefine/>
    <w:semiHidden/>
    <w:unhideWhenUsed/>
    <w:qFormat/>
    <w:uiPriority w:val="99"/>
    <w:pPr>
      <w:ind w:left="100" w:leftChars="2500"/>
    </w:pPr>
  </w:style>
  <w:style w:type="paragraph" w:styleId="24">
    <w:name w:val="Body Text Indent 2"/>
    <w:basedOn w:val="1"/>
    <w:link w:val="76"/>
    <w:autoRedefine/>
    <w:unhideWhenUsed/>
    <w:qFormat/>
    <w:uiPriority w:val="99"/>
    <w:pPr>
      <w:spacing w:after="120" w:line="480" w:lineRule="auto"/>
      <w:ind w:left="420" w:leftChars="200"/>
      <w:jc w:val="left"/>
    </w:pPr>
  </w:style>
  <w:style w:type="paragraph" w:styleId="25">
    <w:name w:val="Balloon Text"/>
    <w:basedOn w:val="1"/>
    <w:link w:val="62"/>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6">
    <w:name w:val="footer"/>
    <w:basedOn w:val="1"/>
    <w:link w:val="61"/>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link w:val="60"/>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8"/>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Body Text 2"/>
    <w:basedOn w:val="1"/>
    <w:qFormat/>
    <w:uiPriority w:val="0"/>
    <w:pPr>
      <w:widowControl/>
      <w:jc w:val="center"/>
    </w:pPr>
    <w:rPr>
      <w:rFonts w:ascii="楷体_GB2312" w:eastAsia="楷体_GB2312"/>
      <w:sz w:val="20"/>
    </w:rPr>
  </w:style>
  <w:style w:type="paragraph" w:styleId="36">
    <w:name w:val="Message Header"/>
    <w:basedOn w:val="1"/>
    <w:next w:val="21"/>
    <w:link w:val="119"/>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7"/>
    <w:link w:val="87"/>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9">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50">
    <w:name w:val="*正文"/>
    <w:basedOn w:val="12"/>
    <w:qFormat/>
    <w:uiPriority w:val="0"/>
    <w:pPr>
      <w:ind w:firstLine="200"/>
    </w:pPr>
    <w:rPr>
      <w:rFonts w:ascii="宋体" w:hAnsi="宋体" w:eastAsia="宋体" w:cs="Times New Roman"/>
      <w:color w:val="000000"/>
    </w:rPr>
  </w:style>
  <w:style w:type="character" w:customStyle="1" w:styleId="51">
    <w:name w:val="标题 1 字符"/>
    <w:basedOn w:val="42"/>
    <w:link w:val="2"/>
    <w:autoRedefine/>
    <w:qFormat/>
    <w:uiPriority w:val="9"/>
    <w:rPr>
      <w:rFonts w:ascii="Times New Roman" w:hAnsi="Times New Roman" w:eastAsia="微软雅黑" w:cs="Times New Roman"/>
      <w:b/>
      <w:bCs/>
      <w:kern w:val="44"/>
      <w:sz w:val="32"/>
      <w:szCs w:val="44"/>
    </w:rPr>
  </w:style>
  <w:style w:type="character" w:customStyle="1" w:styleId="52">
    <w:name w:val="标题 2 字符"/>
    <w:basedOn w:val="42"/>
    <w:link w:val="3"/>
    <w:autoRedefine/>
    <w:qFormat/>
    <w:uiPriority w:val="9"/>
    <w:rPr>
      <w:rFonts w:eastAsia="微软雅黑" w:asciiTheme="majorHAnsi" w:hAnsiTheme="majorHAnsi" w:cstheme="majorBidi"/>
      <w:b/>
      <w:bCs/>
      <w:kern w:val="0"/>
      <w:sz w:val="30"/>
      <w:szCs w:val="32"/>
    </w:rPr>
  </w:style>
  <w:style w:type="character" w:customStyle="1" w:styleId="53">
    <w:name w:val="标题 3 字符"/>
    <w:basedOn w:val="42"/>
    <w:link w:val="4"/>
    <w:autoRedefine/>
    <w:qFormat/>
    <w:uiPriority w:val="0"/>
    <w:rPr>
      <w:rFonts w:ascii="Times New Roman" w:hAnsi="Times New Roman" w:eastAsia="微软雅黑" w:cs="Times New Roman"/>
      <w:b/>
      <w:bCs/>
      <w:kern w:val="0"/>
      <w:sz w:val="28"/>
      <w:szCs w:val="32"/>
    </w:rPr>
  </w:style>
  <w:style w:type="character" w:customStyle="1" w:styleId="54">
    <w:name w:val="标题 4 字符"/>
    <w:basedOn w:val="42"/>
    <w:link w:val="5"/>
    <w:autoRedefine/>
    <w:qFormat/>
    <w:uiPriority w:val="9"/>
    <w:rPr>
      <w:rFonts w:eastAsia="微软雅黑" w:asciiTheme="majorHAnsi" w:hAnsiTheme="majorHAnsi" w:cstheme="majorBidi"/>
      <w:b/>
      <w:bCs/>
      <w:kern w:val="0"/>
      <w:sz w:val="24"/>
      <w:szCs w:val="28"/>
    </w:rPr>
  </w:style>
  <w:style w:type="character" w:customStyle="1" w:styleId="55">
    <w:name w:val="标题 5 字符"/>
    <w:basedOn w:val="42"/>
    <w:link w:val="6"/>
    <w:autoRedefine/>
    <w:qFormat/>
    <w:uiPriority w:val="9"/>
    <w:rPr>
      <w:rFonts w:ascii="Times New Roman" w:hAnsi="Times New Roman" w:eastAsia="宋体" w:cs="Times New Roman"/>
      <w:b/>
      <w:bCs/>
      <w:sz w:val="28"/>
      <w:szCs w:val="28"/>
    </w:rPr>
  </w:style>
  <w:style w:type="character" w:customStyle="1" w:styleId="56">
    <w:name w:val="标题 6 字符"/>
    <w:basedOn w:val="42"/>
    <w:link w:val="7"/>
    <w:autoRedefine/>
    <w:qFormat/>
    <w:uiPriority w:val="9"/>
    <w:rPr>
      <w:rFonts w:ascii="Arial" w:hAnsi="Arial" w:eastAsia="黑体" w:cs="Times New Roman"/>
      <w:b/>
      <w:bCs/>
      <w:sz w:val="24"/>
      <w:szCs w:val="24"/>
    </w:rPr>
  </w:style>
  <w:style w:type="character" w:customStyle="1" w:styleId="57">
    <w:name w:val="标题 7 字符"/>
    <w:basedOn w:val="42"/>
    <w:link w:val="8"/>
    <w:autoRedefine/>
    <w:qFormat/>
    <w:uiPriority w:val="0"/>
    <w:rPr>
      <w:rFonts w:ascii="Times New Roman" w:hAnsi="Times New Roman" w:eastAsia="宋体" w:cs="Times New Roman"/>
      <w:b/>
      <w:bCs/>
      <w:sz w:val="24"/>
      <w:szCs w:val="24"/>
    </w:rPr>
  </w:style>
  <w:style w:type="character" w:customStyle="1" w:styleId="58">
    <w:name w:val="标题 8 字符"/>
    <w:basedOn w:val="42"/>
    <w:link w:val="9"/>
    <w:autoRedefine/>
    <w:qFormat/>
    <w:uiPriority w:val="0"/>
    <w:rPr>
      <w:rFonts w:ascii="Arial" w:hAnsi="Arial" w:eastAsia="黑体" w:cs="Times New Roman"/>
      <w:sz w:val="24"/>
      <w:szCs w:val="24"/>
    </w:rPr>
  </w:style>
  <w:style w:type="character" w:customStyle="1" w:styleId="59">
    <w:name w:val="标题 9 字符"/>
    <w:basedOn w:val="42"/>
    <w:link w:val="10"/>
    <w:autoRedefine/>
    <w:qFormat/>
    <w:uiPriority w:val="9"/>
    <w:rPr>
      <w:rFonts w:ascii="Arial" w:hAnsi="Arial" w:eastAsia="黑体" w:cs="Times New Roman"/>
      <w:szCs w:val="21"/>
    </w:rPr>
  </w:style>
  <w:style w:type="character" w:customStyle="1" w:styleId="60">
    <w:name w:val="页眉 字符"/>
    <w:basedOn w:val="42"/>
    <w:link w:val="28"/>
    <w:autoRedefine/>
    <w:qFormat/>
    <w:uiPriority w:val="0"/>
    <w:rPr>
      <w:sz w:val="18"/>
      <w:szCs w:val="18"/>
    </w:rPr>
  </w:style>
  <w:style w:type="character" w:customStyle="1" w:styleId="61">
    <w:name w:val="页脚 字符"/>
    <w:basedOn w:val="42"/>
    <w:link w:val="26"/>
    <w:autoRedefine/>
    <w:qFormat/>
    <w:uiPriority w:val="0"/>
    <w:rPr>
      <w:sz w:val="18"/>
      <w:szCs w:val="18"/>
    </w:rPr>
  </w:style>
  <w:style w:type="character" w:customStyle="1" w:styleId="62">
    <w:name w:val="批注框文本 字符"/>
    <w:basedOn w:val="42"/>
    <w:link w:val="25"/>
    <w:autoRedefine/>
    <w:semiHidden/>
    <w:qFormat/>
    <w:uiPriority w:val="99"/>
    <w:rPr>
      <w:sz w:val="18"/>
      <w:szCs w:val="18"/>
    </w:rPr>
  </w:style>
  <w:style w:type="character" w:customStyle="1" w:styleId="63">
    <w:name w:val="正文文本缩进 字符"/>
    <w:basedOn w:val="42"/>
    <w:link w:val="14"/>
    <w:autoRedefine/>
    <w:qFormat/>
    <w:uiPriority w:val="0"/>
    <w:rPr>
      <w:rFonts w:ascii="Times New Roman" w:hAnsi="Times New Roman" w:eastAsia="宋体" w:cs="Times New Roman"/>
      <w:kern w:val="0"/>
      <w:sz w:val="20"/>
      <w:szCs w:val="20"/>
      <w:lang w:bidi="he-IL"/>
    </w:rPr>
  </w:style>
  <w:style w:type="paragraph" w:styleId="64">
    <w:name w:val="List Paragraph"/>
    <w:basedOn w:val="1"/>
    <w:link w:val="65"/>
    <w:autoRedefine/>
    <w:qFormat/>
    <w:uiPriority w:val="34"/>
    <w:pPr>
      <w:snapToGrid w:val="0"/>
      <w:spacing w:line="360" w:lineRule="auto"/>
      <w:jc w:val="left"/>
    </w:pPr>
    <w:rPr>
      <w:rFonts w:eastAsia="微软雅黑"/>
      <w:b/>
      <w:sz w:val="30"/>
    </w:rPr>
  </w:style>
  <w:style w:type="character" w:customStyle="1" w:styleId="65">
    <w:name w:val="列出段落 字符"/>
    <w:link w:val="64"/>
    <w:autoRedefine/>
    <w:qFormat/>
    <w:uiPriority w:val="34"/>
    <w:rPr>
      <w:rFonts w:ascii="Times New Roman" w:hAnsi="Times New Roman" w:eastAsia="微软雅黑" w:cs="Times New Roman"/>
      <w:b/>
      <w:kern w:val="0"/>
      <w:sz w:val="30"/>
      <w:szCs w:val="20"/>
    </w:rPr>
  </w:style>
  <w:style w:type="character" w:customStyle="1" w:styleId="66">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7">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8">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9">
    <w:name w:val="Body text|1_"/>
    <w:link w:val="70"/>
    <w:autoRedefine/>
    <w:qFormat/>
    <w:uiPriority w:val="0"/>
    <w:rPr>
      <w:rFonts w:ascii="宋体" w:hAnsi="宋体" w:cs="宋体"/>
      <w:sz w:val="28"/>
      <w:szCs w:val="28"/>
      <w:lang w:val="zh-TW" w:eastAsia="zh-TW" w:bidi="zh-TW"/>
    </w:rPr>
  </w:style>
  <w:style w:type="paragraph" w:customStyle="1" w:styleId="70">
    <w:name w:val="Body text|1"/>
    <w:basedOn w:val="1"/>
    <w:link w:val="69"/>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1">
    <w:name w:val="Header or footer|1_"/>
    <w:link w:val="72"/>
    <w:autoRedefine/>
    <w:qFormat/>
    <w:uiPriority w:val="0"/>
    <w:rPr>
      <w:sz w:val="22"/>
      <w:lang w:val="zh-TW" w:eastAsia="zh-TW" w:bidi="zh-TW"/>
    </w:rPr>
  </w:style>
  <w:style w:type="paragraph" w:customStyle="1" w:styleId="72">
    <w:name w:val="Header or footer|1"/>
    <w:basedOn w:val="1"/>
    <w:link w:val="71"/>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3">
    <w:name w:val="正文文本 3 字符"/>
    <w:basedOn w:val="42"/>
    <w:link w:val="16"/>
    <w:autoRedefine/>
    <w:semiHidden/>
    <w:qFormat/>
    <w:uiPriority w:val="99"/>
    <w:rPr>
      <w:rFonts w:ascii="Times New Roman" w:hAnsi="Times New Roman" w:eastAsia="宋体" w:cs="Times New Roman"/>
      <w:kern w:val="0"/>
      <w:sz w:val="16"/>
      <w:szCs w:val="16"/>
    </w:rPr>
  </w:style>
  <w:style w:type="character" w:customStyle="1" w:styleId="74">
    <w:name w:val="fontstyle01"/>
    <w:basedOn w:val="42"/>
    <w:autoRedefine/>
    <w:qFormat/>
    <w:uiPriority w:val="0"/>
    <w:rPr>
      <w:rFonts w:hint="eastAsia" w:ascii="宋体" w:hAnsi="宋体" w:eastAsia="宋体"/>
      <w:color w:val="000000"/>
      <w:sz w:val="44"/>
      <w:szCs w:val="44"/>
    </w:rPr>
  </w:style>
  <w:style w:type="character" w:customStyle="1" w:styleId="75">
    <w:name w:val="fontstyle21"/>
    <w:basedOn w:val="42"/>
    <w:autoRedefine/>
    <w:qFormat/>
    <w:uiPriority w:val="0"/>
    <w:rPr>
      <w:rFonts w:hint="default" w:ascii="Wingdings-Regular" w:hAnsi="Wingdings-Regular"/>
      <w:color w:val="000000"/>
      <w:sz w:val="22"/>
      <w:szCs w:val="22"/>
    </w:rPr>
  </w:style>
  <w:style w:type="character" w:customStyle="1" w:styleId="76">
    <w:name w:val="正文文本缩进 2 字符"/>
    <w:basedOn w:val="42"/>
    <w:link w:val="24"/>
    <w:autoRedefine/>
    <w:qFormat/>
    <w:uiPriority w:val="99"/>
    <w:rPr>
      <w:rFonts w:ascii="Times New Roman" w:hAnsi="Times New Roman" w:eastAsia="宋体" w:cs="Times New Roman"/>
      <w:kern w:val="0"/>
      <w:szCs w:val="20"/>
    </w:rPr>
  </w:style>
  <w:style w:type="character" w:customStyle="1" w:styleId="77">
    <w:name w:val="Unresolved Mention"/>
    <w:basedOn w:val="42"/>
    <w:autoRedefine/>
    <w:semiHidden/>
    <w:unhideWhenUsed/>
    <w:qFormat/>
    <w:uiPriority w:val="99"/>
    <w:rPr>
      <w:color w:val="605E5C"/>
      <w:shd w:val="clear" w:color="auto" w:fill="E1DFDD"/>
    </w:rPr>
  </w:style>
  <w:style w:type="character" w:customStyle="1" w:styleId="78">
    <w:name w:val="日期 字符"/>
    <w:basedOn w:val="42"/>
    <w:link w:val="23"/>
    <w:autoRedefine/>
    <w:semiHidden/>
    <w:qFormat/>
    <w:uiPriority w:val="99"/>
    <w:rPr>
      <w:rFonts w:ascii="Times New Roman" w:hAnsi="Times New Roman" w:eastAsia="宋体" w:cs="Times New Roman"/>
      <w:kern w:val="0"/>
      <w:szCs w:val="20"/>
    </w:rPr>
  </w:style>
  <w:style w:type="character" w:customStyle="1" w:styleId="79">
    <w:name w:val="正文缩进 字符"/>
    <w:link w:val="12"/>
    <w:autoRedefine/>
    <w:qFormat/>
    <w:uiPriority w:val="0"/>
    <w:rPr>
      <w:rFonts w:ascii="宋体"/>
      <w:sz w:val="24"/>
    </w:rPr>
  </w:style>
  <w:style w:type="character" w:customStyle="1" w:styleId="80">
    <w:name w:val="正文文本 字符"/>
    <w:basedOn w:val="42"/>
    <w:link w:val="17"/>
    <w:autoRedefine/>
    <w:qFormat/>
    <w:uiPriority w:val="0"/>
    <w:rPr>
      <w:rFonts w:ascii="Times New Roman" w:hAnsi="Times New Roman" w:eastAsia="宋体" w:cs="Times New Roman"/>
      <w:kern w:val="0"/>
      <w:szCs w:val="20"/>
    </w:rPr>
  </w:style>
  <w:style w:type="paragraph" w:customStyle="1" w:styleId="81">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WPSOffice手动目录 1"/>
    <w:autoRedefine/>
    <w:qFormat/>
    <w:uiPriority w:val="0"/>
    <w:rPr>
      <w:rFonts w:ascii="Times New Roman" w:hAnsi="Times New Roman" w:eastAsia="宋体" w:cs="Times New Roman"/>
      <w:lang w:val="en-US" w:eastAsia="zh-CN" w:bidi="ar-SA"/>
    </w:rPr>
  </w:style>
  <w:style w:type="paragraph" w:customStyle="1" w:styleId="83">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4">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5">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6">
    <w:name w:val="正文首行缩进 2 字符"/>
    <w:basedOn w:val="63"/>
    <w:link w:val="13"/>
    <w:autoRedefine/>
    <w:qFormat/>
    <w:uiPriority w:val="0"/>
    <w:rPr>
      <w:rFonts w:ascii="Times New Roman" w:hAnsi="Times New Roman" w:eastAsia="宋体" w:cs="Times New Roman"/>
      <w:kern w:val="0"/>
      <w:sz w:val="20"/>
      <w:szCs w:val="24"/>
      <w:lang w:bidi="he-IL"/>
    </w:rPr>
  </w:style>
  <w:style w:type="character" w:customStyle="1" w:styleId="87">
    <w:name w:val="正文首行缩进 字符"/>
    <w:basedOn w:val="80"/>
    <w:link w:val="39"/>
    <w:autoRedefine/>
    <w:semiHidden/>
    <w:qFormat/>
    <w:uiPriority w:val="99"/>
    <w:rPr>
      <w:rFonts w:ascii="Times New Roman" w:hAnsi="Times New Roman" w:eastAsia="宋体" w:cs="Times New Roman"/>
      <w:kern w:val="0"/>
      <w:szCs w:val="20"/>
    </w:rPr>
  </w:style>
  <w:style w:type="paragraph" w:customStyle="1" w:styleId="88">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9">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0">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1">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3">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4">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6">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7">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8">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9">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0">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1">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2">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4">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5">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6">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7">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8">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9">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2">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5">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7">
    <w:name w:val="批注文字 字符"/>
    <w:basedOn w:val="42"/>
    <w:link w:val="15"/>
    <w:autoRedefine/>
    <w:qFormat/>
    <w:uiPriority w:val="0"/>
    <w:rPr>
      <w:rFonts w:ascii="Times New Roman" w:hAnsi="Times New Roman" w:eastAsia="宋体" w:cs="Times New Roman"/>
      <w:kern w:val="0"/>
      <w:sz w:val="20"/>
      <w:szCs w:val="20"/>
    </w:rPr>
  </w:style>
  <w:style w:type="character" w:customStyle="1" w:styleId="118">
    <w:name w:val="纯文本 字符"/>
    <w:basedOn w:val="42"/>
    <w:link w:val="21"/>
    <w:autoRedefine/>
    <w:qFormat/>
    <w:uiPriority w:val="0"/>
    <w:rPr>
      <w:rFonts w:ascii="宋体" w:hAnsi="Courier New" w:eastAsia="宋体" w:cs="Times New Roman"/>
      <w:kern w:val="0"/>
      <w:szCs w:val="20"/>
    </w:rPr>
  </w:style>
  <w:style w:type="character" w:customStyle="1" w:styleId="119">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0">
    <w:name w:val="font41"/>
    <w:basedOn w:val="42"/>
    <w:autoRedefine/>
    <w:qFormat/>
    <w:uiPriority w:val="0"/>
    <w:rPr>
      <w:rFonts w:hint="eastAsia" w:ascii="黑体" w:eastAsia="黑体" w:cs="黑体"/>
      <w:color w:val="000000"/>
      <w:sz w:val="18"/>
      <w:szCs w:val="18"/>
      <w:u w:val="none"/>
    </w:rPr>
  </w:style>
  <w:style w:type="character" w:customStyle="1" w:styleId="121">
    <w:name w:val="font31"/>
    <w:autoRedefine/>
    <w:qFormat/>
    <w:uiPriority w:val="0"/>
    <w:rPr>
      <w:rFonts w:hint="eastAsia" w:ascii="宋体" w:hAnsi="宋体" w:eastAsia="宋体" w:cs="宋体"/>
      <w:color w:val="000000"/>
      <w:sz w:val="18"/>
      <w:szCs w:val="18"/>
      <w:u w:val="none"/>
    </w:rPr>
  </w:style>
  <w:style w:type="character" w:customStyle="1" w:styleId="122">
    <w:name w:val="NormalCharacter"/>
    <w:autoRedefine/>
    <w:semiHidden/>
    <w:qFormat/>
    <w:uiPriority w:val="0"/>
    <w:rPr>
      <w:rFonts w:ascii="Calibri" w:hAnsi="Calibri" w:cs="新宋体"/>
      <w:b/>
      <w:bCs/>
      <w:kern w:val="2"/>
      <w:sz w:val="28"/>
      <w:szCs w:val="36"/>
      <w:lang w:val="en-US" w:eastAsia="zh-CN" w:bidi="ar-SA"/>
    </w:rPr>
  </w:style>
  <w:style w:type="character" w:customStyle="1" w:styleId="123">
    <w:name w:val="font11"/>
    <w:basedOn w:val="42"/>
    <w:autoRedefine/>
    <w:qFormat/>
    <w:uiPriority w:val="0"/>
    <w:rPr>
      <w:rFonts w:hint="eastAsia" w:ascii="宋体" w:hAnsi="宋体" w:eastAsia="宋体"/>
      <w:b/>
      <w:color w:val="000000"/>
      <w:kern w:val="2"/>
      <w:sz w:val="18"/>
      <w:u w:val="none"/>
    </w:rPr>
  </w:style>
  <w:style w:type="paragraph" w:customStyle="1" w:styleId="124">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25">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6">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7">
    <w:name w:val="无间隔1"/>
    <w:autoRedefine/>
    <w:qFormat/>
    <w:uiPriority w:val="1"/>
    <w:rPr>
      <w:rFonts w:ascii="Calibri" w:hAnsi="Calibri" w:eastAsia="宋体" w:cs="黑体"/>
      <w:sz w:val="22"/>
      <w:szCs w:val="22"/>
      <w:lang w:val="en-US" w:eastAsia="zh-CN" w:bidi="ar-SA"/>
    </w:rPr>
  </w:style>
  <w:style w:type="character" w:customStyle="1" w:styleId="128">
    <w:name w:val="正文文本缩进 3 字符"/>
    <w:basedOn w:val="42"/>
    <w:link w:val="32"/>
    <w:autoRedefine/>
    <w:semiHidden/>
    <w:qFormat/>
    <w:uiPriority w:val="99"/>
    <w:rPr>
      <w:rFonts w:ascii="Times New Roman" w:hAnsi="Times New Roman" w:eastAsia="宋体" w:cs="Times New Roman"/>
      <w:kern w:val="0"/>
      <w:sz w:val="16"/>
      <w:szCs w:val="16"/>
    </w:rPr>
  </w:style>
  <w:style w:type="paragraph" w:customStyle="1" w:styleId="129">
    <w:name w:val="文本"/>
    <w:basedOn w:val="1"/>
    <w:link w:val="130"/>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0">
    <w:name w:val="文本 Char"/>
    <w:link w:val="129"/>
    <w:autoRedefine/>
    <w:qFormat/>
    <w:uiPriority w:val="0"/>
    <w:rPr>
      <w:rFonts w:ascii="仿宋_GB2312" w:hAnsi="Times New Roman" w:eastAsia="仿宋_GB2312" w:cs="Times New Roman"/>
      <w:sz w:val="24"/>
      <w:szCs w:val="24"/>
    </w:rPr>
  </w:style>
  <w:style w:type="paragraph" w:customStyle="1" w:styleId="131">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2">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3">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4">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纯文本1"/>
    <w:basedOn w:val="1"/>
    <w:autoRedefine/>
    <w:qFormat/>
    <w:uiPriority w:val="0"/>
    <w:pPr>
      <w:adjustRightInd w:val="0"/>
      <w:textAlignment w:val="baseline"/>
    </w:pPr>
    <w:rPr>
      <w:rFonts w:ascii="宋体" w:hAnsi="宋体" w:eastAsia="楷体_GB2312" w:cs="宋体"/>
      <w:sz w:val="28"/>
    </w:rPr>
  </w:style>
  <w:style w:type="paragraph" w:customStyle="1" w:styleId="136">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38">
    <w:name w:val="列出段落1"/>
    <w:basedOn w:val="1"/>
    <w:autoRedefine/>
    <w:qFormat/>
    <w:uiPriority w:val="0"/>
    <w:pPr>
      <w:ind w:firstLine="420" w:firstLineChars="200"/>
    </w:pPr>
    <w:rPr>
      <w:szCs w:val="21"/>
    </w:rPr>
  </w:style>
  <w:style w:type="paragraph" w:customStyle="1" w:styleId="1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0">
    <w:name w:val="Table Text"/>
    <w:basedOn w:val="1"/>
    <w:autoRedefine/>
    <w:semiHidden/>
    <w:qFormat/>
    <w:uiPriority w:val="0"/>
    <w:rPr>
      <w:rFonts w:ascii="Arial" w:hAnsi="Arial" w:eastAsia="Arial" w:cs="Arial"/>
      <w:sz w:val="21"/>
      <w:szCs w:val="21"/>
      <w:lang w:val="en-US" w:eastAsia="en-US" w:bidi="ar-SA"/>
    </w:rPr>
  </w:style>
  <w:style w:type="table" w:customStyle="1" w:styleId="1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44</Pages>
  <Words>11374</Words>
  <Characters>11978</Characters>
  <Lines>29</Lines>
  <Paragraphs>8</Paragraphs>
  <TotalTime>3</TotalTime>
  <ScaleCrop>false</ScaleCrop>
  <LinksUpToDate>false</LinksUpToDate>
  <CharactersWithSpaces>12270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2026-10-19T08:54:00Z</cp:lastPrinted>
  <dcterms:modified xsi:type="dcterms:W3CDTF">2026-10-20T08:11:34Z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72BC506CA9C646BAA0A3EE09199C0332_13</vt:lpwstr>
  </property>
  <property fmtid="{D5CDD505-2E9C-101B-9397-08002B2CF9AE}" pid="4" name="KSOTemplateDocerSaveRecord">
    <vt:lpwstr>eyJoZGlkIjoiNDFjNjc4MzM2NGNhOTY1ZjQ2ZmNmMWE4MmVlYzQxYjkiLCJ1c2VySWQiOiIzMDI1ODcyMjYifQ==</vt:lpwstr>
  </property>
</Properties>
</file>