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39"/>
        <w:spacing w:after="0" w:afterAutospacing="0"/>
        <w:ind w:left="0" w:leftChars="0" w:firstLine="0" w:firstLineChars="0"/>
      </w:pPr>
    </w:p>
    <w:p w14:paraId="5236FF27">
      <w:pPr>
        <w:tabs>
          <w:tab w:val="left" w:pos="315"/>
          <w:tab w:val="left" w:pos="8820"/>
        </w:tabs>
        <w:spacing w:before="240" w:beforeLines="100" w:after="120"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p>
    <w:bookmarkEnd w:id="0"/>
    <w:p w14:paraId="71EAB638">
      <w:pPr>
        <w:spacing w:line="360" w:lineRule="auto"/>
        <w:jc w:val="center"/>
        <w:rPr>
          <w:rFonts w:hint="default" w:ascii="宋体" w:hAnsi="宋体" w:eastAsia="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桐城师范高等专科学校语言综合实训室普通话模考与学习云平台升级采购项目</w:t>
      </w:r>
    </w:p>
    <w:p w14:paraId="012F5E32">
      <w:pPr>
        <w:pStyle w:val="56"/>
        <w:rPr>
          <w:rFonts w:hint="eastAsia"/>
          <w:color w:val="auto"/>
          <w:highlight w:val="none"/>
        </w:rPr>
      </w:pPr>
    </w:p>
    <w:p w14:paraId="16BD5BFA">
      <w:pPr>
        <w:spacing w:line="480" w:lineRule="exact"/>
        <w:rPr>
          <w:rFonts w:ascii="宋体"/>
          <w:color w:val="auto"/>
          <w:sz w:val="44"/>
          <w:szCs w:val="44"/>
          <w:highlight w:val="none"/>
        </w:rPr>
      </w:pPr>
    </w:p>
    <w:p w14:paraId="2E845CB9">
      <w:pPr>
        <w:pStyle w:val="5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w:t>
      </w:r>
      <w:r>
        <w:rPr>
          <w:rFonts w:hint="eastAsia"/>
          <w:b/>
          <w:bCs/>
          <w:color w:val="auto"/>
          <w:sz w:val="72"/>
          <w:szCs w:val="72"/>
          <w:highlight w:val="none"/>
          <w:lang w:val="en-US" w:eastAsia="zh-CN"/>
        </w:rPr>
        <w:t>谈判</w:t>
      </w:r>
      <w:r>
        <w:rPr>
          <w:rFonts w:hint="eastAsia" w:ascii="宋体"/>
          <w:b/>
          <w:bCs/>
          <w:color w:val="auto"/>
          <w:sz w:val="72"/>
          <w:szCs w:val="72"/>
          <w:highlight w:val="none"/>
          <w:lang w:val="en-US" w:eastAsia="zh-CN"/>
        </w:rPr>
        <w:t>文件</w:t>
      </w:r>
    </w:p>
    <w:p w14:paraId="0BDD7D09">
      <w:pPr>
        <w:tabs>
          <w:tab w:val="left" w:pos="315"/>
          <w:tab w:val="left" w:pos="8820"/>
        </w:tabs>
        <w:spacing w:before="240" w:beforeLines="100" w:after="120" w:afterLines="50" w:line="500" w:lineRule="exact"/>
        <w:ind w:right="267" w:rightChars="127"/>
        <w:jc w:val="center"/>
        <w:rPr>
          <w:bCs/>
          <w:color w:val="auto"/>
          <w:sz w:val="44"/>
          <w:szCs w:val="44"/>
          <w:highlight w:val="none"/>
        </w:rPr>
      </w:pPr>
    </w:p>
    <w:p w14:paraId="7F9B768B">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3A64AE3D">
      <w:pPr>
        <w:spacing w:line="480" w:lineRule="exact"/>
        <w:jc w:val="center"/>
        <w:rPr>
          <w:rFonts w:hint="eastAsia" w:asciiTheme="majorEastAsia" w:hAnsiTheme="majorEastAsia" w:eastAsiaTheme="majorEastAsia" w:cstheme="majorEastAsia"/>
          <w:b/>
          <w:bCs/>
          <w:color w:val="auto"/>
          <w:sz w:val="28"/>
          <w:szCs w:val="28"/>
          <w:highlight w:val="none"/>
          <w:lang w:val="en-US" w:eastAsia="zh-CN"/>
        </w:rPr>
      </w:pPr>
      <w:r>
        <w:rPr>
          <w:rFonts w:hint="eastAsia" w:asciiTheme="majorEastAsia" w:hAnsiTheme="majorEastAsia" w:eastAsiaTheme="majorEastAsia" w:cstheme="majorEastAsia"/>
          <w:b/>
          <w:bCs/>
          <w:color w:val="auto"/>
          <w:sz w:val="28"/>
          <w:szCs w:val="28"/>
          <w:highlight w:val="none"/>
        </w:rPr>
        <w:t>项目编号：TCSZCG(202</w:t>
      </w:r>
      <w:r>
        <w:rPr>
          <w:rFonts w:hint="eastAsia" w:asciiTheme="majorEastAsia" w:hAnsiTheme="majorEastAsia" w:eastAsiaTheme="majorEastAsia" w:cstheme="majorEastAsia"/>
          <w:b/>
          <w:bCs/>
          <w:color w:val="auto"/>
          <w:sz w:val="28"/>
          <w:szCs w:val="28"/>
          <w:highlight w:val="none"/>
          <w:lang w:val="en-US" w:eastAsia="zh-CN"/>
        </w:rPr>
        <w:t>6</w:t>
      </w:r>
      <w:r>
        <w:rPr>
          <w:rFonts w:hint="eastAsia" w:asciiTheme="majorEastAsia" w:hAnsiTheme="majorEastAsia" w:eastAsiaTheme="majorEastAsia" w:cstheme="majorEastAsia"/>
          <w:b/>
          <w:bCs/>
          <w:color w:val="auto"/>
          <w:sz w:val="28"/>
          <w:szCs w:val="28"/>
          <w:highlight w:val="none"/>
        </w:rPr>
        <w:t xml:space="preserve">) </w:t>
      </w:r>
      <w:r>
        <w:rPr>
          <w:rFonts w:hint="eastAsia" w:asciiTheme="majorEastAsia" w:hAnsiTheme="majorEastAsia" w:eastAsiaTheme="majorEastAsia" w:cstheme="majorEastAsia"/>
          <w:b/>
          <w:bCs/>
          <w:color w:val="auto"/>
          <w:sz w:val="28"/>
          <w:szCs w:val="28"/>
          <w:highlight w:val="none"/>
          <w:lang w:val="en-US" w:eastAsia="zh-CN"/>
        </w:rPr>
        <w:t>025</w:t>
      </w:r>
      <w:r>
        <w:rPr>
          <w:rFonts w:hint="eastAsia" w:asciiTheme="majorEastAsia" w:hAnsiTheme="majorEastAsia" w:eastAsiaTheme="majorEastAsia" w:cstheme="majorEastAsia"/>
          <w:b/>
          <w:bCs/>
          <w:color w:val="auto"/>
          <w:sz w:val="28"/>
          <w:szCs w:val="28"/>
          <w:highlight w:val="none"/>
        </w:rPr>
        <w:t>号</w:t>
      </w:r>
    </w:p>
    <w:p w14:paraId="624B0F6F">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0F0D60F6">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21AFA6D0">
      <w:pPr>
        <w:pStyle w:val="58"/>
      </w:pPr>
    </w:p>
    <w:p w14:paraId="7F395040">
      <w:pPr>
        <w:pStyle w:val="58"/>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5FCAFD46">
      <w:pPr>
        <w:tabs>
          <w:tab w:val="left" w:pos="315"/>
          <w:tab w:val="left" w:pos="8820"/>
        </w:tabs>
        <w:spacing w:before="240" w:beforeLines="100" w:after="120" w:afterLines="50" w:line="500" w:lineRule="exact"/>
        <w:ind w:right="267" w:rightChars="127"/>
        <w:jc w:val="center"/>
        <w:rPr>
          <w:b/>
          <w:bCs/>
          <w:color w:val="auto"/>
          <w:sz w:val="44"/>
          <w:szCs w:val="44"/>
          <w:highlight w:val="none"/>
        </w:rPr>
      </w:pPr>
    </w:p>
    <w:p w14:paraId="44F9C08D">
      <w:pPr>
        <w:tabs>
          <w:tab w:val="left" w:pos="2410"/>
        </w:tabs>
        <w:autoSpaceDE w:val="0"/>
        <w:autoSpaceDN w:val="0"/>
        <w:adjustRightInd w:val="0"/>
        <w:snapToGrid w:val="0"/>
        <w:spacing w:line="360" w:lineRule="auto"/>
        <w:jc w:val="both"/>
        <w:rPr>
          <w:b/>
          <w:color w:val="auto"/>
          <w:sz w:val="36"/>
          <w:highlight w:val="none"/>
        </w:rPr>
      </w:pPr>
    </w:p>
    <w:p w14:paraId="42D3256F">
      <w:pPr>
        <w:spacing w:line="480" w:lineRule="exact"/>
        <w:jc w:val="center"/>
        <w:rPr>
          <w:rFonts w:hint="eastAsia" w:ascii="黑体" w:hAnsi="黑体" w:eastAsia="黑体" w:cs="宋体"/>
          <w:b/>
          <w:color w:val="auto"/>
          <w:kern w:val="0"/>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2026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10  </w:t>
      </w:r>
      <w:r>
        <w:rPr>
          <w:rFonts w:hint="eastAsia" w:ascii="宋体" w:hAnsi="宋体" w:cs="仿宋_GB2312"/>
          <w:color w:val="auto"/>
          <w:sz w:val="32"/>
          <w:szCs w:val="32"/>
          <w:highlight w:val="none"/>
        </w:rPr>
        <w:t>月</w:t>
      </w:r>
    </w:p>
    <w:p w14:paraId="206D8990">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lang w:val="en-US" w:eastAsia="zh-CN"/>
        </w:rPr>
        <w:sectPr>
          <w:headerReference r:id="rId5" w:type="default"/>
          <w:footerReference r:id="rId6" w:type="default"/>
          <w:pgSz w:w="11907" w:h="16840"/>
          <w:pgMar w:top="1474" w:right="1814" w:bottom="1474" w:left="1814" w:header="851" w:footer="992" w:gutter="0"/>
          <w:cols w:space="720" w:num="1"/>
          <w:docGrid w:linePitch="462" w:charSpace="0"/>
        </w:sectPr>
      </w:pPr>
    </w:p>
    <w:p w14:paraId="7A426B6C">
      <w:pPr>
        <w:spacing w:line="480" w:lineRule="exact"/>
        <w:jc w:val="center"/>
        <w:rPr>
          <w:rFonts w:hint="eastAsia" w:ascii="宋体" w:hAnsi="宋体" w:cs="宋体"/>
          <w:b/>
          <w:color w:val="auto"/>
          <w:sz w:val="44"/>
          <w:szCs w:val="44"/>
          <w:highlight w:val="none"/>
          <w:lang w:val="zh-CN"/>
        </w:rPr>
      </w:pPr>
      <w:r>
        <w:rPr>
          <w:rFonts w:hint="eastAsia" w:ascii="宋体" w:hAnsi="宋体" w:cs="宋体"/>
          <w:b/>
          <w:color w:val="auto"/>
          <w:sz w:val="44"/>
          <w:szCs w:val="44"/>
          <w:highlight w:val="none"/>
          <w:lang w:val="zh-CN"/>
        </w:rPr>
        <w:t>目</w:t>
      </w:r>
      <w:r>
        <w:rPr>
          <w:rFonts w:ascii="宋体" w:hAnsi="宋体" w:cs="宋体"/>
          <w:b/>
          <w:color w:val="auto"/>
          <w:sz w:val="44"/>
          <w:szCs w:val="44"/>
          <w:highlight w:val="none"/>
        </w:rPr>
        <w:t xml:space="preserve">  </w:t>
      </w:r>
      <w:r>
        <w:rPr>
          <w:rFonts w:hint="eastAsia" w:ascii="宋体" w:hAnsi="宋体" w:cs="宋体"/>
          <w:b/>
          <w:color w:val="auto"/>
          <w:sz w:val="44"/>
          <w:szCs w:val="44"/>
          <w:highlight w:val="none"/>
          <w:lang w:val="zh-CN"/>
        </w:rPr>
        <w:t>录</w:t>
      </w:r>
    </w:p>
    <w:p w14:paraId="22B6B89C">
      <w:pPr>
        <w:pStyle w:val="56"/>
        <w:rPr>
          <w:color w:val="auto"/>
          <w:highlight w:val="none"/>
          <w:lang w:val="zh-CN"/>
        </w:rPr>
      </w:pPr>
    </w:p>
    <w:p w14:paraId="6F456B90">
      <w:pPr>
        <w:pStyle w:val="29"/>
        <w:keepNext w:val="0"/>
        <w:keepLines w:val="0"/>
        <w:pageBreakBefore w:val="0"/>
        <w:widowControl w:val="0"/>
        <w:tabs>
          <w:tab w:val="right" w:leader="dot" w:pos="9070"/>
        </w:tabs>
        <w:kinsoku/>
        <w:wordWrap/>
        <w:overflowPunct/>
        <w:topLinePunct w:val="0"/>
        <w:autoSpaceDE/>
        <w:autoSpaceDN/>
        <w:bidi w:val="0"/>
        <w:adjustRightInd w:val="0"/>
        <w:snapToGrid/>
        <w:spacing w:line="600" w:lineRule="exact"/>
        <w:textAlignment w:val="auto"/>
        <w:rPr>
          <w:rFonts w:hint="eastAsia" w:asciiTheme="majorEastAsia" w:hAnsiTheme="majorEastAsia" w:eastAsiaTheme="majorEastAsia" w:cstheme="majorEastAsia"/>
          <w:b/>
          <w:bCs/>
          <w:color w:val="auto"/>
          <w:sz w:val="24"/>
          <w:szCs w:val="22"/>
          <w:highlight w:val="none"/>
        </w:rPr>
      </w:pPr>
      <w:bookmarkStart w:id="1" w:name="_Toc23467"/>
      <w:bookmarkStart w:id="2" w:name="_Toc54941328"/>
      <w:bookmarkStart w:id="3" w:name="_Toc21464"/>
      <w:bookmarkStart w:id="4" w:name="_Toc439316870"/>
      <w:r>
        <w:rPr>
          <w:rFonts w:hint="eastAsia" w:asciiTheme="majorEastAsia" w:hAnsiTheme="majorEastAsia" w:eastAsiaTheme="majorEastAsia" w:cstheme="majorEastAsia"/>
          <w:b/>
          <w:bCs/>
          <w:color w:val="auto"/>
          <w:sz w:val="36"/>
          <w:szCs w:val="36"/>
          <w:highlight w:val="none"/>
        </w:rPr>
        <w:fldChar w:fldCharType="begin"/>
      </w:r>
      <w:r>
        <w:rPr>
          <w:rFonts w:hint="eastAsia" w:asciiTheme="majorEastAsia" w:hAnsiTheme="majorEastAsia" w:eastAsiaTheme="majorEastAsia" w:cstheme="majorEastAsia"/>
          <w:b/>
          <w:bCs/>
          <w:color w:val="auto"/>
          <w:sz w:val="36"/>
          <w:szCs w:val="36"/>
          <w:highlight w:val="none"/>
        </w:rPr>
        <w:instrText xml:space="preserve">TOC \o "1-1" \h \u </w:instrText>
      </w:r>
      <w:r>
        <w:rPr>
          <w:rFonts w:hint="eastAsia" w:asciiTheme="majorEastAsia" w:hAnsiTheme="majorEastAsia" w:eastAsiaTheme="majorEastAsia" w:cstheme="majorEastAsia"/>
          <w:b/>
          <w:bCs/>
          <w:color w:val="auto"/>
          <w:sz w:val="36"/>
          <w:szCs w:val="36"/>
          <w:highlight w:val="none"/>
        </w:rPr>
        <w:fldChar w:fldCharType="separate"/>
      </w: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_Toc7432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i w:val="0"/>
          <w:iCs/>
          <w:color w:val="auto"/>
          <w:sz w:val="24"/>
          <w:szCs w:val="40"/>
          <w:highlight w:val="none"/>
        </w:rPr>
        <w:t xml:space="preserve">第一章  </w:t>
      </w:r>
      <w:r>
        <w:rPr>
          <w:rFonts w:hint="eastAsia" w:asciiTheme="majorEastAsia" w:hAnsiTheme="majorEastAsia" w:eastAsiaTheme="majorEastAsia" w:cstheme="majorEastAsia"/>
          <w:b/>
          <w:bCs/>
          <w:i w:val="0"/>
          <w:iCs/>
          <w:color w:val="auto"/>
          <w:sz w:val="24"/>
          <w:szCs w:val="40"/>
          <w:highlight w:val="none"/>
          <w:lang w:val="en-US" w:eastAsia="zh-CN"/>
        </w:rPr>
        <w:t>谈判邀请</w:t>
      </w:r>
      <w:r>
        <w:rPr>
          <w:rFonts w:hint="eastAsia" w:asciiTheme="majorEastAsia" w:hAnsiTheme="majorEastAsia" w:eastAsiaTheme="majorEastAsia" w:cstheme="majorEastAsia"/>
          <w:b/>
          <w:bCs/>
          <w:color w:val="auto"/>
          <w:kern w:val="2"/>
          <w:sz w:val="24"/>
          <w:szCs w:val="40"/>
          <w:highlight w:val="none"/>
          <w:lang w:val="en-US" w:eastAsia="zh-CN"/>
        </w:rPr>
        <w:t>..........................................................</w:t>
      </w:r>
      <w:r>
        <w:rPr>
          <w:rFonts w:hint="eastAsia" w:asciiTheme="majorEastAsia" w:hAnsiTheme="majorEastAsia" w:eastAsiaTheme="majorEastAsia" w:cstheme="majorEastAsia"/>
          <w:b/>
          <w:bCs/>
          <w:color w:val="auto"/>
          <w:sz w:val="24"/>
          <w:szCs w:val="22"/>
          <w:highlight w:val="none"/>
          <w:lang w:val="en-US" w:eastAsia="zh-CN"/>
        </w:rPr>
        <w:t>1</w:t>
      </w:r>
      <w:r>
        <w:rPr>
          <w:rFonts w:hint="eastAsia" w:asciiTheme="majorEastAsia" w:hAnsiTheme="majorEastAsia" w:eastAsiaTheme="majorEastAsia" w:cstheme="majorEastAsia"/>
          <w:b/>
          <w:bCs/>
          <w:color w:val="auto"/>
          <w:sz w:val="24"/>
          <w:szCs w:val="36"/>
          <w:highlight w:val="none"/>
        </w:rPr>
        <w:fldChar w:fldCharType="end"/>
      </w:r>
    </w:p>
    <w:p w14:paraId="25820FA5">
      <w:pPr>
        <w:pStyle w:val="29"/>
        <w:keepNext w:val="0"/>
        <w:keepLines w:val="0"/>
        <w:pageBreakBefore w:val="0"/>
        <w:widowControl w:val="0"/>
        <w:tabs>
          <w:tab w:val="right" w:leader="dot" w:pos="9070"/>
        </w:tabs>
        <w:kinsoku/>
        <w:wordWrap/>
        <w:overflowPunct/>
        <w:topLinePunct w:val="0"/>
        <w:autoSpaceDE/>
        <w:autoSpaceDN/>
        <w:bidi w:val="0"/>
        <w:adjustRightInd w:val="0"/>
        <w:snapToGrid/>
        <w:spacing w:line="600" w:lineRule="exact"/>
        <w:textAlignment w:val="auto"/>
        <w:rPr>
          <w:rFonts w:hint="eastAsia" w:asciiTheme="majorEastAsia" w:hAnsiTheme="majorEastAsia" w:eastAsiaTheme="majorEastAsia" w:cstheme="majorEastAsia"/>
          <w:b/>
          <w:bCs/>
          <w:color w:val="auto"/>
          <w:sz w:val="24"/>
          <w:szCs w:val="22"/>
          <w:highlight w:val="none"/>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_Toc11266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rPr>
        <w:t xml:space="preserve">第二章  </w:t>
      </w:r>
      <w:r>
        <w:rPr>
          <w:rFonts w:hint="eastAsia" w:asciiTheme="majorEastAsia" w:hAnsiTheme="majorEastAsia" w:eastAsiaTheme="majorEastAsia" w:cstheme="majorEastAsia"/>
          <w:b/>
          <w:bCs/>
          <w:color w:val="auto"/>
          <w:kern w:val="2"/>
          <w:sz w:val="24"/>
          <w:szCs w:val="40"/>
          <w:highlight w:val="none"/>
          <w:lang w:val="en-US" w:eastAsia="zh-CN"/>
        </w:rPr>
        <w:t>供应商</w:t>
      </w:r>
      <w:r>
        <w:rPr>
          <w:rFonts w:hint="eastAsia" w:asciiTheme="majorEastAsia" w:hAnsiTheme="majorEastAsia" w:eastAsiaTheme="majorEastAsia" w:cstheme="majorEastAsia"/>
          <w:b/>
          <w:bCs/>
          <w:color w:val="auto"/>
          <w:kern w:val="2"/>
          <w:sz w:val="24"/>
          <w:szCs w:val="40"/>
          <w:highlight w:val="none"/>
        </w:rPr>
        <w:t>须知</w:t>
      </w:r>
      <w:r>
        <w:rPr>
          <w:rFonts w:hint="eastAsia" w:asciiTheme="majorEastAsia" w:hAnsiTheme="majorEastAsia" w:eastAsiaTheme="majorEastAsia" w:cstheme="majorEastAsia"/>
          <w:b/>
          <w:bCs/>
          <w:color w:val="auto"/>
          <w:kern w:val="2"/>
          <w:sz w:val="24"/>
          <w:szCs w:val="40"/>
          <w:highlight w:val="none"/>
          <w:lang w:val="en-US" w:eastAsia="zh-CN"/>
        </w:rPr>
        <w:t>........................................................</w:t>
      </w:r>
      <w:r>
        <w:rPr>
          <w:rFonts w:hint="eastAsia" w:asciiTheme="majorEastAsia" w:hAnsiTheme="majorEastAsia" w:eastAsiaTheme="majorEastAsia" w:cstheme="majorEastAsia"/>
          <w:b/>
          <w:bCs/>
          <w:color w:val="auto"/>
          <w:sz w:val="24"/>
          <w:szCs w:val="22"/>
          <w:highlight w:val="none"/>
          <w:lang w:val="en-US" w:eastAsia="zh-CN"/>
        </w:rPr>
        <w:t>3</w:t>
      </w:r>
      <w:r>
        <w:rPr>
          <w:rFonts w:hint="eastAsia" w:asciiTheme="majorEastAsia" w:hAnsiTheme="majorEastAsia" w:eastAsiaTheme="majorEastAsia" w:cstheme="majorEastAsia"/>
          <w:b/>
          <w:bCs/>
          <w:color w:val="auto"/>
          <w:sz w:val="24"/>
          <w:szCs w:val="36"/>
          <w:highlight w:val="none"/>
        </w:rPr>
        <w:fldChar w:fldCharType="end"/>
      </w:r>
    </w:p>
    <w:p w14:paraId="4473F23C">
      <w:pPr>
        <w:pStyle w:val="29"/>
        <w:keepNext w:val="0"/>
        <w:keepLines w:val="0"/>
        <w:pageBreakBefore w:val="0"/>
        <w:widowControl w:val="0"/>
        <w:tabs>
          <w:tab w:val="right" w:leader="dot" w:pos="9070"/>
        </w:tabs>
        <w:kinsoku/>
        <w:wordWrap/>
        <w:overflowPunct/>
        <w:topLinePunct w:val="0"/>
        <w:autoSpaceDE/>
        <w:autoSpaceDN/>
        <w:bidi w:val="0"/>
        <w:adjustRightInd w:val="0"/>
        <w:snapToGrid/>
        <w:spacing w:line="600" w:lineRule="exact"/>
        <w:textAlignment w:val="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_Toc12353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lang w:val="en-US" w:eastAsia="zh-CN"/>
        </w:rPr>
        <w:t xml:space="preserve">第三章  </w:t>
      </w:r>
      <w:r>
        <w:rPr>
          <w:rFonts w:hint="eastAsia" w:asciiTheme="majorEastAsia" w:hAnsiTheme="majorEastAsia" w:eastAsiaTheme="majorEastAsia" w:cstheme="majorEastAsia"/>
          <w:b/>
          <w:bCs/>
          <w:color w:val="auto"/>
          <w:sz w:val="24"/>
          <w:szCs w:val="36"/>
          <w:highlight w:val="none"/>
          <w:lang w:val="en-US" w:eastAsia="zh-CN"/>
        </w:rPr>
        <w:t>采购需求</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...1</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4</w:t>
      </w:r>
    </w:p>
    <w:p w14:paraId="4DE78E20">
      <w:pPr>
        <w:pStyle w:val="29"/>
        <w:keepNext w:val="0"/>
        <w:keepLines w:val="0"/>
        <w:pageBreakBefore w:val="0"/>
        <w:widowControl w:val="0"/>
        <w:tabs>
          <w:tab w:val="right" w:leader="dot" w:pos="9070"/>
        </w:tabs>
        <w:kinsoku/>
        <w:wordWrap/>
        <w:overflowPunct/>
        <w:topLinePunct w:val="0"/>
        <w:autoSpaceDE/>
        <w:autoSpaceDN/>
        <w:bidi w:val="0"/>
        <w:adjustRightInd w:val="0"/>
        <w:snapToGrid/>
        <w:spacing w:line="600" w:lineRule="exact"/>
        <w:textAlignment w:val="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_Toc16371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0"/>
          <w:highlight w:val="none"/>
          <w:lang w:val="en-US" w:eastAsia="zh-CN"/>
        </w:rPr>
        <w:t>第四章  评</w:t>
      </w:r>
      <w:r>
        <w:rPr>
          <w:rFonts w:hint="eastAsia" w:asciiTheme="majorEastAsia" w:hAnsiTheme="majorEastAsia" w:eastAsiaTheme="majorEastAsia" w:cstheme="majorEastAsia"/>
          <w:b/>
          <w:bCs/>
          <w:strike w:val="0"/>
          <w:dstrike w:val="0"/>
          <w:color w:val="auto"/>
          <w:kern w:val="2"/>
          <w:sz w:val="24"/>
          <w:szCs w:val="40"/>
          <w:highlight w:val="none"/>
          <w:lang w:val="en-US" w:eastAsia="zh-CN"/>
        </w:rPr>
        <w:t>审方</w:t>
      </w:r>
      <w:r>
        <w:rPr>
          <w:rFonts w:hint="eastAsia" w:asciiTheme="majorEastAsia" w:hAnsiTheme="majorEastAsia" w:eastAsiaTheme="majorEastAsia" w:cstheme="majorEastAsia"/>
          <w:b/>
          <w:bCs/>
          <w:color w:val="auto"/>
          <w:kern w:val="2"/>
          <w:sz w:val="24"/>
          <w:szCs w:val="40"/>
          <w:highlight w:val="none"/>
          <w:lang w:val="en-US" w:eastAsia="zh-CN"/>
        </w:rPr>
        <w:t>法与标准</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1</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7</w:t>
      </w:r>
    </w:p>
    <w:p w14:paraId="7143EA37">
      <w:pPr>
        <w:pStyle w:val="29"/>
        <w:keepNext w:val="0"/>
        <w:keepLines w:val="0"/>
        <w:pageBreakBefore w:val="0"/>
        <w:widowControl w:val="0"/>
        <w:tabs>
          <w:tab w:val="right" w:leader="dot" w:pos="9070"/>
        </w:tabs>
        <w:kinsoku/>
        <w:wordWrap/>
        <w:overflowPunct/>
        <w:topLinePunct w:val="0"/>
        <w:autoSpaceDE/>
        <w:autoSpaceDN/>
        <w:bidi w:val="0"/>
        <w:adjustRightInd w:val="0"/>
        <w:snapToGrid/>
        <w:spacing w:line="600" w:lineRule="exact"/>
        <w:textAlignment w:val="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_Toc27586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sz w:val="24"/>
          <w:szCs w:val="22"/>
          <w:highlight w:val="none"/>
          <w:lang w:val="en-US" w:eastAsia="zh-CN"/>
        </w:rPr>
        <w:t xml:space="preserve">第五章  </w:t>
      </w:r>
      <w:r>
        <w:rPr>
          <w:rFonts w:hint="eastAsia" w:asciiTheme="majorEastAsia" w:hAnsiTheme="majorEastAsia" w:eastAsiaTheme="majorEastAsia" w:cstheme="majorEastAsia"/>
          <w:b/>
          <w:bCs/>
          <w:color w:val="auto"/>
          <w:sz w:val="24"/>
          <w:szCs w:val="22"/>
          <w:highlight w:val="none"/>
        </w:rPr>
        <w:t>政府采购合同主要条款</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2</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0</w:t>
      </w:r>
    </w:p>
    <w:p w14:paraId="1B92A2FD">
      <w:pPr>
        <w:pStyle w:val="29"/>
        <w:keepNext w:val="0"/>
        <w:keepLines w:val="0"/>
        <w:pageBreakBefore w:val="0"/>
        <w:widowControl w:val="0"/>
        <w:tabs>
          <w:tab w:val="right" w:leader="dot" w:pos="9070"/>
        </w:tabs>
        <w:kinsoku/>
        <w:wordWrap/>
        <w:overflowPunct/>
        <w:topLinePunct w:val="0"/>
        <w:autoSpaceDE/>
        <w:autoSpaceDN/>
        <w:bidi w:val="0"/>
        <w:adjustRightInd w:val="0"/>
        <w:snapToGrid/>
        <w:spacing w:line="600" w:lineRule="exact"/>
        <w:textAlignment w:val="auto"/>
        <w:rPr>
          <w:rFonts w:hint="eastAsia"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_Toc1812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kern w:val="2"/>
          <w:sz w:val="24"/>
          <w:szCs w:val="44"/>
          <w:highlight w:val="none"/>
          <w:lang w:val="zh-CN"/>
        </w:rPr>
        <w:t>第</w:t>
      </w:r>
      <w:r>
        <w:rPr>
          <w:rFonts w:hint="eastAsia" w:asciiTheme="majorEastAsia" w:hAnsiTheme="majorEastAsia" w:eastAsiaTheme="majorEastAsia" w:cstheme="majorEastAsia"/>
          <w:b/>
          <w:bCs/>
          <w:color w:val="auto"/>
          <w:kern w:val="2"/>
          <w:sz w:val="24"/>
          <w:szCs w:val="44"/>
          <w:highlight w:val="none"/>
          <w:lang w:val="en-US" w:eastAsia="zh-CN"/>
        </w:rPr>
        <w:t>六</w:t>
      </w:r>
      <w:r>
        <w:rPr>
          <w:rFonts w:hint="eastAsia" w:asciiTheme="majorEastAsia" w:hAnsiTheme="majorEastAsia" w:eastAsiaTheme="majorEastAsia" w:cstheme="majorEastAsia"/>
          <w:b/>
          <w:bCs/>
          <w:color w:val="auto"/>
          <w:kern w:val="2"/>
          <w:sz w:val="24"/>
          <w:szCs w:val="44"/>
          <w:highlight w:val="none"/>
          <w:lang w:val="zh-CN"/>
        </w:rPr>
        <w:t xml:space="preserve">章  </w:t>
      </w:r>
      <w:r>
        <w:rPr>
          <w:rFonts w:hint="eastAsia" w:asciiTheme="majorEastAsia" w:hAnsiTheme="majorEastAsia" w:eastAsiaTheme="majorEastAsia" w:cstheme="majorEastAsia"/>
          <w:b/>
          <w:bCs/>
          <w:color w:val="auto"/>
          <w:kern w:val="2"/>
          <w:sz w:val="24"/>
          <w:szCs w:val="44"/>
          <w:highlight w:val="none"/>
        </w:rPr>
        <w:t>响应文件格式</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2</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5</w:t>
      </w:r>
    </w:p>
    <w:p w14:paraId="78B5310B">
      <w:pPr>
        <w:pStyle w:val="29"/>
        <w:keepNext w:val="0"/>
        <w:keepLines w:val="0"/>
        <w:pageBreakBefore w:val="0"/>
        <w:widowControl w:val="0"/>
        <w:tabs>
          <w:tab w:val="right" w:leader="dot" w:pos="9070"/>
        </w:tabs>
        <w:kinsoku/>
        <w:wordWrap/>
        <w:overflowPunct/>
        <w:topLinePunct w:val="0"/>
        <w:autoSpaceDE/>
        <w:autoSpaceDN/>
        <w:bidi w:val="0"/>
        <w:adjustRightInd w:val="0"/>
        <w:snapToGrid/>
        <w:spacing w:line="600" w:lineRule="exact"/>
        <w:textAlignment w:val="auto"/>
        <w:rPr>
          <w:rFonts w:hint="default" w:asciiTheme="majorEastAsia" w:hAnsiTheme="majorEastAsia" w:eastAsiaTheme="majorEastAsia" w:cstheme="majorEastAsia"/>
          <w:b/>
          <w:bCs/>
          <w:color w:val="auto"/>
          <w:sz w:val="24"/>
          <w:szCs w:val="22"/>
          <w:highlight w:val="none"/>
          <w:lang w:val="en-US" w:eastAsia="zh-CN"/>
        </w:rPr>
      </w:pPr>
      <w:r>
        <w:rPr>
          <w:rFonts w:hint="eastAsia" w:asciiTheme="majorEastAsia" w:hAnsiTheme="majorEastAsia" w:eastAsiaTheme="majorEastAsia" w:cstheme="majorEastAsia"/>
          <w:b/>
          <w:bCs/>
          <w:color w:val="auto"/>
          <w:sz w:val="24"/>
          <w:szCs w:val="36"/>
          <w:highlight w:val="none"/>
        </w:rPr>
        <w:fldChar w:fldCharType="begin"/>
      </w:r>
      <w:r>
        <w:rPr>
          <w:rFonts w:hint="eastAsia" w:asciiTheme="majorEastAsia" w:hAnsiTheme="majorEastAsia" w:eastAsiaTheme="majorEastAsia" w:cstheme="majorEastAsia"/>
          <w:b/>
          <w:bCs/>
          <w:color w:val="auto"/>
          <w:sz w:val="24"/>
          <w:szCs w:val="36"/>
          <w:highlight w:val="none"/>
        </w:rPr>
        <w:instrText xml:space="preserve"> HYPERLINK \l _Toc2700 </w:instrText>
      </w:r>
      <w:r>
        <w:rPr>
          <w:rFonts w:hint="eastAsia" w:asciiTheme="majorEastAsia" w:hAnsiTheme="majorEastAsia" w:eastAsiaTheme="majorEastAsia" w:cstheme="majorEastAsia"/>
          <w:b/>
          <w:bCs/>
          <w:color w:val="auto"/>
          <w:sz w:val="24"/>
          <w:szCs w:val="36"/>
          <w:highlight w:val="none"/>
        </w:rPr>
        <w:fldChar w:fldCharType="separate"/>
      </w:r>
      <w:r>
        <w:rPr>
          <w:rFonts w:hint="eastAsia" w:asciiTheme="majorEastAsia" w:hAnsiTheme="majorEastAsia" w:eastAsiaTheme="majorEastAsia" w:cstheme="majorEastAsia"/>
          <w:b/>
          <w:bCs/>
          <w:color w:val="auto"/>
          <w:sz w:val="24"/>
          <w:szCs w:val="22"/>
          <w:highlight w:val="none"/>
          <w:lang w:val="en-US" w:eastAsia="zh-CN"/>
        </w:rPr>
        <w:t>第七章  政府采购供应商询问函和质疑函范本</w:t>
      </w:r>
      <w:r>
        <w:rPr>
          <w:rFonts w:hint="eastAsia" w:asciiTheme="majorEastAsia" w:hAnsiTheme="majorEastAsia" w:eastAsiaTheme="majorEastAsia" w:cstheme="majorEastAsia"/>
          <w:b/>
          <w:bCs/>
          <w:color w:val="auto"/>
          <w:sz w:val="24"/>
          <w:szCs w:val="22"/>
          <w:highlight w:val="none"/>
        </w:rPr>
        <w:tab/>
      </w:r>
      <w:r>
        <w:rPr>
          <w:rFonts w:hint="eastAsia" w:asciiTheme="majorEastAsia" w:hAnsiTheme="majorEastAsia" w:eastAsiaTheme="majorEastAsia" w:cstheme="majorEastAsia"/>
          <w:b/>
          <w:bCs/>
          <w:color w:val="auto"/>
          <w:sz w:val="24"/>
          <w:szCs w:val="22"/>
          <w:highlight w:val="none"/>
          <w:lang w:val="en-US" w:eastAsia="zh-CN"/>
        </w:rPr>
        <w:t>.3</w:t>
      </w:r>
      <w:r>
        <w:rPr>
          <w:rFonts w:hint="eastAsia" w:asciiTheme="majorEastAsia" w:hAnsiTheme="majorEastAsia" w:eastAsiaTheme="majorEastAsia" w:cstheme="majorEastAsia"/>
          <w:b/>
          <w:bCs/>
          <w:color w:val="auto"/>
          <w:sz w:val="24"/>
          <w:szCs w:val="36"/>
          <w:highlight w:val="none"/>
        </w:rPr>
        <w:fldChar w:fldCharType="end"/>
      </w:r>
      <w:r>
        <w:rPr>
          <w:rFonts w:hint="eastAsia" w:asciiTheme="majorEastAsia" w:hAnsiTheme="majorEastAsia" w:eastAsiaTheme="majorEastAsia" w:cstheme="majorEastAsia"/>
          <w:b/>
          <w:bCs/>
          <w:color w:val="auto"/>
          <w:sz w:val="24"/>
          <w:szCs w:val="36"/>
          <w:highlight w:val="none"/>
          <w:lang w:val="en-US" w:eastAsia="zh-CN"/>
        </w:rPr>
        <w:t>6</w:t>
      </w:r>
    </w:p>
    <w:p w14:paraId="3353468B">
      <w:pPr>
        <w:pStyle w:val="20"/>
        <w:keepNext w:val="0"/>
        <w:keepLines w:val="0"/>
        <w:pageBreakBefore w:val="0"/>
        <w:widowControl w:val="0"/>
        <w:tabs>
          <w:tab w:val="right" w:leader="dot" w:pos="9060"/>
        </w:tabs>
        <w:kinsoku/>
        <w:wordWrap/>
        <w:overflowPunct/>
        <w:topLinePunct w:val="0"/>
        <w:autoSpaceDE/>
        <w:autoSpaceDN/>
        <w:bidi w:val="0"/>
        <w:adjustRightInd w:val="0"/>
        <w:snapToGrid/>
        <w:spacing w:line="600" w:lineRule="exact"/>
        <w:textAlignment w:val="auto"/>
        <w:rPr>
          <w:color w:val="auto"/>
          <w:szCs w:val="21"/>
          <w:highlight w:val="none"/>
        </w:rPr>
        <w:sectPr>
          <w:headerReference r:id="rId7" w:type="default"/>
          <w:footerReference r:id="rId8"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rFonts w:hint="eastAsia" w:asciiTheme="majorEastAsia" w:hAnsiTheme="majorEastAsia" w:eastAsiaTheme="majorEastAsia" w:cstheme="majorEastAsia"/>
          <w:b/>
          <w:bCs/>
          <w:color w:val="auto"/>
          <w:sz w:val="24"/>
          <w:szCs w:val="36"/>
          <w:highlight w:val="none"/>
        </w:rPr>
        <w:fldChar w:fldCharType="end"/>
      </w:r>
      <w:bookmarkStart w:id="5" w:name="_Toc7432"/>
    </w:p>
    <w:p w14:paraId="35D3DCA8">
      <w:pPr>
        <w:pStyle w:val="4"/>
        <w:tabs>
          <w:tab w:val="left" w:pos="1440"/>
          <w:tab w:val="left" w:pos="5670"/>
        </w:tabs>
        <w:spacing w:before="62" w:beforeLines="20" w:after="0" w:afterAutospacing="0" w:line="480" w:lineRule="exact"/>
        <w:ind w:firstLine="0" w:firstLineChars="0"/>
        <w:jc w:val="center"/>
        <w:rPr>
          <w:rFonts w:hint="eastAsia" w:ascii="宋体" w:hAnsi="宋体" w:eastAsia="宋体" w:cs="宋体"/>
          <w:b/>
          <w:bCs/>
          <w:color w:val="auto"/>
          <w:kern w:val="2"/>
          <w:sz w:val="36"/>
          <w:szCs w:val="36"/>
          <w:highlight w:val="none"/>
          <w:lang w:eastAsia="zh-CN"/>
        </w:rPr>
      </w:pPr>
      <w:r>
        <w:rPr>
          <w:rFonts w:hint="eastAsia" w:ascii="宋体" w:hAnsi="宋体" w:eastAsia="宋体" w:cs="宋体"/>
          <w:b/>
          <w:bCs/>
          <w:color w:val="auto"/>
          <w:kern w:val="2"/>
          <w:sz w:val="36"/>
          <w:szCs w:val="36"/>
          <w:highlight w:val="none"/>
        </w:rPr>
        <w:t xml:space="preserve">第一章   </w:t>
      </w:r>
      <w:bookmarkEnd w:id="1"/>
      <w:bookmarkEnd w:id="2"/>
      <w:bookmarkEnd w:id="3"/>
      <w:bookmarkEnd w:id="5"/>
      <w:r>
        <w:rPr>
          <w:rFonts w:hint="eastAsia" w:ascii="宋体" w:hAnsi="宋体" w:eastAsia="宋体" w:cs="宋体"/>
          <w:b/>
          <w:bCs/>
          <w:color w:val="auto"/>
          <w:kern w:val="2"/>
          <w:sz w:val="36"/>
          <w:szCs w:val="36"/>
          <w:highlight w:val="none"/>
          <w:lang w:val="en-US" w:eastAsia="zh-CN"/>
        </w:rPr>
        <w:t>谈判邀请</w:t>
      </w:r>
    </w:p>
    <w:p w14:paraId="64B8DB27">
      <w:pPr>
        <w:keepNext w:val="0"/>
        <w:keepLines w:val="0"/>
        <w:pageBreakBefore w:val="0"/>
        <w:kinsoku/>
        <w:wordWrap/>
        <w:overflowPunct/>
        <w:topLinePunct w:val="0"/>
        <w:autoSpaceDE/>
        <w:autoSpaceDN/>
        <w:bidi w:val="0"/>
        <w:snapToGrid/>
        <w:spacing w:line="640" w:lineRule="exact"/>
        <w:textAlignment w:val="auto"/>
        <w:rPr>
          <w:rFonts w:hint="eastAsia" w:asciiTheme="minorEastAsia" w:hAnsiTheme="minorEastAsia" w:eastAsiaTheme="minorEastAsia" w:cstheme="minorEastAsia"/>
          <w:b/>
          <w:bCs w:val="0"/>
          <w:color w:val="auto"/>
          <w:sz w:val="28"/>
          <w:szCs w:val="28"/>
          <w:highlight w:val="none"/>
        </w:rPr>
      </w:pPr>
      <w:bookmarkStart w:id="6" w:name="_Toc35393798"/>
      <w:bookmarkStart w:id="7" w:name="_Toc35393629"/>
      <w:bookmarkStart w:id="8" w:name="_Toc28359012"/>
      <w:bookmarkStart w:id="9" w:name="_Toc28359089"/>
      <w:bookmarkStart w:id="10" w:name="OLE_LINK1"/>
      <w:bookmarkStart w:id="11" w:name="OLE_LINK7"/>
      <w:r>
        <w:rPr>
          <w:rFonts w:hint="eastAsia" w:asciiTheme="minorEastAsia" w:hAnsiTheme="minorEastAsia" w:eastAsiaTheme="minorEastAsia" w:cstheme="minorEastAsia"/>
          <w:b/>
          <w:bCs w:val="0"/>
          <w:color w:val="auto"/>
          <w:sz w:val="28"/>
          <w:szCs w:val="28"/>
          <w:highlight w:val="none"/>
        </w:rPr>
        <w:t>一、项目基本情况</w:t>
      </w:r>
      <w:bookmarkEnd w:id="6"/>
      <w:bookmarkEnd w:id="7"/>
      <w:bookmarkEnd w:id="8"/>
      <w:bookmarkEnd w:id="9"/>
    </w:p>
    <w:p w14:paraId="0E0D5F2B">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1.项目编号：</w:t>
      </w:r>
      <w:r>
        <w:rPr>
          <w:rFonts w:hint="eastAsia" w:asciiTheme="minorEastAsia" w:hAnsiTheme="minorEastAsia" w:eastAsiaTheme="minorEastAsia" w:cstheme="minorEastAsia"/>
          <w:color w:val="auto"/>
          <w:sz w:val="28"/>
          <w:szCs w:val="28"/>
          <w:highlight w:val="none"/>
          <w:u w:val="single"/>
          <w:lang w:val="en-US" w:eastAsia="zh-CN"/>
        </w:rPr>
        <w:t>TCSZCG(2026)025号</w:t>
      </w:r>
    </w:p>
    <w:p w14:paraId="57A52CCD">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2.项目名称：</w:t>
      </w:r>
      <w:r>
        <w:rPr>
          <w:rFonts w:hint="eastAsia" w:asciiTheme="minorEastAsia" w:hAnsiTheme="minorEastAsia" w:eastAsiaTheme="minorEastAsia" w:cstheme="minorEastAsia"/>
          <w:color w:val="auto"/>
          <w:sz w:val="28"/>
          <w:szCs w:val="28"/>
          <w:highlight w:val="none"/>
          <w:u w:val="single"/>
          <w:lang w:val="en-US" w:eastAsia="zh-CN"/>
        </w:rPr>
        <w:t>桐城师范高等专科学校语言综合实训室普通话模考与学习云平台升级采购项目</w:t>
      </w:r>
    </w:p>
    <w:p w14:paraId="1FE109D0">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u w:val="single"/>
          <w:lang w:val="en-US" w:eastAsia="zh-CN"/>
        </w:rPr>
      </w:pPr>
      <w:r>
        <w:rPr>
          <w:rFonts w:hint="eastAsia" w:asciiTheme="minorEastAsia" w:hAnsiTheme="minorEastAsia" w:eastAsiaTheme="minorEastAsia" w:cstheme="minorEastAsia"/>
          <w:color w:val="auto"/>
          <w:sz w:val="28"/>
          <w:szCs w:val="28"/>
          <w:highlight w:val="none"/>
          <w:lang w:val="en-US" w:eastAsia="zh-CN"/>
        </w:rPr>
        <w:t>3.预算金额：</w:t>
      </w:r>
      <w:r>
        <w:rPr>
          <w:rFonts w:hint="eastAsia" w:asciiTheme="minorEastAsia" w:hAnsiTheme="minorEastAsia" w:eastAsiaTheme="minorEastAsia" w:cstheme="minorEastAsia"/>
          <w:color w:val="auto"/>
          <w:sz w:val="28"/>
          <w:szCs w:val="28"/>
          <w:highlight w:val="none"/>
          <w:u w:val="single"/>
          <w:lang w:val="en-US" w:eastAsia="zh-CN"/>
        </w:rPr>
        <w:t>96000.00元</w:t>
      </w:r>
    </w:p>
    <w:p w14:paraId="6AC1F49F">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4.最高限价：</w:t>
      </w:r>
      <w:r>
        <w:rPr>
          <w:rFonts w:hint="eastAsia" w:asciiTheme="minorEastAsia" w:hAnsiTheme="minorEastAsia" w:eastAsiaTheme="minorEastAsia" w:cstheme="minorEastAsia"/>
          <w:color w:val="auto"/>
          <w:sz w:val="28"/>
          <w:szCs w:val="28"/>
          <w:highlight w:val="none"/>
          <w:u w:val="single"/>
          <w:lang w:val="en-US" w:eastAsia="zh-CN"/>
        </w:rPr>
        <w:t>96000.00元</w:t>
      </w:r>
    </w:p>
    <w:p w14:paraId="79DF3AC8">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5.采购需求：</w:t>
      </w:r>
      <w:r>
        <w:rPr>
          <w:rFonts w:hint="eastAsia" w:asciiTheme="minorEastAsia" w:hAnsiTheme="minorEastAsia" w:eastAsiaTheme="minorEastAsia" w:cstheme="minorEastAsia"/>
          <w:color w:val="auto"/>
          <w:sz w:val="28"/>
          <w:szCs w:val="28"/>
          <w:highlight w:val="none"/>
          <w:u w:val="single"/>
          <w:lang w:val="en-US" w:eastAsia="zh-CN"/>
        </w:rPr>
        <w:t>桐城师范高等专科学校语言综合实训室普通话模考与学习云平台升级采购项目，具体详见采购需求</w:t>
      </w:r>
      <w:r>
        <w:rPr>
          <w:rFonts w:hint="eastAsia" w:asciiTheme="minorEastAsia" w:hAnsiTheme="minorEastAsia" w:eastAsiaTheme="minorEastAsia" w:cstheme="minorEastAsia"/>
          <w:color w:val="auto"/>
          <w:sz w:val="28"/>
          <w:szCs w:val="28"/>
          <w:highlight w:val="none"/>
          <w:lang w:val="en-US" w:eastAsia="zh-CN"/>
        </w:rPr>
        <w:t>。</w:t>
      </w:r>
    </w:p>
    <w:p w14:paraId="29BF8E08">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6.合同履行期限：</w:t>
      </w:r>
      <w:r>
        <w:rPr>
          <w:rFonts w:hint="eastAsia" w:asciiTheme="minorEastAsia" w:hAnsiTheme="minorEastAsia" w:eastAsiaTheme="minorEastAsia" w:cstheme="minorEastAsia"/>
          <w:color w:val="auto"/>
          <w:sz w:val="28"/>
          <w:szCs w:val="28"/>
          <w:highlight w:val="none"/>
          <w:u w:val="single"/>
          <w:lang w:val="en-US" w:eastAsia="zh-CN"/>
        </w:rPr>
        <w:t>合同签订后30日历天。</w:t>
      </w:r>
    </w:p>
    <w:p w14:paraId="0788DD7D">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7.本项目不接受联合体。</w:t>
      </w:r>
    </w:p>
    <w:p w14:paraId="485E3833">
      <w:pPr>
        <w:keepNext w:val="0"/>
        <w:keepLines w:val="0"/>
        <w:pageBreakBefore w:val="0"/>
        <w:kinsoku/>
        <w:wordWrap/>
        <w:overflowPunct/>
        <w:topLinePunct w:val="0"/>
        <w:autoSpaceDE/>
        <w:autoSpaceDN/>
        <w:bidi w:val="0"/>
        <w:snapToGrid/>
        <w:spacing w:line="640" w:lineRule="exact"/>
        <w:textAlignment w:val="auto"/>
        <w:rPr>
          <w:rFonts w:hint="eastAsia" w:asciiTheme="minorEastAsia" w:hAnsiTheme="minorEastAsia" w:eastAsiaTheme="minorEastAsia" w:cstheme="minorEastAsia"/>
          <w:b/>
          <w:bCs w:val="0"/>
          <w:color w:val="auto"/>
          <w:sz w:val="28"/>
          <w:szCs w:val="28"/>
          <w:highlight w:val="none"/>
        </w:rPr>
      </w:pPr>
      <w:bookmarkStart w:id="12" w:name="_Toc28359013"/>
      <w:bookmarkStart w:id="13" w:name="_Toc35393799"/>
      <w:bookmarkStart w:id="14" w:name="_Toc35393630"/>
      <w:bookmarkStart w:id="15" w:name="_Toc28359090"/>
      <w:r>
        <w:rPr>
          <w:rFonts w:hint="eastAsia" w:asciiTheme="minorEastAsia" w:hAnsiTheme="minorEastAsia" w:eastAsiaTheme="minorEastAsia" w:cstheme="minorEastAsia"/>
          <w:b/>
          <w:bCs w:val="0"/>
          <w:color w:val="auto"/>
          <w:sz w:val="28"/>
          <w:szCs w:val="28"/>
          <w:highlight w:val="none"/>
        </w:rPr>
        <w:t>二、申请人的资格要求</w:t>
      </w:r>
      <w:bookmarkEnd w:id="12"/>
      <w:bookmarkEnd w:id="13"/>
      <w:bookmarkEnd w:id="14"/>
      <w:bookmarkEnd w:id="15"/>
    </w:p>
    <w:p w14:paraId="4CFB7D66">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bookmarkStart w:id="16" w:name="_Toc28359014"/>
      <w:bookmarkStart w:id="17" w:name="_Toc28359091"/>
      <w:bookmarkStart w:id="18" w:name="_Toc35393631"/>
      <w:bookmarkStart w:id="19" w:name="_Toc35393800"/>
      <w:r>
        <w:rPr>
          <w:rFonts w:hint="eastAsia" w:asciiTheme="minorEastAsia" w:hAnsiTheme="minorEastAsia" w:eastAsiaTheme="minorEastAsia" w:cstheme="minorEastAsia"/>
          <w:color w:val="auto"/>
          <w:sz w:val="28"/>
          <w:szCs w:val="28"/>
          <w:highlight w:val="none"/>
          <w:lang w:val="en-US" w:eastAsia="zh-CN"/>
        </w:rPr>
        <w:t>1.满足《中华人民共和国政府采购法》第二十二条规定；</w:t>
      </w:r>
    </w:p>
    <w:p w14:paraId="11B2DB4B">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2.落实政府采购政策需满足的资格要求：/；</w:t>
      </w:r>
    </w:p>
    <w:p w14:paraId="5D5DC7E2">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3.本项目的特定资格要求：/。</w:t>
      </w:r>
    </w:p>
    <w:p w14:paraId="51A2CBF6">
      <w:pPr>
        <w:keepNext w:val="0"/>
        <w:keepLines w:val="0"/>
        <w:pageBreakBefore w:val="0"/>
        <w:kinsoku/>
        <w:wordWrap/>
        <w:overflowPunct/>
        <w:topLinePunct w:val="0"/>
        <w:autoSpaceDE/>
        <w:autoSpaceDN/>
        <w:bidi w:val="0"/>
        <w:snapToGrid/>
        <w:spacing w:line="640" w:lineRule="exact"/>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三、获取采购文件</w:t>
      </w:r>
      <w:bookmarkEnd w:id="16"/>
      <w:bookmarkEnd w:id="17"/>
      <w:bookmarkEnd w:id="18"/>
      <w:bookmarkEnd w:id="19"/>
    </w:p>
    <w:p w14:paraId="715100A7">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获取时间：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11</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2</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15</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分前（北京时间）</w:t>
      </w:r>
    </w:p>
    <w:p w14:paraId="31ABB514">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获取地点：</w:t>
      </w:r>
      <w:r>
        <w:rPr>
          <w:rFonts w:hint="eastAsia" w:asciiTheme="minorEastAsia" w:hAnsiTheme="minorEastAsia" w:eastAsiaTheme="minorEastAsia" w:cstheme="minorEastAsia"/>
          <w:color w:val="auto"/>
          <w:sz w:val="28"/>
          <w:szCs w:val="28"/>
          <w:highlight w:val="none"/>
          <w:u w:val="single"/>
          <w:lang w:val="en-US" w:eastAsia="zh-CN"/>
        </w:rPr>
        <w:t>桐城师范高等专科学校官网和安庆市公共资源交易服务网“限额以下项目”自行下载。</w:t>
      </w:r>
    </w:p>
    <w:p w14:paraId="568EE227">
      <w:pPr>
        <w:keepNext w:val="0"/>
        <w:keepLines w:val="0"/>
        <w:pageBreakBefore w:val="0"/>
        <w:kinsoku/>
        <w:wordWrap/>
        <w:overflowPunct/>
        <w:topLinePunct w:val="0"/>
        <w:autoSpaceDE/>
        <w:autoSpaceDN/>
        <w:bidi w:val="0"/>
        <w:snapToGrid/>
        <w:spacing w:line="640" w:lineRule="exact"/>
        <w:textAlignment w:val="auto"/>
        <w:rPr>
          <w:rFonts w:hint="eastAsia" w:asciiTheme="minorEastAsia" w:hAnsiTheme="minorEastAsia" w:eastAsiaTheme="minorEastAsia" w:cstheme="minorEastAsia"/>
          <w:b/>
          <w:bCs w:val="0"/>
          <w:color w:val="auto"/>
          <w:sz w:val="28"/>
          <w:szCs w:val="28"/>
          <w:highlight w:val="none"/>
        </w:rPr>
      </w:pPr>
      <w:bookmarkStart w:id="20" w:name="_Toc35393801"/>
      <w:bookmarkStart w:id="21" w:name="_Toc28359092"/>
      <w:bookmarkStart w:id="22" w:name="_Toc28359015"/>
      <w:bookmarkStart w:id="23" w:name="_Toc35393632"/>
      <w:r>
        <w:rPr>
          <w:rFonts w:hint="eastAsia" w:asciiTheme="minorEastAsia" w:hAnsiTheme="minorEastAsia" w:eastAsiaTheme="minorEastAsia" w:cstheme="minorEastAsia"/>
          <w:b/>
          <w:bCs w:val="0"/>
          <w:color w:val="auto"/>
          <w:sz w:val="28"/>
          <w:szCs w:val="28"/>
          <w:highlight w:val="none"/>
        </w:rPr>
        <w:t>四、响应文件提交</w:t>
      </w:r>
      <w:bookmarkEnd w:id="20"/>
      <w:bookmarkEnd w:id="21"/>
      <w:bookmarkEnd w:id="22"/>
      <w:bookmarkEnd w:id="23"/>
    </w:p>
    <w:p w14:paraId="7320C208">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bookmarkStart w:id="24" w:name="_Toc35393633"/>
      <w:bookmarkStart w:id="25" w:name="_Toc28359093"/>
      <w:bookmarkStart w:id="26" w:name="_Toc28359016"/>
      <w:bookmarkStart w:id="27" w:name="_Toc35393802"/>
      <w:r>
        <w:rPr>
          <w:rFonts w:hint="eastAsia" w:asciiTheme="minorEastAsia" w:hAnsiTheme="minorEastAsia" w:eastAsiaTheme="minorEastAsia" w:cstheme="minorEastAsia"/>
          <w:color w:val="auto"/>
          <w:sz w:val="28"/>
          <w:szCs w:val="28"/>
          <w:highlight w:val="none"/>
          <w:lang w:val="en-US" w:eastAsia="zh-CN"/>
        </w:rPr>
        <w:t>截止时间：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11</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2</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15</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分（北京时间）</w:t>
      </w:r>
    </w:p>
    <w:p w14:paraId="38E049D7">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提交文件地点：</w:t>
      </w:r>
      <w:r>
        <w:rPr>
          <w:rFonts w:hint="eastAsia" w:asciiTheme="minorEastAsia" w:hAnsiTheme="minorEastAsia" w:eastAsiaTheme="minorEastAsia" w:cstheme="minorEastAsia"/>
          <w:color w:val="auto"/>
          <w:sz w:val="28"/>
          <w:szCs w:val="28"/>
          <w:highlight w:val="none"/>
          <w:u w:val="single"/>
          <w:lang w:val="en-US" w:eastAsia="zh-CN"/>
        </w:rPr>
        <w:t>纸质响应文件提交至安徽建方工程造价有限公司二楼会议室（桐城市龙眠东路261号）</w:t>
      </w:r>
    </w:p>
    <w:p w14:paraId="281FBBEC">
      <w:pPr>
        <w:keepNext w:val="0"/>
        <w:keepLines w:val="0"/>
        <w:pageBreakBefore w:val="0"/>
        <w:kinsoku/>
        <w:wordWrap/>
        <w:overflowPunct/>
        <w:topLinePunct w:val="0"/>
        <w:autoSpaceDE/>
        <w:autoSpaceDN/>
        <w:bidi w:val="0"/>
        <w:snapToGrid/>
        <w:spacing w:line="640" w:lineRule="exact"/>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五、开启</w:t>
      </w:r>
      <w:bookmarkEnd w:id="24"/>
      <w:bookmarkEnd w:id="25"/>
      <w:bookmarkEnd w:id="26"/>
      <w:bookmarkEnd w:id="27"/>
    </w:p>
    <w:p w14:paraId="06F59F85">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bookmarkStart w:id="28" w:name="_Toc35393803"/>
      <w:bookmarkStart w:id="29" w:name="_Toc35393634"/>
      <w:bookmarkStart w:id="30" w:name="_Toc28359094"/>
      <w:bookmarkStart w:id="31" w:name="_Toc28359017"/>
      <w:r>
        <w:rPr>
          <w:rFonts w:hint="eastAsia" w:asciiTheme="minorEastAsia" w:hAnsiTheme="minorEastAsia" w:eastAsiaTheme="minorEastAsia" w:cstheme="minorEastAsia"/>
          <w:color w:val="auto"/>
          <w:sz w:val="28"/>
          <w:szCs w:val="28"/>
          <w:highlight w:val="none"/>
          <w:lang w:val="en-US" w:eastAsia="zh-CN"/>
        </w:rPr>
        <w:t>时间：</w:t>
      </w:r>
      <w:r>
        <w:rPr>
          <w:rFonts w:hint="eastAsia" w:asciiTheme="minorEastAsia" w:hAnsiTheme="minorEastAsia" w:eastAsiaTheme="minorEastAsia" w:cstheme="minorEastAsia"/>
          <w:color w:val="auto"/>
          <w:sz w:val="28"/>
          <w:szCs w:val="28"/>
          <w:highlight w:val="none"/>
          <w:u w:val="single"/>
          <w:lang w:val="en-US" w:eastAsia="zh-CN"/>
        </w:rPr>
        <w:t>2026</w:t>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11</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2</w:t>
      </w:r>
      <w:r>
        <w:rPr>
          <w:rFonts w:hint="eastAsia" w:asciiTheme="minorEastAsia" w:hAnsiTheme="minorEastAsia" w:eastAsiaTheme="minorEastAsia" w:cstheme="minorEastAsia"/>
          <w:color w:val="auto"/>
          <w:sz w:val="28"/>
          <w:szCs w:val="28"/>
          <w:highlight w:val="none"/>
          <w:lang w:val="en-US" w:eastAsia="zh-CN"/>
        </w:rPr>
        <w:t>日</w:t>
      </w:r>
      <w:r>
        <w:rPr>
          <w:rFonts w:hint="eastAsia" w:asciiTheme="minorEastAsia" w:hAnsiTheme="minorEastAsia" w:eastAsiaTheme="minorEastAsia" w:cstheme="minorEastAsia"/>
          <w:color w:val="auto"/>
          <w:sz w:val="28"/>
          <w:szCs w:val="28"/>
          <w:highlight w:val="none"/>
          <w:u w:val="single"/>
          <w:lang w:val="en-US" w:eastAsia="zh-CN"/>
        </w:rPr>
        <w:t>15</w:t>
      </w:r>
      <w:r>
        <w:rPr>
          <w:rFonts w:hint="eastAsia" w:asciiTheme="minorEastAsia" w:hAnsiTheme="minorEastAsia" w:eastAsiaTheme="minorEastAsia" w:cstheme="minorEastAsia"/>
          <w:color w:val="auto"/>
          <w:sz w:val="28"/>
          <w:szCs w:val="28"/>
          <w:highlight w:val="none"/>
          <w:lang w:val="en-US" w:eastAsia="zh-CN"/>
        </w:rPr>
        <w:t>时</w:t>
      </w:r>
      <w:r>
        <w:rPr>
          <w:rFonts w:hint="eastAsia" w:asciiTheme="minorEastAsia" w:hAnsiTheme="minorEastAsia" w:eastAsiaTheme="minorEastAsia" w:cstheme="minorEastAsia"/>
          <w:color w:val="auto"/>
          <w:sz w:val="28"/>
          <w:szCs w:val="28"/>
          <w:highlight w:val="none"/>
          <w:u w:val="single"/>
          <w:lang w:val="en-US" w:eastAsia="zh-CN"/>
        </w:rPr>
        <w:t>00</w:t>
      </w:r>
      <w:r>
        <w:rPr>
          <w:rFonts w:hint="eastAsia" w:asciiTheme="minorEastAsia" w:hAnsiTheme="minorEastAsia" w:eastAsiaTheme="minorEastAsia" w:cstheme="minorEastAsia"/>
          <w:color w:val="auto"/>
          <w:sz w:val="28"/>
          <w:szCs w:val="28"/>
          <w:highlight w:val="none"/>
          <w:lang w:val="en-US" w:eastAsia="zh-CN"/>
        </w:rPr>
        <w:t>分（北京时间）</w:t>
      </w:r>
    </w:p>
    <w:p w14:paraId="05485D83">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地点：</w:t>
      </w:r>
      <w:r>
        <w:rPr>
          <w:rFonts w:hint="eastAsia" w:asciiTheme="minorEastAsia" w:hAnsiTheme="minorEastAsia" w:eastAsiaTheme="minorEastAsia" w:cstheme="minorEastAsia"/>
          <w:color w:val="auto"/>
          <w:sz w:val="28"/>
          <w:szCs w:val="28"/>
          <w:highlight w:val="none"/>
          <w:u w:val="single"/>
          <w:lang w:val="en-US" w:eastAsia="zh-CN"/>
        </w:rPr>
        <w:t>安徽建方工程造价有限公司二楼会议室（桐城市龙眠东路261号）</w:t>
      </w:r>
    </w:p>
    <w:p w14:paraId="10F4E9FE">
      <w:pPr>
        <w:keepNext w:val="0"/>
        <w:keepLines w:val="0"/>
        <w:pageBreakBefore w:val="0"/>
        <w:kinsoku/>
        <w:wordWrap/>
        <w:overflowPunct/>
        <w:topLinePunct w:val="0"/>
        <w:autoSpaceDE/>
        <w:autoSpaceDN/>
        <w:bidi w:val="0"/>
        <w:snapToGrid/>
        <w:spacing w:line="640" w:lineRule="exact"/>
        <w:textAlignment w:val="auto"/>
        <w:rPr>
          <w:rFonts w:hint="eastAsia" w:asciiTheme="minorEastAsia" w:hAnsiTheme="minorEastAsia" w:eastAsiaTheme="minorEastAsia" w:cstheme="minorEastAsia"/>
          <w:b/>
          <w:bCs w:val="0"/>
          <w:color w:val="auto"/>
          <w:sz w:val="28"/>
          <w:szCs w:val="28"/>
          <w:highlight w:val="none"/>
        </w:rPr>
      </w:pPr>
      <w:r>
        <w:rPr>
          <w:rFonts w:hint="eastAsia" w:asciiTheme="minorEastAsia" w:hAnsiTheme="minorEastAsia" w:eastAsiaTheme="minorEastAsia" w:cstheme="minorEastAsia"/>
          <w:b/>
          <w:bCs w:val="0"/>
          <w:color w:val="auto"/>
          <w:sz w:val="28"/>
          <w:szCs w:val="28"/>
          <w:highlight w:val="none"/>
        </w:rPr>
        <w:t>六、公告期限</w:t>
      </w:r>
      <w:bookmarkEnd w:id="28"/>
      <w:bookmarkEnd w:id="29"/>
      <w:bookmarkEnd w:id="30"/>
      <w:bookmarkEnd w:id="31"/>
    </w:p>
    <w:p w14:paraId="2E8DE909">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本次谈判公告同时在桐城师范高等专科学校官网和安庆市公共资源交易服务网“限额以下项目”上发布，期限为自公告发布之日起3个工作日。</w:t>
      </w:r>
    </w:p>
    <w:p w14:paraId="7BC75874">
      <w:pPr>
        <w:keepNext w:val="0"/>
        <w:keepLines w:val="0"/>
        <w:pageBreakBefore w:val="0"/>
        <w:kinsoku/>
        <w:wordWrap/>
        <w:overflowPunct/>
        <w:topLinePunct w:val="0"/>
        <w:autoSpaceDE/>
        <w:autoSpaceDN/>
        <w:bidi w:val="0"/>
        <w:snapToGrid/>
        <w:spacing w:line="640" w:lineRule="exact"/>
        <w:textAlignment w:val="auto"/>
        <w:rPr>
          <w:rFonts w:hint="eastAsia" w:asciiTheme="minorEastAsia" w:hAnsiTheme="minorEastAsia" w:eastAsiaTheme="minorEastAsia" w:cstheme="minorEastAsia"/>
          <w:b/>
          <w:bCs w:val="0"/>
          <w:color w:val="auto"/>
          <w:sz w:val="28"/>
          <w:szCs w:val="28"/>
          <w:highlight w:val="none"/>
        </w:rPr>
      </w:pPr>
      <w:bookmarkStart w:id="32" w:name="_Toc35393635"/>
      <w:bookmarkStart w:id="33" w:name="_Toc35393804"/>
      <w:r>
        <w:rPr>
          <w:rFonts w:hint="eastAsia" w:asciiTheme="minorEastAsia" w:hAnsiTheme="minorEastAsia" w:eastAsiaTheme="minorEastAsia" w:cstheme="minorEastAsia"/>
          <w:b/>
          <w:bCs w:val="0"/>
          <w:color w:val="auto"/>
          <w:sz w:val="28"/>
          <w:szCs w:val="28"/>
          <w:highlight w:val="none"/>
          <w:lang w:val="en-US" w:eastAsia="zh-CN"/>
        </w:rPr>
        <w:t>七、</w:t>
      </w:r>
      <w:r>
        <w:rPr>
          <w:rFonts w:hint="eastAsia" w:asciiTheme="minorEastAsia" w:hAnsiTheme="minorEastAsia" w:eastAsiaTheme="minorEastAsia" w:cstheme="minorEastAsia"/>
          <w:b/>
          <w:bCs w:val="0"/>
          <w:color w:val="auto"/>
          <w:sz w:val="28"/>
          <w:szCs w:val="28"/>
          <w:highlight w:val="none"/>
        </w:rPr>
        <w:t>其他补充事宜</w:t>
      </w:r>
      <w:bookmarkEnd w:id="32"/>
      <w:bookmarkEnd w:id="33"/>
    </w:p>
    <w:bookmarkEnd w:id="10"/>
    <w:bookmarkEnd w:id="11"/>
    <w:p w14:paraId="57850561">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 xml:space="preserve">1.响应文件要求：投标时需将“响应文件”分正/副本（一正、一副）一起装袋密封，响应文件的密封袋的封口骑缝处应加盖供应商公章。未按要求装订密封，现场报名时招标代理将拒绝接收。 </w:t>
      </w:r>
    </w:p>
    <w:p w14:paraId="7ED76162">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2.成交单位应按照成交通知书要求及时与采购人签订合同，否则将记入不良行为记录，并予以披露。</w:t>
      </w:r>
    </w:p>
    <w:p w14:paraId="3D630712">
      <w:pPr>
        <w:keepNext w:val="0"/>
        <w:keepLines w:val="0"/>
        <w:pageBreakBefore w:val="0"/>
        <w:kinsoku/>
        <w:wordWrap/>
        <w:overflowPunct/>
        <w:topLinePunct w:val="0"/>
        <w:autoSpaceDE/>
        <w:autoSpaceDN/>
        <w:bidi w:val="0"/>
        <w:snapToGrid/>
        <w:spacing w:line="640" w:lineRule="exact"/>
        <w:textAlignment w:val="auto"/>
        <w:rPr>
          <w:rFonts w:hint="eastAsia" w:asciiTheme="minorEastAsia" w:hAnsiTheme="minorEastAsia" w:eastAsiaTheme="minorEastAsia" w:cstheme="minorEastAsia"/>
          <w:b/>
          <w:bCs w:val="0"/>
          <w:color w:val="auto"/>
          <w:sz w:val="28"/>
          <w:szCs w:val="28"/>
          <w:highlight w:val="none"/>
          <w:lang w:val="en-US" w:eastAsia="zh-CN"/>
        </w:rPr>
      </w:pPr>
      <w:r>
        <w:rPr>
          <w:rFonts w:hint="eastAsia" w:asciiTheme="minorEastAsia" w:hAnsiTheme="minorEastAsia" w:eastAsiaTheme="minorEastAsia" w:cstheme="minorEastAsia"/>
          <w:b/>
          <w:bCs w:val="0"/>
          <w:color w:val="auto"/>
          <w:sz w:val="28"/>
          <w:szCs w:val="28"/>
          <w:highlight w:val="none"/>
          <w:lang w:val="en-US" w:eastAsia="zh-CN"/>
        </w:rPr>
        <w:t>八、凡对本次采购提出询问，请按以下方式联系。</w:t>
      </w:r>
    </w:p>
    <w:p w14:paraId="34E52F46">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1.采购人信息</w:t>
      </w:r>
    </w:p>
    <w:p w14:paraId="69A662C4">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名称：桐城师范高等专科学校</w:t>
      </w:r>
    </w:p>
    <w:p w14:paraId="562B78D0">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地址：安徽省桐城市经开区学苑路199号</w:t>
      </w:r>
    </w:p>
    <w:p w14:paraId="5795DDDB">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联系人：陈老师     联系方式：15156279777</w:t>
      </w:r>
    </w:p>
    <w:p w14:paraId="61285A97">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2.采购代理机构信息</w:t>
      </w:r>
    </w:p>
    <w:p w14:paraId="6BD76D67">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名称：安徽建方工程造价有限公司</w:t>
      </w:r>
    </w:p>
    <w:p w14:paraId="62603ECB">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地址：桐城市龙眠东路261号</w:t>
      </w:r>
    </w:p>
    <w:p w14:paraId="00ED2FFC">
      <w:pPr>
        <w:keepNext w:val="0"/>
        <w:keepLines w:val="0"/>
        <w:pageBreakBefore w:val="0"/>
        <w:widowControl w:val="0"/>
        <w:kinsoku/>
        <w:wordWrap/>
        <w:overflowPunct/>
        <w:topLinePunct w:val="0"/>
        <w:autoSpaceDE/>
        <w:autoSpaceDN/>
        <w:bidi w:val="0"/>
        <w:adjustRightInd/>
        <w:snapToGrid/>
        <w:spacing w:line="640" w:lineRule="exact"/>
        <w:ind w:firstLine="280" w:firstLineChars="100"/>
        <w:textAlignment w:val="auto"/>
        <w:rPr>
          <w:rFonts w:hint="eastAsia" w:ascii="仿宋" w:hAnsi="仿宋" w:eastAsia="仿宋" w:cs="Times New Roman"/>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联系人：唐先生         联系方式：18805569626</w:t>
      </w:r>
    </w:p>
    <w:bookmarkEnd w:id="4"/>
    <w:p w14:paraId="417B9442">
      <w:pPr>
        <w:pStyle w:val="4"/>
        <w:tabs>
          <w:tab w:val="left" w:pos="1440"/>
          <w:tab w:val="left" w:pos="5670"/>
        </w:tabs>
        <w:spacing w:before="62" w:beforeLines="20" w:after="0" w:afterAutospacing="0" w:line="480" w:lineRule="exact"/>
        <w:ind w:firstLine="0" w:firstLineChars="0"/>
        <w:jc w:val="center"/>
        <w:rPr>
          <w:rFonts w:hint="eastAsia" w:ascii="宋体" w:hAnsi="宋体" w:eastAsia="宋体" w:cs="宋体"/>
          <w:b/>
          <w:bCs/>
          <w:color w:val="auto"/>
          <w:kern w:val="2"/>
          <w:sz w:val="36"/>
          <w:szCs w:val="36"/>
          <w:highlight w:val="none"/>
        </w:rPr>
      </w:pPr>
      <w:bookmarkStart w:id="34" w:name="_Toc54941329"/>
      <w:bookmarkStart w:id="35" w:name="_Toc11266"/>
      <w:bookmarkStart w:id="36" w:name="_Toc26069"/>
      <w:bookmarkStart w:id="37" w:name="_Toc439316872"/>
      <w:bookmarkStart w:id="38" w:name="_Toc2521"/>
      <w:bookmarkStart w:id="39" w:name="_Toc54941331"/>
      <w:r>
        <w:rPr>
          <w:rFonts w:hint="eastAsia" w:ascii="宋体" w:hAnsi="宋体" w:eastAsia="宋体" w:cs="宋体"/>
          <w:b/>
          <w:bCs/>
          <w:color w:val="auto"/>
          <w:kern w:val="2"/>
          <w:sz w:val="36"/>
          <w:szCs w:val="36"/>
          <w:highlight w:val="none"/>
        </w:rPr>
        <w:t xml:space="preserve">第二章   </w:t>
      </w:r>
      <w:bookmarkEnd w:id="34"/>
      <w:bookmarkEnd w:id="35"/>
      <w:bookmarkEnd w:id="36"/>
      <w:r>
        <w:rPr>
          <w:rFonts w:hint="eastAsia" w:ascii="宋体" w:hAnsi="宋体" w:eastAsia="宋体" w:cs="宋体"/>
          <w:b/>
          <w:bCs/>
          <w:color w:val="auto"/>
          <w:kern w:val="2"/>
          <w:sz w:val="36"/>
          <w:szCs w:val="36"/>
          <w:highlight w:val="none"/>
        </w:rPr>
        <w:t>供应商须知</w:t>
      </w:r>
    </w:p>
    <w:p w14:paraId="5BC5F5FB">
      <w:pPr>
        <w:spacing w:line="360" w:lineRule="auto"/>
        <w:jc w:val="center"/>
        <w:outlineLvl w:val="1"/>
        <w:rPr>
          <w:rFonts w:hint="eastAsia" w:ascii="宋体" w:hAnsi="宋体" w:eastAsia="宋体" w:cs="宋体"/>
          <w:b/>
          <w:bCs/>
          <w:color w:val="auto"/>
          <w:kern w:val="2"/>
          <w:sz w:val="32"/>
          <w:szCs w:val="32"/>
          <w:highlight w:val="none"/>
          <w:lang w:eastAsia="zh-CN"/>
        </w:rPr>
      </w:pPr>
      <w:bookmarkStart w:id="40" w:name="_Toc25752"/>
      <w:bookmarkStart w:id="41" w:name="_Toc28122"/>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40"/>
      <w:bookmarkEnd w:id="41"/>
    </w:p>
    <w:tbl>
      <w:tblPr>
        <w:tblStyle w:val="40"/>
        <w:tblW w:w="1057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0"/>
        <w:gridCol w:w="2698"/>
        <w:gridCol w:w="7179"/>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700"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698"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7179"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00"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eastAsia="zh-CN"/>
              </w:rPr>
            </w:pPr>
            <w:r>
              <w:rPr>
                <w:rFonts w:hint="eastAsia" w:asciiTheme="minorEastAsia" w:hAnsiTheme="minorEastAsia" w:eastAsiaTheme="minorEastAsia" w:cstheme="minorEastAsia"/>
                <w:b/>
                <w:bCs/>
                <w:sz w:val="24"/>
                <w:szCs w:val="22"/>
                <w:lang w:val="en-US" w:eastAsia="zh-CN"/>
              </w:rPr>
              <w:t>1</w:t>
            </w:r>
          </w:p>
        </w:tc>
        <w:tc>
          <w:tcPr>
            <w:tcW w:w="2698"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采购人</w:t>
            </w:r>
          </w:p>
        </w:tc>
        <w:tc>
          <w:tcPr>
            <w:tcW w:w="7179"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default"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eastAsia="zh-CN"/>
              </w:rPr>
            </w:pPr>
            <w:r>
              <w:rPr>
                <w:rFonts w:hint="eastAsia" w:asciiTheme="minorEastAsia" w:hAnsiTheme="minorEastAsia" w:eastAsiaTheme="minorEastAsia" w:cstheme="minorEastAsia"/>
                <w:b/>
                <w:bCs/>
                <w:sz w:val="24"/>
                <w:szCs w:val="22"/>
                <w:lang w:val="en-US" w:eastAsia="zh-CN"/>
              </w:rPr>
              <w:t>2</w:t>
            </w:r>
          </w:p>
        </w:tc>
        <w:tc>
          <w:tcPr>
            <w:tcW w:w="2698"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采购</w:t>
            </w:r>
            <w:r>
              <w:rPr>
                <w:rFonts w:hint="eastAsia" w:asciiTheme="minorEastAsia" w:hAnsiTheme="minorEastAsia" w:eastAsiaTheme="minorEastAsia" w:cstheme="minorEastAsia"/>
                <w:sz w:val="24"/>
                <w:szCs w:val="22"/>
                <w:lang w:val="en-US" w:eastAsia="zh-CN"/>
              </w:rPr>
              <w:t>代理</w:t>
            </w:r>
            <w:r>
              <w:rPr>
                <w:rFonts w:hint="eastAsia" w:asciiTheme="minorEastAsia" w:hAnsiTheme="minorEastAsia" w:eastAsiaTheme="minorEastAsia" w:cstheme="minorEastAsia"/>
                <w:sz w:val="24"/>
                <w:szCs w:val="22"/>
              </w:rPr>
              <w:t>机构</w:t>
            </w:r>
          </w:p>
        </w:tc>
        <w:tc>
          <w:tcPr>
            <w:tcW w:w="7179"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安徽建方工程造价有限公司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700"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3</w:t>
            </w:r>
          </w:p>
        </w:tc>
        <w:tc>
          <w:tcPr>
            <w:tcW w:w="2698"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申请人（供应商）</w:t>
            </w:r>
            <w:r>
              <w:rPr>
                <w:rFonts w:hint="eastAsia" w:asciiTheme="minorEastAsia" w:hAnsiTheme="minorEastAsia" w:eastAsiaTheme="minorEastAsia" w:cstheme="minorEastAsia"/>
                <w:sz w:val="24"/>
                <w:szCs w:val="22"/>
              </w:rPr>
              <w:t>资格要求</w:t>
            </w:r>
          </w:p>
        </w:tc>
        <w:tc>
          <w:tcPr>
            <w:tcW w:w="7179"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700"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4</w:t>
            </w:r>
          </w:p>
        </w:tc>
        <w:tc>
          <w:tcPr>
            <w:tcW w:w="2698"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现场考察</w:t>
            </w:r>
            <w:r>
              <w:rPr>
                <w:rFonts w:hint="eastAsia" w:asciiTheme="minorEastAsia" w:hAnsiTheme="minorEastAsia" w:eastAsiaTheme="minorEastAsia" w:cstheme="minorEastAsia"/>
                <w:sz w:val="24"/>
                <w:szCs w:val="22"/>
                <w:lang w:val="en-US" w:eastAsia="zh-CN"/>
              </w:rPr>
              <w:t>或标前答疑会</w:t>
            </w:r>
          </w:p>
        </w:tc>
        <w:tc>
          <w:tcPr>
            <w:tcW w:w="7179" w:type="dxa"/>
            <w:tcBorders>
              <w:top w:val="single" w:color="auto" w:sz="4" w:space="0"/>
              <w:left w:val="single" w:color="auto" w:sz="4" w:space="0"/>
              <w:bottom w:val="single" w:color="auto" w:sz="4" w:space="0"/>
            </w:tcBorders>
            <w:vAlign w:val="center"/>
          </w:tcPr>
          <w:p w14:paraId="7726993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eastAsia="zh-CN"/>
              </w:rPr>
              <w:t>☑</w:t>
            </w:r>
            <w:r>
              <w:rPr>
                <w:rFonts w:hint="eastAsia" w:asciiTheme="minorEastAsia" w:hAnsiTheme="minorEastAsia" w:eastAsiaTheme="minorEastAsia" w:cstheme="minorEastAsia"/>
                <w:sz w:val="24"/>
                <w:szCs w:val="22"/>
              </w:rPr>
              <w:t>不组织</w:t>
            </w:r>
            <w:r>
              <w:rPr>
                <w:rFonts w:hint="eastAsia" w:asciiTheme="minorEastAsia" w:hAnsiTheme="minorEastAsia" w:eastAsiaTheme="minorEastAsia" w:cstheme="minorEastAsia"/>
                <w:sz w:val="24"/>
                <w:szCs w:val="22"/>
                <w:lang w:val="en-US" w:eastAsia="zh-CN"/>
              </w:rPr>
              <w:t>或不召开</w:t>
            </w:r>
          </w:p>
          <w:p w14:paraId="059EF74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lang w:eastAsia="zh-CN"/>
              </w:rPr>
              <w:t>□</w:t>
            </w:r>
            <w:r>
              <w:rPr>
                <w:rFonts w:hint="eastAsia" w:asciiTheme="minorEastAsia" w:hAnsiTheme="minorEastAsia" w:eastAsiaTheme="minorEastAsia" w:cstheme="minorEastAsia"/>
                <w:sz w:val="24"/>
                <w:szCs w:val="22"/>
              </w:rPr>
              <w:t>统一组织</w:t>
            </w:r>
            <w:r>
              <w:rPr>
                <w:rFonts w:hint="eastAsia" w:asciiTheme="minorEastAsia" w:hAnsiTheme="minorEastAsia" w:eastAsiaTheme="minorEastAsia" w:cstheme="minorEastAsia"/>
                <w:sz w:val="24"/>
                <w:szCs w:val="22"/>
                <w:lang w:val="en-US" w:eastAsia="zh-CN"/>
              </w:rPr>
              <w:t>或统一召开</w:t>
            </w:r>
          </w:p>
          <w:p w14:paraId="2B94F6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时间：    年  月  日  时  分</w:t>
            </w:r>
          </w:p>
          <w:p w14:paraId="101A3A2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 xml:space="preserve">地点：                       </w:t>
            </w:r>
          </w:p>
          <w:p w14:paraId="3ECEEB4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 xml:space="preserve">联系人及联系电话：           </w:t>
            </w:r>
          </w:p>
          <w:p w14:paraId="051AAD3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eastAsia="zh-CN"/>
              </w:rPr>
              <w:t>注：</w:t>
            </w:r>
            <w:r>
              <w:rPr>
                <w:rFonts w:hint="eastAsia" w:asciiTheme="minorEastAsia" w:hAnsiTheme="minorEastAsia" w:eastAsiaTheme="minorEastAsia" w:cstheme="minorEastAsia"/>
                <w:b/>
                <w:bCs/>
                <w:sz w:val="24"/>
                <w:szCs w:val="22"/>
              </w:rPr>
              <w:t>如</w:t>
            </w:r>
            <w:r>
              <w:rPr>
                <w:rFonts w:hint="eastAsia" w:asciiTheme="minorEastAsia" w:hAnsiTheme="minorEastAsia" w:eastAsiaTheme="minorEastAsia" w:cstheme="minorEastAsia"/>
                <w:b/>
                <w:bCs/>
                <w:sz w:val="24"/>
                <w:szCs w:val="22"/>
                <w:lang w:val="en-US" w:eastAsia="zh-CN"/>
              </w:rPr>
              <w:t>供应商</w:t>
            </w:r>
            <w:r>
              <w:rPr>
                <w:rFonts w:hint="eastAsia" w:asciiTheme="minorEastAsia" w:hAnsiTheme="minorEastAsia" w:eastAsiaTheme="minorEastAsia" w:cstheme="minorEastAsia"/>
                <w:b/>
                <w:bCs/>
                <w:sz w:val="24"/>
                <w:szCs w:val="22"/>
              </w:rPr>
              <w:t>未参加采购人统一组织的现场考察</w:t>
            </w:r>
            <w:r>
              <w:rPr>
                <w:rFonts w:hint="eastAsia" w:asciiTheme="minorEastAsia" w:hAnsiTheme="minorEastAsia" w:eastAsiaTheme="minorEastAsia" w:cstheme="minorEastAsia"/>
                <w:b/>
                <w:bCs/>
                <w:sz w:val="24"/>
                <w:szCs w:val="22"/>
                <w:lang w:val="en-US" w:eastAsia="zh-CN"/>
              </w:rPr>
              <w:t>或采购人统一召开的标前答疑会</w:t>
            </w:r>
            <w:r>
              <w:rPr>
                <w:rFonts w:hint="eastAsia" w:asciiTheme="minorEastAsia" w:hAnsiTheme="minorEastAsia" w:eastAsiaTheme="minorEastAsia" w:cstheme="minorEastAsia"/>
                <w:b/>
                <w:bCs/>
                <w:sz w:val="24"/>
                <w:szCs w:val="22"/>
              </w:rPr>
              <w:t>，视同放弃现场考察</w:t>
            </w:r>
            <w:r>
              <w:rPr>
                <w:rFonts w:hint="eastAsia" w:asciiTheme="minorEastAsia" w:hAnsiTheme="minorEastAsia" w:eastAsiaTheme="minorEastAsia" w:cstheme="minorEastAsia"/>
                <w:b/>
                <w:bCs/>
                <w:sz w:val="24"/>
                <w:szCs w:val="22"/>
                <w:lang w:val="en-US" w:eastAsia="zh-CN"/>
              </w:rPr>
              <w:t>或标前答疑会</w:t>
            </w:r>
            <w:r>
              <w:rPr>
                <w:rFonts w:hint="eastAsia" w:asciiTheme="minorEastAsia" w:hAnsiTheme="minorEastAsia" w:eastAsiaTheme="minorEastAsia" w:cstheme="minorEastAsia"/>
                <w:b/>
                <w:bCs/>
                <w:sz w:val="24"/>
                <w:szCs w:val="22"/>
              </w:rPr>
              <w:t>，由此引起的一切责任由</w:t>
            </w:r>
            <w:r>
              <w:rPr>
                <w:rFonts w:hint="eastAsia" w:asciiTheme="minorEastAsia" w:hAnsiTheme="minorEastAsia" w:eastAsiaTheme="minorEastAsia" w:cstheme="minorEastAsia"/>
                <w:b/>
                <w:bCs/>
                <w:sz w:val="24"/>
                <w:szCs w:val="22"/>
                <w:lang w:val="en-US" w:eastAsia="zh-CN"/>
              </w:rPr>
              <w:t>供应商</w:t>
            </w:r>
            <w:r>
              <w:rPr>
                <w:rFonts w:hint="eastAsia" w:asciiTheme="minorEastAsia" w:hAnsiTheme="minorEastAsia" w:eastAsiaTheme="minorEastAsia" w:cstheme="minorEastAsia"/>
                <w:b/>
                <w:bCs/>
                <w:sz w:val="24"/>
                <w:szCs w:val="22"/>
              </w:rPr>
              <w:t>自行承担。</w:t>
            </w:r>
          </w:p>
        </w:tc>
      </w:tr>
      <w:tr w14:paraId="441B2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700" w:type="dxa"/>
            <w:tcBorders>
              <w:top w:val="single" w:color="auto" w:sz="4" w:space="0"/>
              <w:bottom w:val="single" w:color="auto" w:sz="4" w:space="0"/>
              <w:right w:val="single" w:color="auto" w:sz="4" w:space="0"/>
            </w:tcBorders>
            <w:vAlign w:val="center"/>
          </w:tcPr>
          <w:p w14:paraId="507FB08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5</w:t>
            </w:r>
          </w:p>
        </w:tc>
        <w:tc>
          <w:tcPr>
            <w:tcW w:w="2698" w:type="dxa"/>
            <w:tcBorders>
              <w:top w:val="single" w:color="auto" w:sz="4" w:space="0"/>
              <w:left w:val="single" w:color="auto" w:sz="4" w:space="0"/>
              <w:bottom w:val="single" w:color="auto" w:sz="4" w:space="0"/>
              <w:right w:val="single" w:color="auto" w:sz="4" w:space="0"/>
            </w:tcBorders>
            <w:vAlign w:val="center"/>
          </w:tcPr>
          <w:p w14:paraId="408B330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询问截止时间</w:t>
            </w:r>
          </w:p>
        </w:tc>
        <w:tc>
          <w:tcPr>
            <w:tcW w:w="7179" w:type="dxa"/>
            <w:tcBorders>
              <w:top w:val="single" w:color="auto" w:sz="4" w:space="0"/>
              <w:left w:val="single" w:color="auto" w:sz="4" w:space="0"/>
              <w:bottom w:val="single" w:color="auto" w:sz="4" w:space="0"/>
            </w:tcBorders>
            <w:vAlign w:val="center"/>
          </w:tcPr>
          <w:p w14:paraId="7138F31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lang w:val="en-US" w:eastAsia="zh-CN"/>
              </w:rPr>
              <w:t>同响应文件提交截止时间</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6</w:t>
            </w:r>
          </w:p>
        </w:tc>
        <w:tc>
          <w:tcPr>
            <w:tcW w:w="2698"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包别划分</w:t>
            </w:r>
          </w:p>
        </w:tc>
        <w:tc>
          <w:tcPr>
            <w:tcW w:w="7179"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color w:val="auto"/>
                <w:sz w:val="24"/>
                <w:szCs w:val="24"/>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700"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7</w:t>
            </w:r>
          </w:p>
        </w:tc>
        <w:tc>
          <w:tcPr>
            <w:tcW w:w="2698"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有效期</w:t>
            </w:r>
          </w:p>
        </w:tc>
        <w:tc>
          <w:tcPr>
            <w:tcW w:w="7179"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color w:val="auto"/>
                <w:sz w:val="24"/>
                <w:szCs w:val="24"/>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700"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8</w:t>
            </w:r>
          </w:p>
        </w:tc>
        <w:tc>
          <w:tcPr>
            <w:tcW w:w="2698"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响应文件要求</w:t>
            </w:r>
          </w:p>
        </w:tc>
        <w:tc>
          <w:tcPr>
            <w:tcW w:w="7179"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（1）供应商的响应文件需</w:t>
            </w:r>
            <w:r>
              <w:rPr>
                <w:rFonts w:hint="eastAsia" w:asciiTheme="minorEastAsia" w:hAnsiTheme="minorEastAsia" w:eastAsiaTheme="minorEastAsia" w:cstheme="minorEastAsia"/>
                <w:b/>
                <w:bCs/>
                <w:color w:val="auto"/>
                <w:kern w:val="0"/>
                <w:sz w:val="24"/>
                <w:szCs w:val="24"/>
                <w:highlight w:val="none"/>
                <w:lang w:val="en-US" w:eastAsia="zh-CN" w:bidi="ar"/>
              </w:rPr>
              <w:t>胶装</w:t>
            </w:r>
            <w:r>
              <w:rPr>
                <w:rFonts w:hint="eastAsia" w:asciiTheme="minorEastAsia" w:hAnsiTheme="minorEastAsia" w:eastAsiaTheme="minorEastAsia" w:cstheme="minorEastAsia"/>
                <w:b w:val="0"/>
                <w:bCs w:val="0"/>
                <w:color w:val="auto"/>
                <w:kern w:val="0"/>
                <w:sz w:val="24"/>
                <w:szCs w:val="24"/>
                <w:highlight w:val="none"/>
                <w:lang w:val="en-US" w:eastAsia="zh-CN" w:bidi="ar"/>
              </w:rPr>
              <w:t>成册，所附材料须按规定填写，并按要求签字盖章，否则按废标处理。</w:t>
            </w:r>
          </w:p>
          <w:p w14:paraId="27565755">
            <w:pPr>
              <w:pageBreakBefore w:val="0"/>
              <w:kinsoku/>
              <w:overflowPunct/>
              <w:topLinePunct w:val="0"/>
              <w:bidi w:val="0"/>
              <w:snapToGrid w:val="0"/>
              <w:spacing w:line="440" w:lineRule="exac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rPr>
            </w:pPr>
            <w:r>
              <w:rPr>
                <w:rFonts w:hint="eastAsia" w:asciiTheme="minorEastAsia" w:hAnsiTheme="minorEastAsia" w:eastAsiaTheme="minorEastAsia" w:cstheme="minorEastAsia"/>
                <w:b w:val="0"/>
                <w:bCs w:val="0"/>
                <w:color w:val="auto"/>
                <w:kern w:val="0"/>
                <w:sz w:val="24"/>
                <w:szCs w:val="24"/>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700"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9</w:t>
            </w:r>
          </w:p>
        </w:tc>
        <w:tc>
          <w:tcPr>
            <w:tcW w:w="2698"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响应文件的密封和标记</w:t>
            </w:r>
          </w:p>
        </w:tc>
        <w:tc>
          <w:tcPr>
            <w:tcW w:w="7179"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密封要求：“响应文件”分正/副本（一正、一副）一起装袋密封</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，响应文件的密封袋的封口骑缝处应加盖</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供应商公章</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在</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密封袋上注明</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下列内容</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w:t>
            </w:r>
          </w:p>
          <w:p w14:paraId="79A9EFE5">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供应商名称：</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项目名称：</w:t>
            </w:r>
          </w:p>
          <w:p w14:paraId="52450BC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u w:val="single"/>
                <w:lang w:val="en-US" w:eastAsia="zh-CN" w:bidi="ar-SA"/>
              </w:rPr>
              <w:t>2026年11月2日15时00分</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（北京时间），此时间以前不得开封。</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00"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10</w:t>
            </w:r>
          </w:p>
        </w:tc>
        <w:tc>
          <w:tcPr>
            <w:tcW w:w="2698"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响应</w:t>
            </w:r>
            <w:r>
              <w:rPr>
                <w:rFonts w:hint="eastAsia" w:asciiTheme="minorEastAsia" w:hAnsiTheme="minorEastAsia" w:eastAsiaTheme="minorEastAsia" w:cstheme="minorEastAsia"/>
                <w:sz w:val="24"/>
                <w:szCs w:val="22"/>
              </w:rPr>
              <w:t>文件提交</w:t>
            </w:r>
          </w:p>
        </w:tc>
        <w:tc>
          <w:tcPr>
            <w:tcW w:w="7179"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响应文件提交截止时间</w:t>
            </w: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z w:val="24"/>
                <w:szCs w:val="22"/>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700"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11</w:t>
            </w:r>
          </w:p>
        </w:tc>
        <w:tc>
          <w:tcPr>
            <w:tcW w:w="2698"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时间和地点</w:t>
            </w:r>
          </w:p>
        </w:tc>
        <w:tc>
          <w:tcPr>
            <w:tcW w:w="7179"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700"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12</w:t>
            </w:r>
          </w:p>
        </w:tc>
        <w:tc>
          <w:tcPr>
            <w:tcW w:w="2698"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评审方法</w:t>
            </w:r>
          </w:p>
        </w:tc>
        <w:tc>
          <w:tcPr>
            <w:tcW w:w="7179"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color w:val="auto"/>
                <w:sz w:val="24"/>
                <w:szCs w:val="24"/>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700"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13</w:t>
            </w:r>
          </w:p>
        </w:tc>
        <w:tc>
          <w:tcPr>
            <w:tcW w:w="2698"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原件</w:t>
            </w:r>
          </w:p>
        </w:tc>
        <w:tc>
          <w:tcPr>
            <w:tcW w:w="7179"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本次</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时不要求供应商携带相关证件、业绩及奖项的原件（</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700"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14</w:t>
            </w:r>
          </w:p>
        </w:tc>
        <w:tc>
          <w:tcPr>
            <w:tcW w:w="2698"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确定成交候选供应商和成交供应商</w:t>
            </w:r>
          </w:p>
        </w:tc>
        <w:tc>
          <w:tcPr>
            <w:tcW w:w="7179"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0"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15</w:t>
            </w:r>
          </w:p>
        </w:tc>
        <w:tc>
          <w:tcPr>
            <w:tcW w:w="2698"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媒介发布</w:t>
            </w:r>
          </w:p>
        </w:tc>
        <w:tc>
          <w:tcPr>
            <w:tcW w:w="7179"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本次竞争性</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公告在</w:t>
            </w:r>
            <w:r>
              <w:rPr>
                <w:rFonts w:hint="eastAsia" w:asciiTheme="minorEastAsia" w:hAnsiTheme="minorEastAsia" w:eastAsiaTheme="minorEastAsia" w:cstheme="minorEastAsia"/>
                <w:sz w:val="24"/>
                <w:szCs w:val="22"/>
                <w:lang w:val="en-US" w:eastAsia="zh-CN"/>
              </w:rPr>
              <w:t>桐城师范高等专科学校官网和安庆市公共资源交易服务网“限额以下项目”</w:t>
            </w:r>
            <w:r>
              <w:rPr>
                <w:rFonts w:hint="eastAsia" w:asciiTheme="minorEastAsia" w:hAnsiTheme="minorEastAsia" w:eastAsiaTheme="minorEastAsia" w:cstheme="minorEastAsia"/>
                <w:sz w:val="24"/>
                <w:szCs w:val="22"/>
              </w:rPr>
              <w:t>上发布和推送</w:t>
            </w:r>
            <w:r>
              <w:rPr>
                <w:rFonts w:hint="eastAsia" w:asciiTheme="minorEastAsia" w:hAnsiTheme="minorEastAsia" w:eastAsiaTheme="minorEastAsia" w:cstheme="minorEastAsia"/>
                <w:sz w:val="24"/>
                <w:szCs w:val="22"/>
                <w:lang w:eastAsia="zh-CN"/>
              </w:rPr>
              <w:t>。</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16</w:t>
            </w:r>
          </w:p>
        </w:tc>
        <w:tc>
          <w:tcPr>
            <w:tcW w:w="2698"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成交通知书发出的形式</w:t>
            </w:r>
          </w:p>
        </w:tc>
        <w:tc>
          <w:tcPr>
            <w:tcW w:w="7179"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17</w:t>
            </w:r>
          </w:p>
        </w:tc>
        <w:tc>
          <w:tcPr>
            <w:tcW w:w="2698"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保证金</w:t>
            </w:r>
          </w:p>
        </w:tc>
        <w:tc>
          <w:tcPr>
            <w:tcW w:w="7179"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p>
        </w:tc>
        <w:tc>
          <w:tcPr>
            <w:tcW w:w="2698"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履约保证金</w:t>
            </w:r>
          </w:p>
        </w:tc>
        <w:tc>
          <w:tcPr>
            <w:tcW w:w="7179"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p>
        </w:tc>
        <w:tc>
          <w:tcPr>
            <w:tcW w:w="2698"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strike w:val="0"/>
                <w:dstrike w:val="0"/>
                <w:color w:val="auto"/>
                <w:kern w:val="2"/>
                <w:sz w:val="24"/>
                <w:szCs w:val="24"/>
                <w:highlight w:val="none"/>
                <w:lang w:val="en-US" w:eastAsia="zh-CN" w:bidi="ar-SA"/>
              </w:rPr>
              <w:t>代理费用</w:t>
            </w:r>
          </w:p>
        </w:tc>
        <w:tc>
          <w:tcPr>
            <w:tcW w:w="7179" w:type="dxa"/>
            <w:tcBorders>
              <w:top w:val="single" w:color="auto" w:sz="4" w:space="0"/>
              <w:left w:val="single" w:color="auto" w:sz="4" w:space="0"/>
              <w:bottom w:val="single" w:color="auto" w:sz="4" w:space="0"/>
            </w:tcBorders>
            <w:shd w:val="clear" w:color="auto" w:fill="auto"/>
            <w:vAlign w:val="center"/>
          </w:tcPr>
          <w:p w14:paraId="735F0E7E">
            <w:pPr>
              <w:pStyle w:val="6"/>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4"/>
                <w:szCs w:val="40"/>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代理费用按成交价款的</w:t>
            </w:r>
            <w:r>
              <w:rPr>
                <w:rFonts w:hint="eastAsia" w:asciiTheme="minorEastAsia" w:hAnsiTheme="minorEastAsia" w:eastAsiaTheme="minorEastAsia" w:cstheme="minorEastAsia"/>
                <w:b w:val="0"/>
                <w:color w:val="auto"/>
                <w:kern w:val="2"/>
                <w:sz w:val="24"/>
                <w:szCs w:val="24"/>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4"/>
                <w:szCs w:val="24"/>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18</w:t>
            </w:r>
          </w:p>
        </w:tc>
        <w:tc>
          <w:tcPr>
            <w:tcW w:w="2698"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质疑函递交方式、接收部门、联系电话和通讯地址</w:t>
            </w:r>
          </w:p>
        </w:tc>
        <w:tc>
          <w:tcPr>
            <w:tcW w:w="7179"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rPr>
              <w:t>递交方式：</w:t>
            </w:r>
            <w:r>
              <w:rPr>
                <w:rFonts w:hint="eastAsia" w:asciiTheme="minorEastAsia" w:hAnsiTheme="minorEastAsia" w:eastAsiaTheme="minorEastAsia" w:cstheme="minorEastAsia"/>
                <w:sz w:val="24"/>
                <w:szCs w:val="22"/>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接收部门：</w:t>
            </w:r>
            <w:r>
              <w:rPr>
                <w:rFonts w:hint="eastAsia" w:asciiTheme="minorEastAsia" w:hAnsiTheme="minorEastAsia" w:eastAsiaTheme="minorEastAsia" w:cstheme="minorEastAsia"/>
                <w:sz w:val="24"/>
                <w:szCs w:val="22"/>
                <w:lang w:val="en-US" w:eastAsia="zh-CN"/>
              </w:rPr>
              <w:t>采购人或采购代理机构</w:t>
            </w:r>
            <w:r>
              <w:rPr>
                <w:rFonts w:hint="eastAsia" w:asciiTheme="minorEastAsia" w:hAnsiTheme="minorEastAsia" w:eastAsiaTheme="minorEastAsia" w:cstheme="minorEastAsia"/>
                <w:sz w:val="24"/>
                <w:szCs w:val="22"/>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联系电话：</w:t>
            </w:r>
            <w:r>
              <w:rPr>
                <w:rFonts w:hint="eastAsia" w:asciiTheme="minorEastAsia" w:hAnsiTheme="minorEastAsia" w:eastAsiaTheme="minorEastAsia" w:cstheme="minorEastAsia"/>
                <w:sz w:val="24"/>
                <w:szCs w:val="22"/>
                <w:lang w:val="en-US" w:eastAsia="zh-CN"/>
              </w:rPr>
              <w:t>0556-6181669</w:t>
            </w:r>
            <w:r>
              <w:rPr>
                <w:rFonts w:hint="eastAsia" w:asciiTheme="minorEastAsia" w:hAnsiTheme="minorEastAsia" w:eastAsiaTheme="minorEastAsia" w:cstheme="minorEastAsia"/>
                <w:sz w:val="24"/>
                <w:szCs w:val="22"/>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通讯地址：</w:t>
            </w:r>
            <w:r>
              <w:rPr>
                <w:rFonts w:hint="eastAsia" w:asciiTheme="minorEastAsia" w:hAnsiTheme="minorEastAsia" w:eastAsiaTheme="minorEastAsia" w:cstheme="minorEastAsia"/>
                <w:sz w:val="24"/>
                <w:szCs w:val="22"/>
                <w:lang w:val="en-US" w:eastAsia="zh-CN"/>
              </w:rPr>
              <w:t>安徽省桐城市经开区学苑路199号</w:t>
            </w:r>
            <w:r>
              <w:rPr>
                <w:rFonts w:hint="eastAsia" w:asciiTheme="minorEastAsia" w:hAnsiTheme="minorEastAsia" w:eastAsiaTheme="minorEastAsia" w:cstheme="minorEastAsia"/>
                <w:sz w:val="24"/>
                <w:szCs w:val="22"/>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700"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19</w:t>
            </w:r>
          </w:p>
        </w:tc>
        <w:tc>
          <w:tcPr>
            <w:tcW w:w="2698"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说明</w:t>
            </w:r>
          </w:p>
        </w:tc>
        <w:tc>
          <w:tcPr>
            <w:tcW w:w="7179"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1.</w:t>
            </w:r>
            <w:r>
              <w:rPr>
                <w:rFonts w:hint="eastAsia" w:asciiTheme="minorEastAsia" w:hAnsiTheme="minorEastAsia" w:eastAsiaTheme="minorEastAsia" w:cstheme="minorEastAsia"/>
                <w:sz w:val="24"/>
                <w:szCs w:val="22"/>
              </w:rPr>
              <w:t>本</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2.</w:t>
            </w:r>
            <w:r>
              <w:rPr>
                <w:rFonts w:hint="eastAsia" w:asciiTheme="minorEastAsia" w:hAnsiTheme="minorEastAsia" w:eastAsiaTheme="minorEastAsia" w:cstheme="minorEastAsia"/>
                <w:sz w:val="24"/>
                <w:szCs w:val="22"/>
              </w:rPr>
              <w:t>本项目所要求的业绩均须为中华人民共和国境内业绩（不含港澳台地区）</w:t>
            </w:r>
            <w:r>
              <w:rPr>
                <w:rFonts w:hint="eastAsia" w:asciiTheme="minorEastAsia" w:hAnsiTheme="minorEastAsia" w:eastAsiaTheme="minorEastAsia" w:cstheme="minorEastAsia"/>
                <w:sz w:val="24"/>
                <w:szCs w:val="22"/>
                <w:lang w:eastAsia="zh-CN"/>
              </w:rPr>
              <w:t>。</w:t>
            </w:r>
          </w:p>
        </w:tc>
      </w:tr>
    </w:tbl>
    <w:p w14:paraId="4C8DA0C0">
      <w:pPr>
        <w:pStyle w:val="5"/>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13A6CBD">
      <w:pPr>
        <w:pStyle w:val="5"/>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1CF4FB04">
      <w:pPr>
        <w:pStyle w:val="5"/>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55924D92">
      <w:pPr>
        <w:pStyle w:val="5"/>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A568032">
      <w:pPr>
        <w:pStyle w:val="5"/>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366704C7">
      <w:pPr>
        <w:rPr>
          <w:rFonts w:hint="eastAsia" w:cs="Tahoma"/>
          <w:bCs/>
          <w:color w:val="auto"/>
          <w:kern w:val="0"/>
          <w:sz w:val="32"/>
          <w:szCs w:val="32"/>
          <w:highlight w:val="none"/>
          <w:lang w:val="en-US" w:eastAsia="zh-CN"/>
        </w:rPr>
      </w:pPr>
    </w:p>
    <w:p w14:paraId="05F41FD3">
      <w:pPr>
        <w:pStyle w:val="5"/>
        <w:pageBreakBefore w:val="0"/>
        <w:kinsoku/>
        <w:overflowPunct/>
        <w:topLinePunct w:val="0"/>
        <w:bidi w:val="0"/>
        <w:spacing w:before="0" w:beforeAutospacing="0" w:after="0" w:afterAutospacing="0" w:line="240" w:lineRule="auto"/>
        <w:jc w:val="both"/>
        <w:textAlignment w:val="auto"/>
        <w:rPr>
          <w:rFonts w:hint="eastAsia" w:cs="Tahoma"/>
          <w:bCs/>
          <w:color w:val="auto"/>
          <w:kern w:val="0"/>
          <w:sz w:val="32"/>
          <w:szCs w:val="32"/>
          <w:highlight w:val="none"/>
          <w:lang w:val="zh-CN"/>
        </w:rPr>
      </w:pPr>
    </w:p>
    <w:p w14:paraId="4F1C66E1">
      <w:pPr>
        <w:rPr>
          <w:rFonts w:hint="eastAsia" w:cs="Tahoma"/>
          <w:bCs/>
          <w:color w:val="auto"/>
          <w:kern w:val="0"/>
          <w:sz w:val="32"/>
          <w:szCs w:val="32"/>
          <w:highlight w:val="none"/>
          <w:lang w:val="zh-CN"/>
        </w:rPr>
      </w:pPr>
    </w:p>
    <w:p w14:paraId="1DB67D9B">
      <w:pPr>
        <w:pStyle w:val="3"/>
        <w:rPr>
          <w:rFonts w:hint="eastAsia"/>
          <w:lang w:val="zh-CN"/>
        </w:rPr>
      </w:pPr>
    </w:p>
    <w:p w14:paraId="62EEFFFA">
      <w:pPr>
        <w:spacing w:line="360" w:lineRule="auto"/>
        <w:jc w:val="center"/>
        <w:outlineLvl w:val="1"/>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二、</w:t>
      </w:r>
      <w:r>
        <w:rPr>
          <w:rFonts w:hint="eastAsia" w:cs="Times New Roman" w:asciiTheme="minorEastAsia" w:hAnsiTheme="minorEastAsia" w:eastAsiaTheme="minorEastAsia"/>
          <w:b/>
          <w:color w:val="auto"/>
          <w:sz w:val="24"/>
          <w:highlight w:val="none"/>
          <w:lang w:val="zh-CN"/>
        </w:rPr>
        <w:t xml:space="preserve"> </w:t>
      </w:r>
      <w:r>
        <w:rPr>
          <w:rFonts w:hint="eastAsia" w:cs="Times New Roman" w:asciiTheme="minorEastAsia" w:hAnsiTheme="minorEastAsia" w:eastAsiaTheme="minorEastAsia"/>
          <w:b/>
          <w:color w:val="auto"/>
          <w:sz w:val="24"/>
          <w:highlight w:val="none"/>
          <w:lang w:val="en-US" w:eastAsia="zh-CN"/>
        </w:rPr>
        <w:t>供应商</w:t>
      </w:r>
      <w:r>
        <w:rPr>
          <w:rFonts w:hint="eastAsia" w:cs="Times New Roman" w:asciiTheme="minorEastAsia" w:hAnsiTheme="minorEastAsia" w:eastAsiaTheme="minorEastAsia"/>
          <w:b/>
          <w:color w:val="auto"/>
          <w:sz w:val="24"/>
          <w:highlight w:val="none"/>
          <w:lang w:val="zh-CN"/>
        </w:rPr>
        <w:t>须知</w:t>
      </w:r>
      <w:bookmarkEnd w:id="37"/>
      <w:bookmarkEnd w:id="38"/>
      <w:bookmarkEnd w:id="39"/>
      <w:r>
        <w:rPr>
          <w:rFonts w:hint="eastAsia" w:cs="Times New Roman" w:asciiTheme="minorEastAsia" w:hAnsiTheme="minorEastAsia" w:eastAsiaTheme="minorEastAsia"/>
          <w:b/>
          <w:color w:val="auto"/>
          <w:sz w:val="24"/>
          <w:highlight w:val="none"/>
          <w:lang w:val="en-US" w:eastAsia="zh-CN"/>
        </w:rPr>
        <w:t>正文</w:t>
      </w:r>
    </w:p>
    <w:p w14:paraId="101F9319">
      <w:pPr>
        <w:spacing w:beforeAutospacing="0" w:line="360" w:lineRule="auto"/>
        <w:outlineLvl w:val="2"/>
        <w:rPr>
          <w:rFonts w:asciiTheme="minorEastAsia" w:hAnsiTheme="minorEastAsia" w:eastAsiaTheme="minorEastAsia"/>
          <w:b/>
          <w:color w:val="auto"/>
          <w:sz w:val="24"/>
          <w:highlight w:val="none"/>
        </w:rPr>
      </w:pPr>
      <w:bookmarkStart w:id="42" w:name="_Toc7325"/>
      <w:bookmarkStart w:id="43" w:name="_Toc21078"/>
      <w:bookmarkStart w:id="44" w:name="_Toc15055"/>
      <w:bookmarkStart w:id="45" w:name="_Toc439316873"/>
      <w:bookmarkStart w:id="46" w:name="_Toc439316919"/>
      <w:bookmarkStart w:id="47" w:name="_Toc10523"/>
      <w:bookmarkStart w:id="48" w:name="_Toc25270"/>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44CEDE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1.1采购人：是指依法开展政府采购活动的国家机关、事业单位、团体组织。</w:t>
      </w:r>
    </w:p>
    <w:p w14:paraId="343DC7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1.2采购代理机构：是指集中采购机构或从事采购代理业务的社会中介机构。</w:t>
      </w:r>
    </w:p>
    <w:p w14:paraId="4F90F4E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1.3政府采购监督管理部门：各级人民政府指定的有关部门依法履行与政府采购活动有关的监督管理职责。</w:t>
      </w:r>
    </w:p>
    <w:p w14:paraId="31080CA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1.4供应商：是指向采购人提供货物、工程或者服务的法人、其他组织或者自然人。分支机构不得参加政府采购活动，但银行、保险、石油石化、电力、电信等特殊行业除外。</w:t>
      </w:r>
      <w:bookmarkStart w:id="49" w:name="_Hlk60264251"/>
      <w:r>
        <w:rPr>
          <w:rFonts w:hint="eastAsia" w:ascii="宋体" w:hAnsi="宋体" w:eastAsia="宋体" w:cs="Times New Roman"/>
          <w:color w:val="auto"/>
          <w:sz w:val="24"/>
          <w:highlight w:val="none"/>
          <w:lang w:val="en-US" w:eastAsia="zh-CN"/>
        </w:rPr>
        <w:t>本项目的供应商须满足以下条件：</w:t>
      </w:r>
    </w:p>
    <w:p w14:paraId="7728D21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1.4.1具备《中华人民共和国政府采购法》第二十二条关于供应商条件的规定，遵守本项目采购人本级和上级财政部门政府采购的有关规定。</w:t>
      </w:r>
    </w:p>
    <w:p w14:paraId="4A0DAC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1.4.2以采购代理机构认可的方式获得了本项目的谈判文件。</w:t>
      </w:r>
    </w:p>
    <w:p w14:paraId="38E2CAE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1.4.3若采购需求中写明允许采购进口产品，供应商应保证所投产品可履行合法报通关手续进入中国关境内。</w:t>
      </w:r>
    </w:p>
    <w:p w14:paraId="059CB49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若采购需求中未写明允许采购进口产品，如供应商所投产品为进口产品，其响应文件将被认定为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bookmarkEnd w:id="49"/>
    <w:p w14:paraId="0CC9934E">
      <w:pPr>
        <w:spacing w:line="360" w:lineRule="auto"/>
        <w:ind w:firstLine="240" w:firstLineChars="100"/>
        <w:rPr>
          <w:rFonts w:hint="eastAsia" w:ascii="宋体" w:hAnsi="宋体" w:eastAsia="宋体" w:cs="Times New Roman"/>
          <w:color w:val="auto"/>
          <w:sz w:val="24"/>
          <w:highlight w:val="none"/>
          <w:lang w:val="en-US" w:eastAsia="zh-CN"/>
        </w:rPr>
      </w:pPr>
      <w:bookmarkStart w:id="50" w:name="_Hlk60611047"/>
      <w:r>
        <w:rPr>
          <w:rFonts w:hint="eastAsia" w:ascii="宋体" w:hAnsi="宋体" w:eastAsia="宋体" w:cs="Times New Roman"/>
          <w:color w:val="auto"/>
          <w:sz w:val="24"/>
          <w:highlight w:val="none"/>
          <w:lang w:val="en-US" w:eastAsia="zh-CN"/>
        </w:rPr>
        <w:t>1.5若竞争性谈判公告中允许联合体参加谈判，对联合体规定如下：</w:t>
      </w:r>
    </w:p>
    <w:bookmarkEnd w:id="50"/>
    <w:p w14:paraId="38C55D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1.5.1两个以上供应商可以组成一个谈判联合体，以一个供应商的身份谈判。联合体谈判的，谈判文件获取手续由联合体中任一成员单位办理均可。</w:t>
      </w:r>
    </w:p>
    <w:p w14:paraId="780BDD7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1.5.2联合体各方均应符合《中华人民共和国政府采购法》第二十二条规定的条件。</w:t>
      </w:r>
    </w:p>
    <w:p w14:paraId="600710D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1.5.3采购人根据采购项目对供应商的特殊要求，联合体中至少应当有一方符合相关规定。</w:t>
      </w:r>
    </w:p>
    <w:p w14:paraId="4FD533F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1.5.4联合体各方应签订联合协议，明确约定联合体各方承担的工作和相应的责任，并将联合协议作为响应文件的一部分提交。</w:t>
      </w:r>
    </w:p>
    <w:p w14:paraId="621F779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1.5.5大中型企业、其他自然人、法人或者非法人组织与小型、微型企业组成联合体共同参加谈判，联合协议中应写明小型、微型企业的协议合同金额占到联合协议合同总金额的比例。</w:t>
      </w:r>
    </w:p>
    <w:p w14:paraId="1BB0EB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1.5.6联合体中有同类资质的供应商按照联合体分工承担相同工作的，应当按照资质等级较低的供应商确定资质等级。</w:t>
      </w:r>
    </w:p>
    <w:p w14:paraId="3797B9B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1.5.7以联合体形式参加政府采购活动的，联合体各方不得再单独参加或者与其他供应商另外组成联合体参加本项目谈判，否则相关响应文件将被认定为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6E75BBA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1.5.8对联合体参加谈判的其他资格要求见申请人的资格要求。</w:t>
      </w:r>
    </w:p>
    <w:p w14:paraId="6B0A365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2.资金落实情况</w:t>
      </w:r>
    </w:p>
    <w:p w14:paraId="25ECBFDD">
      <w:pPr>
        <w:spacing w:line="360" w:lineRule="auto"/>
        <w:ind w:firstLine="240" w:firstLineChars="100"/>
        <w:rPr>
          <w:rFonts w:asciiTheme="minorEastAsia" w:hAnsiTheme="minorEastAsia" w:eastAsiaTheme="minorEastAsia"/>
          <w:color w:val="auto"/>
          <w:sz w:val="24"/>
          <w:highlight w:val="none"/>
        </w:rPr>
      </w:pPr>
      <w:r>
        <w:rPr>
          <w:rFonts w:hint="eastAsia" w:ascii="宋体" w:hAnsi="宋体" w:eastAsia="宋体" w:cs="Times New Roman"/>
          <w:color w:val="auto"/>
          <w:sz w:val="24"/>
          <w:highlight w:val="none"/>
          <w:lang w:val="en-US" w:eastAsia="zh-CN"/>
        </w:rPr>
        <w:t>本项目的采购人已获得足以支付本次谈判后所签订的合同项下的资金。</w:t>
      </w:r>
    </w:p>
    <w:p w14:paraId="53D90C5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3.谈判费用</w:t>
      </w:r>
    </w:p>
    <w:p w14:paraId="7C57E13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不论谈判的结果如何，供应商应承担其所有与准备和参加谈判有关的费用。</w:t>
      </w:r>
    </w:p>
    <w:p w14:paraId="6548771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4.适用法律</w:t>
      </w:r>
    </w:p>
    <w:p w14:paraId="55A81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14:paraId="5BD1AE1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5.谈判文件构成</w:t>
      </w:r>
    </w:p>
    <w:p w14:paraId="673D8F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5.1谈判文件包括下列内容：</w:t>
      </w:r>
    </w:p>
    <w:p w14:paraId="7455A63B">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第一章  谈判邀请</w:t>
      </w:r>
    </w:p>
    <w:p w14:paraId="4FD73385">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第二章  供应商须知</w:t>
      </w:r>
    </w:p>
    <w:p w14:paraId="2904E97C">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第三章  采购需求</w:t>
      </w:r>
    </w:p>
    <w:p w14:paraId="08A9AF7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第四章  评审方法和标准</w:t>
      </w:r>
    </w:p>
    <w:p w14:paraId="5BF2EBB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第五章  政府采购合同</w:t>
      </w:r>
    </w:p>
    <w:p w14:paraId="5B5FCAF7">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第六章  响应文件格式</w:t>
      </w:r>
    </w:p>
    <w:p w14:paraId="0DA58631">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第七章  政府采购供应商询问函和质疑函范本</w:t>
      </w:r>
    </w:p>
    <w:p w14:paraId="3B7293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5.2现场考察（标前答疑会）及相关事项见供应商须知前附表。</w:t>
      </w:r>
    </w:p>
    <w:p w14:paraId="4AFCE05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5.3原则上采购人、采购代理机构不要求供应商提供样品。仅凭书面方式不能准确描述采购需求，或者需要对样品进行主观判断以确认是否满足采购需求等特殊情况除外。</w:t>
      </w:r>
    </w:p>
    <w:p w14:paraId="70492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如需提供样品，对样品相关要求见采购需求，对样品的评审方法及评审标准见谈判文件第四章。</w:t>
      </w:r>
    </w:p>
    <w:p w14:paraId="2C110B7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5.4供应商应认真阅读谈判文件所有的事项、格式、条款和技术规范等。</w:t>
      </w:r>
    </w:p>
    <w:p w14:paraId="5F7532E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6.谈判文件的澄清与修改</w:t>
      </w:r>
    </w:p>
    <w:p w14:paraId="6F22022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6.1供应商如对谈判文件内容有疑问，必须在供应商须知前附表规定的询问截止时间前以书面提问形式提交给采购代理机构。</w:t>
      </w:r>
    </w:p>
    <w:p w14:paraId="16037D5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6.2</w:t>
      </w:r>
      <w:r>
        <w:rPr>
          <w:rFonts w:hint="eastAsia" w:asciiTheme="minorEastAsia" w:hAnsiTheme="minorEastAsia" w:eastAsiaTheme="minorEastAsia"/>
          <w:color w:val="auto"/>
          <w:sz w:val="24"/>
          <w:highlight w:val="none"/>
        </w:rPr>
        <w:t>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桐城师范高等专科学校</w:t>
      </w:r>
      <w:r>
        <w:rPr>
          <w:rFonts w:hint="eastAsia" w:asciiTheme="minorEastAsia" w:hAnsiTheme="minorEastAsia" w:eastAsiaTheme="minorEastAsia"/>
          <w:color w:val="auto"/>
          <w:sz w:val="24"/>
          <w:highlight w:val="none"/>
          <w:lang w:val="en-US" w:eastAsia="zh-CN"/>
        </w:rPr>
        <w:t>官网和安庆市公共资源交易服务网“限额以下项目”上</w:t>
      </w:r>
      <w:r>
        <w:rPr>
          <w:rFonts w:hint="eastAsia" w:asciiTheme="minorEastAsia" w:hAnsiTheme="minorEastAsia" w:eastAsiaTheme="minorEastAsia"/>
          <w:color w:val="auto"/>
          <w:sz w:val="24"/>
          <w:highlight w:val="none"/>
        </w:rPr>
        <w:t>发布更正公告的方式澄清或者修改谈判文件，更正公告的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1452C7A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6.3任何人或任何组织向供应商提供的任何书面或口头资料，未经采购代理机构在网上发布或书面通知，均作无效处理，不得作为谈判文件的组成部分。采购代理机构对供应商由此而做出的推论、理解和结论概不负责。</w:t>
      </w:r>
    </w:p>
    <w:p w14:paraId="35F2B7E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6.4对于没有提出询问又参与了本项目谈判的供应商将被视为完全认同本谈判文件（含更正公告的内容）。</w:t>
      </w:r>
    </w:p>
    <w:p w14:paraId="479E282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7.谈判范围及响应文件中标准和计量单位的使用</w:t>
      </w:r>
    </w:p>
    <w:p w14:paraId="4D97F1E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7.1项目有分包的，供应商可参与其中某一个或多个分包的谈判，成交包数详见供应商须知前附表中规定。</w:t>
      </w:r>
    </w:p>
    <w:p w14:paraId="5FE3DE70">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7.2供应商应当对所投分包谈判文件中“采购需求”所列的所有内容进行响应，如仅响应所投包别中的部分内容，其所投包别的响应将被认定为响应无效</w:t>
      </w:r>
      <w:r>
        <w:rPr>
          <w:rFonts w:hint="eastAsia" w:ascii="宋体" w:hAnsi="宋体" w:eastAsia="宋体" w:cs="Times New Roman"/>
          <w:color w:val="auto"/>
          <w:sz w:val="24"/>
          <w:highlight w:val="yellow"/>
          <w:lang w:val="en-US" w:eastAsia="zh-CN"/>
        </w:rPr>
        <w:t>（采购文件允许偏离的除外）</w:t>
      </w:r>
      <w:r>
        <w:rPr>
          <w:rFonts w:hint="eastAsia" w:ascii="宋体" w:hAnsi="宋体" w:eastAsia="宋体" w:cs="Times New Roman"/>
          <w:color w:val="auto"/>
          <w:sz w:val="24"/>
          <w:highlight w:val="none"/>
          <w:lang w:val="en-US" w:eastAsia="zh-CN"/>
        </w:rPr>
        <w:t>。</w:t>
      </w:r>
    </w:p>
    <w:p w14:paraId="322931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7.3无论谈判文件中是否要求，供应商所投货物及伴随的服务和工程均应符合国家强制性标准。</w:t>
      </w:r>
    </w:p>
    <w:p w14:paraId="2A8D52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7.4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w:t>
      </w:r>
    </w:p>
    <w:p w14:paraId="687B0A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7.5除谈判文件中有特殊要求外，响应文件中所使用的计量单位，应采用中华人民共和国法定计量单位。</w:t>
      </w:r>
    </w:p>
    <w:p w14:paraId="328159C0">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8.响应文件构成</w:t>
      </w:r>
    </w:p>
    <w:p w14:paraId="18748EB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8.1供应商应完整地按谈判文件提供的响应文件格式及要求编写响应文件，具体内容详见本项目响应文件格式的相关内容。</w:t>
      </w:r>
    </w:p>
    <w:p w14:paraId="76F6BD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8.2供应商应提交谈判文件要求的证明文件，证明其响应内容符合谈判文件规定。该证明文件是响应文件的一部分。证明文件形式可以是文字资料、图纸和数据</w:t>
      </w:r>
      <w:bookmarkStart w:id="51" w:name="_Hlk11703583"/>
      <w:r>
        <w:rPr>
          <w:rFonts w:hint="eastAsia" w:ascii="宋体" w:hAnsi="宋体" w:eastAsia="宋体" w:cs="Times New Roman"/>
          <w:color w:val="auto"/>
          <w:sz w:val="24"/>
          <w:highlight w:val="none"/>
          <w:lang w:val="en-US" w:eastAsia="zh-CN"/>
        </w:rPr>
        <w:t>。</w:t>
      </w:r>
    </w:p>
    <w:bookmarkEnd w:id="51"/>
    <w:p w14:paraId="21E9A43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8.3为保证公平公正，除非谈判文件另有规定或说明，供应商对同一项目谈判时，不得同时提供备选谈判方案。</w:t>
      </w:r>
    </w:p>
    <w:p w14:paraId="05C862C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9.报价</w:t>
      </w:r>
    </w:p>
    <w:p w14:paraId="748BD5F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9.1供应商的报价应当包括满足本次谈判全部采购需求所应提供的货物，以及伴随的服务和工程。除谈判文件另有规定外，所有内容均应以人民币报价，供应商的谈判报价应遵守《中华人民共和国价格法》。</w:t>
      </w:r>
    </w:p>
    <w:p w14:paraId="0C9E639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9.2除非谈判文件另有规定或经采购人同意支付的，最后报价均不得高于谈判文件（公告）列明的项目预算，否则其响应文件将被认定为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1A16B85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9.3报价在合同履行过程中是固定不变的，不得以任何理由予以变更。任何包含价格调整要求的谈判，其响应文件将被认定为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DFD6F6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9.4采购人不接受具有附加条件的报价。</w:t>
      </w:r>
    </w:p>
    <w:p w14:paraId="6AB8C72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10.谈判保证金</w:t>
      </w:r>
    </w:p>
    <w:p w14:paraId="2641AA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10.1本项目不收取谈判保证金。</w:t>
      </w:r>
    </w:p>
    <w:p w14:paraId="3036E34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11.谈判有效期</w:t>
      </w:r>
    </w:p>
    <w:p w14:paraId="08E4B2A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11.1谈判有效期为从响应文件提交截止之日算起的日历天数，谈判有效期详见供应商须知前附表。</w:t>
      </w:r>
    </w:p>
    <w:p w14:paraId="016B73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11.2在谈判有效期内，供应商的谈判保持有效，供应商不得要求撤</w:t>
      </w:r>
      <w:r>
        <w:rPr>
          <w:rFonts w:hint="eastAsia" w:ascii="宋体" w:hAnsi="宋体" w:cs="Times New Roman"/>
          <w:color w:val="auto"/>
          <w:sz w:val="24"/>
          <w:highlight w:val="none"/>
          <w:lang w:val="en-US" w:eastAsia="zh-CN"/>
        </w:rPr>
        <w:t>回</w:t>
      </w:r>
      <w:r>
        <w:rPr>
          <w:rFonts w:hint="eastAsia" w:ascii="宋体" w:hAnsi="宋体" w:eastAsia="宋体" w:cs="Times New Roman"/>
          <w:color w:val="auto"/>
          <w:sz w:val="24"/>
          <w:highlight w:val="none"/>
          <w:lang w:val="en-US" w:eastAsia="zh-CN"/>
        </w:rPr>
        <w:t>或修改其响应文件。谈判有效期不满足要求的响应，其响应文件将被认定为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503A1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11.3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p>
    <w:p w14:paraId="3C114C0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12.响应文件的提交、修改与撤回</w:t>
      </w:r>
    </w:p>
    <w:p w14:paraId="3EFBE38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12.1供应商应当在竞争性谈判公告规定的响应文件提交截止时间前，将密封完好的响应文件递交，逾期递交的响应文件将不予受理。</w:t>
      </w:r>
    </w:p>
    <w:p w14:paraId="77A8F62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12.2响应人应当在响应文件提交截止时间前完成响应文件的现场递交，未在响应文件提交截止时间前提交有效纸质响应文件的，代理机构不予接收，视为未提交响应文件。</w:t>
      </w:r>
    </w:p>
    <w:p w14:paraId="2ED401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12.3供应商应在供应商须知前附表规定的递交时间前对其响应文件进行提交，未在规定时间内进行递交的，</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7C431E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12.4在响应文件提交截止时间之后，供应商不得对其响应文件做任何修改。但属于谈判小组在评审中发现的计算错误并进行核实的修改、按照谈判文件的变动情况和谈判小组的要求重新提交响应文件的，不在此列。</w:t>
      </w:r>
    </w:p>
    <w:p w14:paraId="58FB80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13.谈判小组</w:t>
      </w:r>
    </w:p>
    <w:p w14:paraId="36395F8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13.1本项目将依法组建谈判小组，谈判小组成员由3人以上（含）单数组成，谈判小组及其成员应当依照政府采购的有关规定履行相关职责和义务。</w:t>
      </w:r>
    </w:p>
    <w:p w14:paraId="5CBC2F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13.2谈判小组依法对响应文件进行评审，并根据谈判文件规定的程序、评定成交的标准等事项与实质性响应谈判文件要求的供应商进行谈判。</w:t>
      </w:r>
    </w:p>
    <w:p w14:paraId="2B82BF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13.3谈判小组应当从质量和服务均能满足谈判文件实质性响应要求的供应商中，按照评审办法和标准推荐成交候选人，并编写评审报告。</w:t>
      </w:r>
    </w:p>
    <w:p w14:paraId="3954067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14.响应文件的评审与谈判</w:t>
      </w:r>
    </w:p>
    <w:p w14:paraId="61A6F3C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14.1采购人和采购代理机构将在竞争性谈判公告规定的时间和地点组织谈判。</w:t>
      </w:r>
    </w:p>
    <w:p w14:paraId="029152D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14.2竞争性谈判采用最低评标价法评审。</w:t>
      </w:r>
    </w:p>
    <w:p w14:paraId="6B838F9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最低评标价法，是指响应文件满足谈判文件全部实质性要求且最后报价最低的供应商为成交候选人的评标方法。</w:t>
      </w:r>
    </w:p>
    <w:p w14:paraId="0862BF8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14.3谈判小组将按照谈判文件规定的评审方法和标准对供应商独立进行评审。评审程序如下：</w:t>
      </w:r>
    </w:p>
    <w:p w14:paraId="4224439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14.3.1</w:t>
      </w:r>
      <w:r>
        <w:rPr>
          <w:rFonts w:hint="eastAsia" w:ascii="宋体" w:hAnsi="宋体" w:eastAsia="宋体" w:cs="Times New Roman"/>
          <w:b/>
          <w:bCs/>
          <w:color w:val="auto"/>
          <w:sz w:val="24"/>
          <w:highlight w:val="none"/>
          <w:lang w:val="en-US" w:eastAsia="zh-CN"/>
        </w:rPr>
        <w:t>初审</w:t>
      </w:r>
      <w:r>
        <w:rPr>
          <w:rFonts w:hint="eastAsia" w:ascii="宋体" w:hAnsi="宋体" w:eastAsia="宋体" w:cs="Times New Roman"/>
          <w:color w:val="auto"/>
          <w:sz w:val="24"/>
          <w:highlight w:val="none"/>
          <w:lang w:val="en-US" w:eastAsia="zh-CN"/>
        </w:rPr>
        <w:t>。谈判小组对供应商必须满足和实质性响应的内容进行评审，供应商未实质性响应谈判文件要求导致响应无效的，谈判小组将以书面询标的方式告知有关供应商。</w:t>
      </w:r>
    </w:p>
    <w:p w14:paraId="1F0A87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采购人或采购代理机构将在响应文件提交截止时间后至评审结束前通过“信用中国”网站(www.creditchina.gov.cn)、中国政府采购网(www.ccgp.gov.cn)查询相关供应商信用记录，并对供应商信用记录进行甄别，对列入“信用中国”网站(www.creditchina.gov.cn)失信被执行人名单、重大税收违法失信主体名单、中国政府采购网(www.ccgp.gov.cn)政府采购严重违法失信行为记录名单及其他不符合《中华人民共和国政府采购法》第二十二条规定条件的供应商，其响应文件将被认定为响应无效。</w:t>
      </w:r>
    </w:p>
    <w:p w14:paraId="738BB10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以联合体形式参加谈判的，联合体成员存在以上不良信用记录的，联合体谈判将被认定为响应无效。</w:t>
      </w:r>
    </w:p>
    <w:p w14:paraId="5F7D8AE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上信用查询记录，采购人或采购代理机构将下载查询结果页面后与其他采购文件一并保存。供应商不良信用记录以采购人或采购代理机构查询结果为准。在本采购文件规定的查询时间之外，网站信息发生的任何变更均不作为初审依据。供应商自行提供的与网站信息不一致的其他证明材料亦不作为初审依据。</w:t>
      </w:r>
    </w:p>
    <w:p w14:paraId="2BA384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14.3.2</w:t>
      </w:r>
      <w:r>
        <w:rPr>
          <w:rFonts w:hint="eastAsia" w:ascii="宋体" w:hAnsi="宋体" w:eastAsia="宋体" w:cs="Times New Roman"/>
          <w:b/>
          <w:bCs/>
          <w:color w:val="auto"/>
          <w:sz w:val="24"/>
          <w:highlight w:val="none"/>
          <w:lang w:val="en-US" w:eastAsia="zh-CN"/>
        </w:rPr>
        <w:t>谈判</w:t>
      </w:r>
      <w:r>
        <w:rPr>
          <w:rFonts w:hint="eastAsia" w:ascii="宋体" w:hAnsi="宋体" w:eastAsia="宋体" w:cs="Times New Roman"/>
          <w:color w:val="auto"/>
          <w:sz w:val="24"/>
          <w:highlight w:val="none"/>
          <w:lang w:val="en-US" w:eastAsia="zh-CN"/>
        </w:rPr>
        <w:t>。初审合格后，谈判小组将与单一供应商分别进行谈判，并给予所有参加谈判的供应商平等的谈判机会。</w:t>
      </w:r>
    </w:p>
    <w:p w14:paraId="5608CB7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14.3.3</w:t>
      </w:r>
      <w:r>
        <w:rPr>
          <w:rFonts w:hint="eastAsia" w:ascii="宋体" w:hAnsi="宋体" w:eastAsia="宋体" w:cs="Times New Roman"/>
          <w:b/>
          <w:bCs/>
          <w:color w:val="auto"/>
          <w:sz w:val="24"/>
          <w:highlight w:val="none"/>
          <w:lang w:val="en-US" w:eastAsia="zh-CN"/>
        </w:rPr>
        <w:t>报价</w:t>
      </w:r>
      <w:r>
        <w:rPr>
          <w:rFonts w:hint="eastAsia" w:ascii="宋体" w:hAnsi="宋体" w:eastAsia="宋体" w:cs="Times New Roman"/>
          <w:color w:val="auto"/>
          <w:sz w:val="24"/>
          <w:highlight w:val="none"/>
          <w:lang w:val="en-US" w:eastAsia="zh-CN"/>
        </w:rPr>
        <w:t>。谈判结束后，谈判小组应当要求所有继续参加谈判的供应商在规定时间内提交最后报价。如供应商未在规定时间内（30分钟内）提交最后报价，则视为供应商自愿退出谈判。</w:t>
      </w:r>
    </w:p>
    <w:p w14:paraId="26C9810D">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14.3.4</w:t>
      </w:r>
      <w:r>
        <w:rPr>
          <w:rFonts w:hint="eastAsia" w:ascii="宋体" w:hAnsi="宋体" w:eastAsia="宋体" w:cs="Times New Roman"/>
          <w:b/>
          <w:bCs/>
          <w:color w:val="auto"/>
          <w:sz w:val="24"/>
          <w:highlight w:val="none"/>
          <w:lang w:val="en-US" w:eastAsia="zh-CN"/>
        </w:rPr>
        <w:t>异常低价响应审查。根据《关于推进解决政府采购异常低价问题的通知》（财库〔2026〕2号），谈判小组进行异常低价响应审查。</w:t>
      </w:r>
    </w:p>
    <w:p w14:paraId="4562232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14.4相关说明。</w:t>
      </w:r>
    </w:p>
    <w:p w14:paraId="3AD3A8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14.4.1为保证谈判活动顺利进行，供应商可派相关技术人员进行现场答疑。</w:t>
      </w:r>
    </w:p>
    <w:p w14:paraId="70EC8D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14.4.2谈判小组根据与供应商谈判情况可能实质性变动谈判文件的内容，包括采购需求中的技术、服务要求以及合同草案条款。谈判文件有实质性变动的，经采购人代表确认作为谈判文件的有效组成部分，谈判小组将以书面形式通知所有参加谈判的供应商。</w:t>
      </w:r>
    </w:p>
    <w:p w14:paraId="5586BB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14.4.3谈判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378D0F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14.4.4无论何种原因，即使供应商谈判时携带了证书材料的原件，但响应文件中未提供与之内容完全一致的扫描件的，谈判小组可以视同其未提供。</w:t>
      </w:r>
    </w:p>
    <w:p w14:paraId="5055F4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14.4.5谈判小组决定响应文件的响应性及符合性只根据响应文件本身的内容，而不寻求其他外部证据。</w:t>
      </w:r>
    </w:p>
    <w:p w14:paraId="65539C3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14.5供应商授权代表对谈判过程有疑义，以及认为采购人、采购代理机构相关工作人员有需要回避的情形的，应当场提出询问或者回避申请，并说明理由。</w:t>
      </w:r>
    </w:p>
    <w:p w14:paraId="2F63E23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15.终止竞争性谈判</w:t>
      </w:r>
    </w:p>
    <w:p w14:paraId="5E29EEB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15.1出现下列情况之一时，采购人和采购代理机构有权宣布终止竞争性谈判采购，并将理由通知所有供应商：</w:t>
      </w:r>
    </w:p>
    <w:p w14:paraId="60D48D7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（1）有效供应商数量不足，导致本次谈判缺乏竞争的；</w:t>
      </w:r>
    </w:p>
    <w:p w14:paraId="4DA98F1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（2）出现影响采购公正的违法、违规行为的；</w:t>
      </w:r>
    </w:p>
    <w:p w14:paraId="254F1BC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（3）因重大变故，采购任务取消的；</w:t>
      </w:r>
    </w:p>
    <w:p w14:paraId="1F9DFE4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（4）政府采购法律法规规定的其他情形。</w:t>
      </w:r>
    </w:p>
    <w:p w14:paraId="5D5658AD">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16.响应文件的澄清、说明或更正</w:t>
      </w:r>
    </w:p>
    <w:p w14:paraId="04037D2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50D6C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16.2谈判小组要求供应商澄清、说明或者更正响应文件应当以书面形式（询标）作出。供应商的澄清、说明或者更正应当由法定代表人或其授权代表签字或者加盖公章。</w:t>
      </w:r>
    </w:p>
    <w:p w14:paraId="17A40863">
      <w:pPr>
        <w:pageBreakBefore w:val="0"/>
        <w:kinsoku/>
        <w:wordWrap/>
        <w:overflowPunct/>
        <w:topLinePunct w:val="0"/>
        <w:bidi w:val="0"/>
        <w:snapToGrid w:val="0"/>
        <w:spacing w:beforeAutospacing="0" w:afterAutospacing="0" w:line="500" w:lineRule="exact"/>
        <w:ind w:firstLine="241" w:firstLineChars="1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48E7B59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17.最后报价</w:t>
      </w:r>
    </w:p>
    <w:p w14:paraId="5EB59CE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17.1谈判并不限定只进行二轮报价，如果谈判小组认为有必要，可以要求供应商进行多轮报价。</w:t>
      </w:r>
    </w:p>
    <w:p w14:paraId="719EFD7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17.2在谈判内容不做实质性变更或重大调整的前提下，供应商下轮报价不得高于上一轮报价。</w:t>
      </w:r>
    </w:p>
    <w:p w14:paraId="6E3BE18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17.3最后报价是供应商响应文件的有效组成部分，最后报价也是签订合同的依据。</w:t>
      </w:r>
    </w:p>
    <w:p w14:paraId="33E0DB4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18.成交候选人的推荐原则及标准</w:t>
      </w:r>
    </w:p>
    <w:p w14:paraId="42A93BD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18.1谈判小组依据本项目谈判文件所约定的评审方法和标准，按照最后报价由低到高的顺序依次推荐成交候选人。最后报价相同的，则由谈判小组采取随机抽取方式确定。</w:t>
      </w:r>
    </w:p>
    <w:p w14:paraId="092B46A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19.确定成交候选人和成交供应商</w:t>
      </w:r>
    </w:p>
    <w:p w14:paraId="29D60B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19.1谈判小组按照最后报价由低到高的顺序和供应商须知前附表中规定确定成交候选人，并标明排列顺序。按供应商须知前附表中规定，由谈判小组或采购人确定成交供应商。</w:t>
      </w:r>
    </w:p>
    <w:p w14:paraId="71229C7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20.编写评审报告</w:t>
      </w:r>
    </w:p>
    <w:p w14:paraId="2693A82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20.1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14:paraId="4479C70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21.保密要求</w:t>
      </w:r>
    </w:p>
    <w:p w14:paraId="2A2CEDF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21.1评审将在严格保密的情况下进行。</w:t>
      </w:r>
    </w:p>
    <w:p w14:paraId="4F85A3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21.2有关人员应当遵守评审工作纪律，不得泄露评审文件、评审情况和评审中获悉的国家秘密、商业秘密。</w:t>
      </w:r>
    </w:p>
    <w:p w14:paraId="150AE60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22.成交结果公告</w:t>
      </w:r>
    </w:p>
    <w:p w14:paraId="4FD790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22.1为体现“公开、公平、公正”的原则，谈判结束后，采购代理机构将在桐城师范高等专科学校官网和安庆市公共资源交易服务网“限额以下项目”上发布成交结果公告。</w:t>
      </w:r>
    </w:p>
    <w:p w14:paraId="68D564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22.2成交结果公告内容应当包括采购人及其委托的采购代理机构的名称、地址、联系方式，项目名称和项目编号，成交供应商名称、地址和成交金额，主要成交标的的名称、品牌（如有）、规格型号、数量、单价，成交结果公告期限、评审专家名单以及供应商须知前附表中约定进行公告的内容。</w:t>
      </w:r>
    </w:p>
    <w:p w14:paraId="315E763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23.成交通知书</w:t>
      </w:r>
    </w:p>
    <w:p w14:paraId="0709D03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23.1采购代理机构发布成交结果公告的同时以供应商须知前附表规定的形式向成交供应商发出成交通知书。</w:t>
      </w:r>
    </w:p>
    <w:p w14:paraId="1E90744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23.2成交通知书对采购人和成交供应商具有同等法律效力。成交通知书发出以后，采购人改变成交结果或者成交供应商放弃成交资格，应当承担相应的法律责任。</w:t>
      </w:r>
    </w:p>
    <w:p w14:paraId="4712008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23.3成交通知书是合同的组成部分。</w:t>
      </w:r>
    </w:p>
    <w:p w14:paraId="46932AAC">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24.告知谈判结果</w:t>
      </w:r>
    </w:p>
    <w:p w14:paraId="79B8FCF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24.1在公告成交结果的同时，采购代理机构同时以供应商须知前附表规定的形式告知未成交供应商本人的排序。</w:t>
      </w:r>
    </w:p>
    <w:p w14:paraId="7A07E4D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24.2采购代理机构对未成交的供应商不做未成交原因的解释。</w:t>
      </w:r>
    </w:p>
    <w:p w14:paraId="4CEBA475">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25.履约保证金</w:t>
      </w:r>
    </w:p>
    <w:p w14:paraId="7015E3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25.1成交供应商应按照供应商须知前附表规定缴纳履约保证金。</w:t>
      </w:r>
    </w:p>
    <w:p w14:paraId="2C1CD49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25.2如果成交供应商没有按照上述履约保证金的规定执行，将视为放弃成交资格。在此情况下，采购人可确定下一成交候选人为成交供应商，也可以重新开展采购活动。</w:t>
      </w:r>
    </w:p>
    <w:p w14:paraId="02B218C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26.代理费用</w:t>
      </w:r>
    </w:p>
    <w:p w14:paraId="6CB914B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26.1本项目代理费用的收取按供应商须知前附表的规定执行。</w:t>
      </w:r>
    </w:p>
    <w:p w14:paraId="456F33E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27.签订合同</w:t>
      </w:r>
    </w:p>
    <w:p w14:paraId="226E25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27.1采购人与成交供应商应当按照供应商须知前附表规定的时间内完成政府采购合同签订及合同公告。</w:t>
      </w:r>
    </w:p>
    <w:p w14:paraId="0AC727D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27.2谈判文件、成交供应商的响应文件及其澄清文件等，均为签订合同的依据。</w:t>
      </w:r>
    </w:p>
    <w:p w14:paraId="170A95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27.3 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14:paraId="4DE9F8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28.廉洁自律规定</w:t>
      </w:r>
    </w:p>
    <w:p w14:paraId="5A14A57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28.1采购代理机构工作人员不得以不正当手段获取政府采购代理业务，不得与采购人、供应商恶意串通。</w:t>
      </w:r>
    </w:p>
    <w:p w14:paraId="47E94F1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28.2采购代理机构工作人员不得接受采购人或者供应商组织的宴请、旅游、娱乐，不得收受礼品、现金、有价证券等，不得向采购人或者供应商报销应当由个人承担的费用。</w:t>
      </w:r>
    </w:p>
    <w:p w14:paraId="7F2F104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29.质疑的提出与接收</w:t>
      </w:r>
    </w:p>
    <w:p w14:paraId="0D40443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29.1供应商认为谈判文件、采购过程和成交结果使自己的权益受到损害的，可以在知道或者应知其权益受到损害之日起七个工作日内，以书面形式向采购人或其委托的采购代理机构提出质疑。</w:t>
      </w:r>
    </w:p>
    <w:p w14:paraId="0A44BE2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29.2质疑供应商应按照财政部制定的《政府采购质疑函范本》格式和《政府采购质疑和投诉办法》的要求，在法定质疑期内以书面形式提出质疑，超出法定质疑期提交的质疑将被拒绝。针对同一采购程序环节的质疑应一次性提出。</w:t>
      </w:r>
    </w:p>
    <w:p w14:paraId="38FB1E1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29.3采购代理机构质疑函接收部门、联系电话和通讯地址，见供应商须知前附表。</w:t>
      </w:r>
    </w:p>
    <w:p w14:paraId="4E139FF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30.需要补充的其他内容</w:t>
      </w:r>
    </w:p>
    <w:p w14:paraId="7C2E2DA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需要补充的其他内容，见供应商须知前附表。</w:t>
      </w:r>
    </w:p>
    <w:p w14:paraId="6B85ACF8">
      <w:pPr>
        <w:spacing w:beforeAutospacing="0" w:line="360" w:lineRule="auto"/>
        <w:outlineLvl w:val="2"/>
        <w:rPr>
          <w:rFonts w:hint="default"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31.备注</w:t>
      </w:r>
    </w:p>
    <w:p w14:paraId="1EFDFFD1">
      <w:pPr>
        <w:spacing w:line="360" w:lineRule="auto"/>
        <w:ind w:firstLine="240" w:firstLineChars="100"/>
        <w:rPr>
          <w:rFonts w:hint="default" w:ascii="宋体" w:hAnsi="宋体" w:eastAsia="宋体" w:cs="Times New Roman"/>
          <w:color w:val="auto"/>
          <w:sz w:val="24"/>
          <w:highlight w:val="none"/>
          <w:lang w:val="en-US" w:eastAsia="zh-CN"/>
        </w:rPr>
        <w:sectPr>
          <w:footerReference r:id="rId9" w:type="default"/>
          <w:pgSz w:w="11906" w:h="16838"/>
          <w:pgMar w:top="1418" w:right="1418" w:bottom="1276" w:left="1418" w:header="680" w:footer="680"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宋体" w:hAnsi="宋体" w:eastAsia="宋体" w:cs="Times New Roman"/>
          <w:color w:val="auto"/>
          <w:sz w:val="24"/>
          <w:highlight w:val="none"/>
          <w:lang w:val="en-US" w:eastAsia="zh-CN"/>
        </w:rPr>
        <w:t>本谈判文件第五章合同格式内容以供参考，具体合同内容以采购人与成交供应商所签订的合同为准</w:t>
      </w:r>
      <w:r>
        <w:rPr>
          <w:rFonts w:hint="eastAsia" w:ascii="宋体" w:hAnsi="宋体" w:cs="Times New Roman"/>
          <w:color w:val="auto"/>
          <w:sz w:val="24"/>
          <w:highlight w:val="none"/>
          <w:lang w:val="en-US" w:eastAsia="zh-CN"/>
        </w:rPr>
        <w:t>。</w:t>
      </w:r>
    </w:p>
    <w:bookmarkEnd w:id="42"/>
    <w:bookmarkEnd w:id="43"/>
    <w:bookmarkEnd w:id="44"/>
    <w:bookmarkEnd w:id="45"/>
    <w:bookmarkEnd w:id="46"/>
    <w:bookmarkEnd w:id="47"/>
    <w:bookmarkEnd w:id="48"/>
    <w:p w14:paraId="1C9EA266">
      <w:pPr>
        <w:pStyle w:val="4"/>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bookmarkStart w:id="52" w:name="_Toc12353"/>
      <w:r>
        <w:rPr>
          <w:rFonts w:hint="eastAsia" w:ascii="宋体" w:hAnsi="宋体" w:eastAsia="宋体" w:cs="宋体"/>
          <w:b/>
          <w:bCs/>
          <w:color w:val="auto"/>
          <w:kern w:val="2"/>
          <w:sz w:val="36"/>
          <w:szCs w:val="36"/>
          <w:highlight w:val="none"/>
          <w:lang w:val="en-US" w:eastAsia="zh-CN"/>
        </w:rPr>
        <w:t>第三章 采购需求</w:t>
      </w:r>
      <w:bookmarkEnd w:id="52"/>
    </w:p>
    <w:p w14:paraId="053A50F9">
      <w:pPr>
        <w:spacing w:beforeAutospacing="0" w:line="360" w:lineRule="auto"/>
        <w:outlineLvl w:val="1"/>
        <w:rPr>
          <w:rFonts w:ascii="宋体" w:hAnsi="宋体" w:eastAsia="宋体"/>
          <w:b/>
          <w:color w:val="auto"/>
          <w:sz w:val="24"/>
          <w:szCs w:val="18"/>
          <w:highlight w:val="none"/>
        </w:rPr>
      </w:pPr>
      <w:bookmarkStart w:id="53" w:name="_Toc16371"/>
      <w:r>
        <w:rPr>
          <w:rFonts w:hint="eastAsia" w:ascii="宋体" w:hAnsi="宋体" w:eastAsia="宋体" w:cs="宋体"/>
          <w:b/>
          <w:bCs/>
          <w:sz w:val="24"/>
          <w:szCs w:val="24"/>
          <w:lang w:val="en-US" w:eastAsia="zh-CN" w:bidi="ar-SA"/>
        </w:rPr>
        <w:t>一、</w:t>
      </w:r>
      <w:r>
        <w:rPr>
          <w:rFonts w:hint="eastAsia" w:ascii="宋体" w:hAnsi="宋体" w:eastAsia="宋体"/>
          <w:b/>
          <w:color w:val="auto"/>
          <w:sz w:val="24"/>
          <w:szCs w:val="18"/>
          <w:highlight w:val="none"/>
        </w:rPr>
        <w:t>采购需求前附表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4"/>
        <w:gridCol w:w="2421"/>
        <w:gridCol w:w="5090"/>
      </w:tblGrid>
      <w:tr w14:paraId="75F8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53DE7C6">
            <w:pPr>
              <w:pStyle w:val="141"/>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421" w:type="pct"/>
            <w:vAlign w:val="center"/>
          </w:tcPr>
          <w:p w14:paraId="7B4B4AC5">
            <w:pPr>
              <w:pStyle w:val="1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2988" w:type="pct"/>
            <w:vAlign w:val="center"/>
          </w:tcPr>
          <w:p w14:paraId="04EE1D55">
            <w:pPr>
              <w:pStyle w:val="1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65B0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590" w:type="pct"/>
            <w:vAlign w:val="center"/>
          </w:tcPr>
          <w:p w14:paraId="73E480F7">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421" w:type="pct"/>
            <w:vAlign w:val="center"/>
          </w:tcPr>
          <w:p w14:paraId="157F9241">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2988" w:type="pct"/>
            <w:vAlign w:val="center"/>
          </w:tcPr>
          <w:p w14:paraId="797C56CF">
            <w:pPr>
              <w:pStyle w:val="145"/>
              <w:widowControl w:val="0"/>
              <w:spacing w:before="0" w:beforeAutospacing="0" w:after="0" w:afterAutospacing="0" w:line="360" w:lineRule="auto"/>
              <w:jc w:val="center"/>
              <w:rPr>
                <w:rFonts w:hint="eastAsia" w:ascii="宋体" w:hAnsi="宋体" w:eastAsia="宋体"/>
                <w:b w:val="0"/>
                <w:color w:val="auto"/>
                <w:sz w:val="24"/>
                <w:highlight w:val="none"/>
                <w:u w:val="single"/>
              </w:rPr>
            </w:pPr>
            <w:r>
              <w:rPr>
                <w:rFonts w:hint="eastAsia" w:ascii="宋体" w:hAnsi="宋体" w:eastAsia="宋体"/>
                <w:b w:val="0"/>
                <w:color w:val="auto"/>
                <w:sz w:val="24"/>
                <w:highlight w:val="none"/>
                <w:u w:val="none"/>
              </w:rPr>
              <w:t>完成本项目全部内容并验收合格后支付</w:t>
            </w:r>
          </w:p>
        </w:tc>
      </w:tr>
      <w:tr w14:paraId="1793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590" w:type="pct"/>
            <w:vAlign w:val="center"/>
          </w:tcPr>
          <w:p w14:paraId="20E95396">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421" w:type="pct"/>
            <w:vAlign w:val="center"/>
          </w:tcPr>
          <w:p w14:paraId="05D81890">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地点</w:t>
            </w:r>
          </w:p>
        </w:tc>
        <w:tc>
          <w:tcPr>
            <w:tcW w:w="2988" w:type="pct"/>
            <w:vAlign w:val="center"/>
          </w:tcPr>
          <w:p w14:paraId="6E190F26">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default" w:ascii="宋体" w:hAnsi="宋体" w:eastAsia="宋体"/>
                <w:b w:val="0"/>
                <w:color w:val="auto"/>
                <w:sz w:val="24"/>
                <w:highlight w:val="none"/>
                <w:lang w:val="en-US" w:eastAsia="zh-CN"/>
              </w:rPr>
              <w:t>桐城师范高等专科学校</w:t>
            </w:r>
          </w:p>
        </w:tc>
      </w:tr>
      <w:tr w14:paraId="1E6D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590" w:type="pct"/>
            <w:vAlign w:val="center"/>
          </w:tcPr>
          <w:p w14:paraId="12CDF8DB">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421" w:type="pct"/>
            <w:vAlign w:val="center"/>
          </w:tcPr>
          <w:p w14:paraId="1A2DAC67">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期限</w:t>
            </w:r>
          </w:p>
        </w:tc>
        <w:tc>
          <w:tcPr>
            <w:tcW w:w="2988" w:type="pct"/>
            <w:vAlign w:val="center"/>
          </w:tcPr>
          <w:p w14:paraId="727D0143">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default" w:ascii="宋体" w:hAnsi="宋体" w:eastAsia="宋体"/>
                <w:b w:val="0"/>
                <w:color w:val="auto"/>
                <w:sz w:val="24"/>
                <w:highlight w:val="none"/>
                <w:lang w:val="en-US" w:eastAsia="zh-CN"/>
              </w:rPr>
              <w:t>合同签订后</w:t>
            </w:r>
            <w:r>
              <w:rPr>
                <w:rFonts w:hint="eastAsia" w:ascii="宋体" w:hAnsi="宋体"/>
                <w:b w:val="0"/>
                <w:color w:val="auto"/>
                <w:sz w:val="24"/>
                <w:highlight w:val="none"/>
                <w:lang w:val="en-US" w:eastAsia="zh-CN"/>
              </w:rPr>
              <w:t>30</w:t>
            </w:r>
            <w:r>
              <w:rPr>
                <w:rFonts w:hint="default" w:ascii="宋体" w:hAnsi="宋体" w:eastAsia="宋体"/>
                <w:b w:val="0"/>
                <w:color w:val="auto"/>
                <w:sz w:val="24"/>
                <w:highlight w:val="none"/>
                <w:lang w:val="en-US" w:eastAsia="zh-CN"/>
              </w:rPr>
              <w:t>日历天</w:t>
            </w:r>
          </w:p>
        </w:tc>
      </w:tr>
      <w:tr w14:paraId="0F88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590" w:type="pct"/>
            <w:vAlign w:val="center"/>
          </w:tcPr>
          <w:p w14:paraId="4C920A03">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1421" w:type="pct"/>
            <w:vAlign w:val="center"/>
          </w:tcPr>
          <w:p w14:paraId="441C439F">
            <w:pPr>
              <w:pStyle w:val="145"/>
              <w:widowControl w:val="0"/>
              <w:spacing w:before="0" w:beforeAutospacing="0" w:after="0" w:afterAutospacing="0" w:line="360" w:lineRule="auto"/>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rPr>
              <w:t>免费</w:t>
            </w:r>
            <w:r>
              <w:rPr>
                <w:rFonts w:hint="eastAsia" w:ascii="宋体" w:hAnsi="宋体"/>
                <w:b w:val="0"/>
                <w:color w:val="auto"/>
                <w:sz w:val="24"/>
                <w:highlight w:val="none"/>
                <w:lang w:val="en-US" w:eastAsia="zh-CN"/>
              </w:rPr>
              <w:t>维护升级服务期</w:t>
            </w:r>
          </w:p>
        </w:tc>
        <w:tc>
          <w:tcPr>
            <w:tcW w:w="2988" w:type="pct"/>
            <w:vAlign w:val="center"/>
          </w:tcPr>
          <w:p w14:paraId="6A6D4347">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eastAsia" w:ascii="宋体" w:hAnsi="宋体"/>
                <w:b w:val="0"/>
                <w:color w:val="auto"/>
                <w:sz w:val="24"/>
                <w:highlight w:val="none"/>
                <w:lang w:val="en-US" w:eastAsia="zh-CN"/>
              </w:rPr>
              <w:t>3年</w:t>
            </w:r>
          </w:p>
        </w:tc>
      </w:tr>
    </w:tbl>
    <w:p w14:paraId="5B5BB8D0">
      <w:pPr>
        <w:spacing w:beforeAutospacing="0" w:line="360" w:lineRule="auto"/>
        <w:outlineLvl w:val="1"/>
        <w:rPr>
          <w:rFonts w:hint="eastAsia" w:ascii="宋体" w:hAnsi="宋体" w:eastAsia="宋体" w:cs="宋体"/>
          <w:b/>
          <w:bCs/>
          <w:sz w:val="24"/>
          <w:szCs w:val="24"/>
          <w:lang w:val="en-US" w:eastAsia="zh-CN" w:bidi="ar-SA"/>
        </w:rPr>
      </w:pPr>
    </w:p>
    <w:p w14:paraId="3EB9B7EC">
      <w:pPr>
        <w:spacing w:beforeAutospacing="0" w:line="360" w:lineRule="auto"/>
        <w:outlineLvl w:val="1"/>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二、采购内容</w:t>
      </w:r>
    </w:p>
    <w:tbl>
      <w:tblPr>
        <w:tblStyle w:val="41"/>
        <w:tblW w:w="11008" w:type="dxa"/>
        <w:tblInd w:w="-11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259"/>
        <w:gridCol w:w="7229"/>
        <w:gridCol w:w="906"/>
        <w:gridCol w:w="906"/>
      </w:tblGrid>
      <w:tr w14:paraId="1D10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708" w:type="dxa"/>
            <w:vAlign w:val="center"/>
          </w:tcPr>
          <w:p w14:paraId="7CF69BCB">
            <w:pPr>
              <w:jc w:val="center"/>
              <w:rPr>
                <w:rFonts w:ascii="宋体" w:hAnsi="宋体" w:eastAsia="宋体" w:cs="宋体"/>
                <w:sz w:val="21"/>
                <w:szCs w:val="21"/>
              </w:rPr>
            </w:pPr>
            <w:r>
              <w:rPr>
                <w:rFonts w:hint="eastAsia" w:ascii="宋体" w:hAnsi="宋体" w:eastAsia="宋体" w:cs="宋体"/>
                <w:sz w:val="21"/>
                <w:szCs w:val="21"/>
              </w:rPr>
              <w:t>序号</w:t>
            </w:r>
          </w:p>
        </w:tc>
        <w:tc>
          <w:tcPr>
            <w:tcW w:w="1259" w:type="dxa"/>
            <w:vAlign w:val="center"/>
          </w:tcPr>
          <w:p w14:paraId="593718E0">
            <w:pPr>
              <w:jc w:val="center"/>
              <w:rPr>
                <w:rFonts w:ascii="宋体" w:hAnsi="宋体" w:eastAsia="宋体" w:cs="宋体"/>
                <w:sz w:val="21"/>
                <w:szCs w:val="21"/>
              </w:rPr>
            </w:pPr>
            <w:r>
              <w:rPr>
                <w:rFonts w:hint="eastAsia" w:ascii="宋体" w:hAnsi="宋体" w:cs="宋体"/>
                <w:sz w:val="21"/>
                <w:szCs w:val="21"/>
                <w:lang w:val="en-US" w:eastAsia="zh-CN"/>
              </w:rPr>
              <w:t>产品</w:t>
            </w:r>
            <w:r>
              <w:rPr>
                <w:rFonts w:hint="eastAsia" w:ascii="宋体" w:hAnsi="宋体" w:eastAsia="宋体" w:cs="宋体"/>
                <w:sz w:val="21"/>
                <w:szCs w:val="21"/>
              </w:rPr>
              <w:t>名称</w:t>
            </w:r>
          </w:p>
        </w:tc>
        <w:tc>
          <w:tcPr>
            <w:tcW w:w="7229" w:type="dxa"/>
            <w:vAlign w:val="center"/>
          </w:tcPr>
          <w:p w14:paraId="41DB8B9E">
            <w:pPr>
              <w:jc w:val="center"/>
              <w:rPr>
                <w:rFonts w:ascii="宋体" w:hAnsi="宋体" w:eastAsia="宋体" w:cs="宋体"/>
                <w:sz w:val="21"/>
                <w:szCs w:val="21"/>
              </w:rPr>
            </w:pPr>
            <w:r>
              <w:rPr>
                <w:rFonts w:hint="eastAsia" w:ascii="宋体" w:hAnsi="宋体" w:cs="宋体"/>
                <w:sz w:val="21"/>
                <w:szCs w:val="21"/>
                <w:lang w:val="en-US" w:eastAsia="zh-CN"/>
              </w:rPr>
              <w:t>技术</w:t>
            </w:r>
            <w:r>
              <w:rPr>
                <w:rFonts w:hint="eastAsia" w:ascii="宋体" w:hAnsi="宋体" w:eastAsia="宋体" w:cs="宋体"/>
                <w:sz w:val="21"/>
                <w:szCs w:val="21"/>
              </w:rPr>
              <w:t>参数</w:t>
            </w:r>
          </w:p>
        </w:tc>
        <w:tc>
          <w:tcPr>
            <w:tcW w:w="906" w:type="dxa"/>
            <w:shd w:val="clear" w:color="auto" w:fill="auto"/>
            <w:vAlign w:val="center"/>
          </w:tcPr>
          <w:p w14:paraId="1C880823">
            <w:pPr>
              <w:tabs>
                <w:tab w:val="center" w:pos="628"/>
              </w:tabs>
              <w:jc w:val="center"/>
              <w:rPr>
                <w:rFonts w:hint="eastAsia" w:eastAsia="宋体"/>
                <w:sz w:val="21"/>
                <w:szCs w:val="21"/>
                <w:lang w:eastAsia="zh-CN"/>
              </w:rPr>
            </w:pPr>
            <w:r>
              <w:rPr>
                <w:rFonts w:hint="eastAsia" w:ascii="宋体" w:hAnsi="宋体" w:cs="宋体"/>
                <w:sz w:val="21"/>
                <w:szCs w:val="21"/>
                <w:lang w:val="en-US" w:eastAsia="zh-CN"/>
              </w:rPr>
              <w:t>单位</w:t>
            </w:r>
          </w:p>
        </w:tc>
        <w:tc>
          <w:tcPr>
            <w:tcW w:w="906" w:type="dxa"/>
            <w:shd w:val="clear" w:color="auto" w:fill="auto"/>
            <w:vAlign w:val="center"/>
          </w:tcPr>
          <w:p w14:paraId="2A85C5B1">
            <w:pPr>
              <w:tabs>
                <w:tab w:val="center" w:pos="628"/>
              </w:tabs>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数量</w:t>
            </w:r>
          </w:p>
        </w:tc>
      </w:tr>
      <w:tr w14:paraId="5E7C6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438F54A4">
            <w:pPr>
              <w:jc w:val="center"/>
              <w:rPr>
                <w:rFonts w:ascii="宋体" w:hAnsi="宋体" w:eastAsia="宋体" w:cs="宋体"/>
                <w:sz w:val="21"/>
                <w:szCs w:val="21"/>
              </w:rPr>
            </w:pPr>
            <w:r>
              <w:rPr>
                <w:rFonts w:hint="eastAsia" w:ascii="宋体" w:hAnsi="宋体" w:eastAsia="宋体" w:cs="宋体"/>
                <w:sz w:val="21"/>
                <w:szCs w:val="21"/>
              </w:rPr>
              <w:t>1</w:t>
            </w:r>
          </w:p>
        </w:tc>
        <w:tc>
          <w:tcPr>
            <w:tcW w:w="1259" w:type="dxa"/>
            <w:vAlign w:val="center"/>
          </w:tcPr>
          <w:p w14:paraId="05AB85C3">
            <w:pPr>
              <w:jc w:val="center"/>
              <w:rPr>
                <w:rFonts w:ascii="宋体" w:hAnsi="宋体" w:eastAsia="宋体" w:cs="宋体"/>
                <w:sz w:val="21"/>
                <w:szCs w:val="21"/>
              </w:rPr>
            </w:pPr>
            <w:r>
              <w:rPr>
                <w:rFonts w:hint="eastAsia" w:ascii="宋体" w:hAnsi="宋体" w:eastAsia="宋体" w:cs="宋体"/>
                <w:sz w:val="21"/>
                <w:szCs w:val="21"/>
              </w:rPr>
              <w:t>普通话模考与学习云平台</w:t>
            </w:r>
          </w:p>
        </w:tc>
        <w:tc>
          <w:tcPr>
            <w:tcW w:w="7229" w:type="dxa"/>
          </w:tcPr>
          <w:p w14:paraId="2FA5EB68">
            <w:pPr>
              <w:rPr>
                <w:rFonts w:ascii="宋体" w:hAnsi="宋体"/>
                <w:b/>
                <w:sz w:val="21"/>
                <w:szCs w:val="21"/>
              </w:rPr>
            </w:pPr>
            <w:r>
              <w:rPr>
                <w:rFonts w:hint="eastAsia" w:ascii="宋体" w:hAnsi="宋体"/>
                <w:b/>
                <w:sz w:val="21"/>
                <w:szCs w:val="21"/>
              </w:rPr>
              <w:t>模块一 中文语音评测引擎：</w:t>
            </w:r>
          </w:p>
          <w:p w14:paraId="21088FF9">
            <w:pPr>
              <w:rPr>
                <w:rFonts w:ascii="宋体" w:hAnsi="宋体"/>
                <w:sz w:val="21"/>
                <w:szCs w:val="21"/>
              </w:rPr>
            </w:pPr>
            <w:r>
              <w:rPr>
                <w:rFonts w:hint="eastAsia" w:ascii="宋体" w:hAnsi="宋体"/>
                <w:sz w:val="21"/>
                <w:szCs w:val="21"/>
              </w:rPr>
              <w:t>评测引擎通过国家教育部鉴定，可以实现对口语发音情况给出全面的诊断报告，并可以针对字、词等学习过程的实时评测及反馈指导，</w:t>
            </w:r>
            <w:r>
              <w:rPr>
                <w:rFonts w:ascii="宋体" w:hAnsi="宋体"/>
                <w:sz w:val="21"/>
                <w:szCs w:val="21"/>
              </w:rPr>
              <w:t>与PSC</w:t>
            </w:r>
            <w:r>
              <w:rPr>
                <w:rFonts w:hint="eastAsia" w:ascii="宋体" w:hAnsi="宋体"/>
                <w:sz w:val="21"/>
                <w:szCs w:val="21"/>
              </w:rPr>
              <w:t>考试</w:t>
            </w:r>
            <w:r>
              <w:rPr>
                <w:rFonts w:ascii="宋体" w:hAnsi="宋体"/>
                <w:sz w:val="21"/>
                <w:szCs w:val="21"/>
              </w:rPr>
              <w:t>大纲要求同步</w:t>
            </w:r>
            <w:r>
              <w:rPr>
                <w:rFonts w:hint="eastAsia" w:ascii="宋体" w:hAnsi="宋体"/>
                <w:sz w:val="21"/>
                <w:szCs w:val="21"/>
              </w:rPr>
              <w:t>。</w:t>
            </w:r>
          </w:p>
          <w:p w14:paraId="3E13AB3F">
            <w:pPr>
              <w:numPr>
                <w:ilvl w:val="0"/>
                <w:numId w:val="0"/>
              </w:numPr>
              <w:ind w:left="420" w:leftChars="0" w:hanging="420" w:firstLineChars="0"/>
              <w:rPr>
                <w:rFonts w:ascii="宋体" w:hAnsi="宋体"/>
                <w:sz w:val="21"/>
                <w:szCs w:val="21"/>
              </w:rPr>
            </w:pPr>
            <w:r>
              <w:rPr>
                <w:rFonts w:hint="default" w:ascii="Wingdings" w:hAnsi="Wingdings"/>
                <w:color w:val="808080"/>
                <w:kern w:val="2"/>
                <w:sz w:val="21"/>
                <w:szCs w:val="21"/>
                <w:lang w:val="en-US" w:eastAsia="zh-CN" w:bidi="ar-SA"/>
              </w:rPr>
              <w:t></w:t>
            </w:r>
            <w:r>
              <w:rPr>
                <w:rFonts w:hint="eastAsia" w:ascii="宋体" w:hAnsi="宋体"/>
                <w:sz w:val="21"/>
                <w:szCs w:val="21"/>
              </w:rPr>
              <w:t>支持中文字、词、句、篇4种朗读题型自动评分；</w:t>
            </w:r>
          </w:p>
          <w:p w14:paraId="2AC2A42A">
            <w:pPr>
              <w:numPr>
                <w:ilvl w:val="0"/>
                <w:numId w:val="0"/>
              </w:numPr>
              <w:ind w:left="420" w:leftChars="0" w:hanging="420" w:firstLineChars="0"/>
              <w:rPr>
                <w:rFonts w:ascii="宋体" w:hAnsi="宋体"/>
                <w:sz w:val="21"/>
                <w:szCs w:val="21"/>
              </w:rPr>
            </w:pPr>
            <w:r>
              <w:rPr>
                <w:rFonts w:hint="default" w:ascii="Wingdings" w:hAnsi="Wingdings"/>
                <w:color w:val="808080"/>
                <w:kern w:val="2"/>
                <w:sz w:val="21"/>
                <w:szCs w:val="21"/>
                <w:lang w:val="en-US" w:eastAsia="zh-CN" w:bidi="ar-SA"/>
              </w:rPr>
              <w:t></w:t>
            </w:r>
            <w:r>
              <w:rPr>
                <w:rFonts w:hint="eastAsia" w:ascii="宋体" w:hAnsi="宋体"/>
                <w:sz w:val="21"/>
                <w:szCs w:val="21"/>
              </w:rPr>
              <w:t>支持多维度评价：包括：语音声母、韵母、声调三个维度评价、综合分以及字词句中发音的声韵调检错结果。</w:t>
            </w:r>
          </w:p>
          <w:p w14:paraId="78366125">
            <w:pPr>
              <w:rPr>
                <w:rFonts w:ascii="宋体" w:hAnsi="宋体"/>
                <w:b/>
                <w:sz w:val="21"/>
                <w:szCs w:val="21"/>
              </w:rPr>
            </w:pPr>
            <w:r>
              <w:rPr>
                <w:rFonts w:hint="eastAsia" w:ascii="宋体" w:hAnsi="宋体"/>
                <w:b/>
                <w:sz w:val="21"/>
                <w:szCs w:val="21"/>
              </w:rPr>
              <w:t>模块二 语音合成引擎：</w:t>
            </w:r>
          </w:p>
          <w:p w14:paraId="573D0366">
            <w:pPr>
              <w:rPr>
                <w:rFonts w:ascii="宋体" w:hAnsi="宋体"/>
                <w:sz w:val="21"/>
                <w:szCs w:val="21"/>
              </w:rPr>
            </w:pPr>
            <w:r>
              <w:rPr>
                <w:rFonts w:hint="eastAsia" w:ascii="宋体" w:hAnsi="宋体"/>
                <w:sz w:val="21"/>
                <w:szCs w:val="21"/>
              </w:rPr>
              <w:t>实现学习过程中文本信息自动转化成标准流畅的语音，并支持教育行业标准播音员音库，实现示范音朗读供学员进行跟读练习。</w:t>
            </w:r>
          </w:p>
          <w:p w14:paraId="7299D47E">
            <w:pPr>
              <w:rPr>
                <w:rFonts w:ascii="宋体" w:hAnsi="宋体"/>
                <w:b/>
                <w:sz w:val="21"/>
                <w:szCs w:val="21"/>
              </w:rPr>
            </w:pPr>
            <w:r>
              <w:rPr>
                <w:rFonts w:hint="eastAsia" w:ascii="宋体" w:hAnsi="宋体"/>
                <w:b/>
                <w:sz w:val="21"/>
                <w:szCs w:val="21"/>
              </w:rPr>
              <w:t>模块三 语料搜索引擎：</w:t>
            </w:r>
          </w:p>
          <w:p w14:paraId="0517A2A9">
            <w:pPr>
              <w:rPr>
                <w:rFonts w:ascii="宋体" w:hAnsi="宋体"/>
                <w:sz w:val="21"/>
                <w:szCs w:val="21"/>
              </w:rPr>
            </w:pPr>
            <w:r>
              <w:rPr>
                <w:rFonts w:hint="eastAsia" w:ascii="宋体" w:hAnsi="宋体"/>
                <w:sz w:val="21"/>
                <w:szCs w:val="21"/>
              </w:rPr>
              <w:t>针对用户发音缺陷，自动搜索针对性的学习内容，针对不同学员不同发音问题提供定制化学习内容。</w:t>
            </w:r>
          </w:p>
          <w:p w14:paraId="60D7DE61">
            <w:pPr>
              <w:rPr>
                <w:rFonts w:ascii="宋体" w:hAnsi="宋体"/>
                <w:b/>
                <w:sz w:val="21"/>
                <w:szCs w:val="21"/>
              </w:rPr>
            </w:pPr>
            <w:r>
              <w:rPr>
                <w:rFonts w:hint="eastAsia" w:ascii="宋体" w:hAnsi="宋体"/>
                <w:b/>
                <w:sz w:val="21"/>
                <w:szCs w:val="21"/>
              </w:rPr>
              <w:t>模块四  语料库：</w:t>
            </w:r>
          </w:p>
          <w:p w14:paraId="0E972F09">
            <w:pPr>
              <w:numPr>
                <w:ilvl w:val="0"/>
                <w:numId w:val="0"/>
              </w:numPr>
              <w:ind w:left="420" w:leftChars="0" w:hanging="420" w:firstLineChars="0"/>
              <w:rPr>
                <w:rFonts w:ascii="宋体" w:hAnsi="宋体"/>
                <w:sz w:val="21"/>
                <w:szCs w:val="21"/>
              </w:rPr>
            </w:pPr>
            <w:r>
              <w:rPr>
                <w:rFonts w:hint="default" w:ascii="Wingdings" w:hAnsi="Wingdings"/>
                <w:kern w:val="2"/>
                <w:sz w:val="21"/>
                <w:szCs w:val="21"/>
                <w:lang w:val="en-US" w:eastAsia="zh-CN" w:bidi="ar-SA"/>
              </w:rPr>
              <w:t></w:t>
            </w:r>
            <w:r>
              <w:rPr>
                <w:rFonts w:hint="eastAsia" w:ascii="宋体" w:hAnsi="宋体"/>
                <w:sz w:val="21"/>
                <w:szCs w:val="21"/>
              </w:rPr>
              <w:t>提供常用词语（词表）、短文及模拟测试试题资源，来源于普通话水平测试国家指导用书《普通话水平测试实施纲要》。</w:t>
            </w:r>
          </w:p>
          <w:p w14:paraId="42D5390A">
            <w:pPr>
              <w:numPr>
                <w:ilvl w:val="0"/>
                <w:numId w:val="0"/>
              </w:numPr>
              <w:ind w:left="420" w:leftChars="0" w:hanging="420" w:firstLineChars="0"/>
              <w:rPr>
                <w:rFonts w:ascii="宋体" w:hAnsi="宋体"/>
                <w:sz w:val="21"/>
                <w:szCs w:val="21"/>
              </w:rPr>
            </w:pPr>
            <w:r>
              <w:rPr>
                <w:rFonts w:hint="default" w:ascii="Wingdings" w:hAnsi="Wingdings"/>
                <w:kern w:val="2"/>
                <w:sz w:val="21"/>
                <w:szCs w:val="21"/>
                <w:lang w:val="en-US" w:eastAsia="zh-CN" w:bidi="ar-SA"/>
              </w:rPr>
              <w:t></w:t>
            </w:r>
            <w:r>
              <w:rPr>
                <w:rFonts w:hint="eastAsia" w:ascii="宋体" w:hAnsi="宋体"/>
                <w:sz w:val="21"/>
                <w:szCs w:val="21"/>
              </w:rPr>
              <w:t>对于系统内的所有字、词、短文，提供标准语音资源库，资源均属于国家普通话水平测试范围。</w:t>
            </w:r>
          </w:p>
          <w:p w14:paraId="14C66542">
            <w:pPr>
              <w:rPr>
                <w:rFonts w:ascii="宋体" w:hAnsi="宋体"/>
                <w:b/>
                <w:sz w:val="21"/>
                <w:szCs w:val="21"/>
              </w:rPr>
            </w:pPr>
            <w:r>
              <w:rPr>
                <w:rFonts w:hint="eastAsia" w:ascii="宋体" w:hAnsi="宋体"/>
                <w:b/>
                <w:sz w:val="21"/>
                <w:szCs w:val="21"/>
              </w:rPr>
              <w:t>模块五 普通话模拟测试模块：</w:t>
            </w:r>
          </w:p>
          <w:p w14:paraId="72B57268">
            <w:pPr>
              <w:rPr>
                <w:rFonts w:ascii="宋体" w:hAnsi="宋体"/>
                <w:sz w:val="21"/>
                <w:szCs w:val="21"/>
              </w:rPr>
            </w:pPr>
            <w:r>
              <w:rPr>
                <w:rFonts w:hint="eastAsia" w:ascii="宋体" w:hAnsi="宋体"/>
                <w:sz w:val="21"/>
                <w:szCs w:val="21"/>
              </w:rPr>
              <w:t>提供和国家正式普通话水平测试完全一致的全真模拟测试功能，学习者在国家规定计算机辅助普通话水平测试的时间限制内，计算机自动快速评测出学习者的普通话水平及发音存在的主要问题。</w:t>
            </w:r>
          </w:p>
          <w:p w14:paraId="663DBDB2">
            <w:pPr>
              <w:rPr>
                <w:rFonts w:ascii="宋体" w:hAnsi="宋体"/>
                <w:sz w:val="21"/>
                <w:szCs w:val="21"/>
              </w:rPr>
            </w:pPr>
            <w:r>
              <w:rPr>
                <w:rFonts w:hint="eastAsia" w:ascii="宋体" w:hAnsi="宋体"/>
                <w:sz w:val="21"/>
                <w:szCs w:val="21"/>
              </w:rPr>
              <w:t>同时需具有以下功能：（▲项</w:t>
            </w:r>
            <w:r>
              <w:rPr>
                <w:rFonts w:hint="eastAsia" w:ascii="宋体" w:hAnsi="宋体"/>
                <w:b/>
                <w:sz w:val="21"/>
                <w:szCs w:val="21"/>
              </w:rPr>
              <w:t>投标时</w:t>
            </w:r>
            <w:r>
              <w:rPr>
                <w:rFonts w:hint="eastAsia" w:ascii="宋体" w:hAnsi="宋体"/>
                <w:sz w:val="21"/>
                <w:szCs w:val="21"/>
              </w:rPr>
              <w:t xml:space="preserve">需提供截图佐证）  </w:t>
            </w:r>
          </w:p>
          <w:p w14:paraId="6F3C14BE">
            <w:pPr>
              <w:numPr>
                <w:ilvl w:val="0"/>
                <w:numId w:val="0"/>
              </w:numPr>
              <w:ind w:left="420" w:leftChars="0" w:hanging="420" w:firstLineChars="0"/>
              <w:rPr>
                <w:rFonts w:ascii="宋体" w:hAnsi="宋体"/>
                <w:sz w:val="21"/>
                <w:szCs w:val="21"/>
              </w:rPr>
            </w:pPr>
            <w:r>
              <w:rPr>
                <w:rFonts w:hint="default" w:ascii="Wingdings" w:hAnsi="Wingdings"/>
                <w:kern w:val="2"/>
                <w:sz w:val="21"/>
                <w:szCs w:val="21"/>
                <w:lang w:val="en-US" w:eastAsia="zh-CN" w:bidi="ar-SA"/>
              </w:rPr>
              <w:t></w:t>
            </w:r>
            <w:r>
              <w:rPr>
                <w:rFonts w:hint="eastAsia" w:ascii="宋体" w:hAnsi="宋体"/>
                <w:sz w:val="21"/>
                <w:szCs w:val="21"/>
              </w:rPr>
              <w:t>▲模拟测试功能：提供与国家普通话水平智能测试系统流程完全一致的模拟测试功能，考生可以依据界面提示自主完成模拟测试并可以随时终止测试。</w:t>
            </w:r>
          </w:p>
          <w:p w14:paraId="0EA951A9">
            <w:pPr>
              <w:numPr>
                <w:ilvl w:val="0"/>
                <w:numId w:val="0"/>
              </w:numPr>
              <w:ind w:left="420" w:leftChars="0" w:hanging="420" w:firstLineChars="0"/>
              <w:rPr>
                <w:rFonts w:ascii="宋体" w:hAnsi="宋体"/>
                <w:sz w:val="21"/>
                <w:szCs w:val="21"/>
              </w:rPr>
            </w:pPr>
            <w:r>
              <w:rPr>
                <w:rFonts w:hint="default" w:ascii="Wingdings" w:hAnsi="Wingdings"/>
                <w:kern w:val="2"/>
                <w:sz w:val="21"/>
                <w:szCs w:val="21"/>
                <w:lang w:val="en-US" w:eastAsia="zh-CN" w:bidi="ar-SA"/>
              </w:rPr>
              <w:t></w:t>
            </w:r>
            <w:r>
              <w:rPr>
                <w:rFonts w:hint="eastAsia" w:ascii="宋体" w:hAnsi="宋体"/>
                <w:sz w:val="21"/>
                <w:szCs w:val="21"/>
              </w:rPr>
              <w:t>▲测试报告功能：学生模拟测试结束后，系统自动提供测试诊断报告，诊断报告包括分数、等级的预测和学生在声、韵、调发音中存在的主要问题，并能够指出存在较大问题的字词。</w:t>
            </w:r>
          </w:p>
          <w:p w14:paraId="1015C953">
            <w:pPr>
              <w:numPr>
                <w:ilvl w:val="0"/>
                <w:numId w:val="0"/>
              </w:numPr>
              <w:ind w:left="420" w:leftChars="0" w:hanging="420" w:firstLineChars="0"/>
              <w:rPr>
                <w:rFonts w:ascii="宋体" w:hAnsi="宋体"/>
                <w:sz w:val="21"/>
                <w:szCs w:val="21"/>
              </w:rPr>
            </w:pPr>
            <w:r>
              <w:rPr>
                <w:rFonts w:hint="default" w:ascii="Wingdings" w:hAnsi="Wingdings"/>
                <w:kern w:val="2"/>
                <w:sz w:val="21"/>
                <w:szCs w:val="21"/>
                <w:lang w:val="en-US" w:eastAsia="zh-CN" w:bidi="ar-SA"/>
              </w:rPr>
              <w:t></w:t>
            </w:r>
            <w:r>
              <w:rPr>
                <w:rFonts w:hint="eastAsia" w:ascii="宋体" w:hAnsi="宋体"/>
                <w:sz w:val="21"/>
                <w:szCs w:val="21"/>
              </w:rPr>
              <w:t>▲测试记录功能：能够记录最近十次学生模拟测试情况，并能够绘制出折线图，反映学习进展趋势。</w:t>
            </w:r>
          </w:p>
          <w:p w14:paraId="54E8C760">
            <w:pPr>
              <w:rPr>
                <w:rFonts w:ascii="宋体" w:hAnsi="宋体"/>
                <w:b/>
                <w:sz w:val="21"/>
                <w:szCs w:val="21"/>
              </w:rPr>
            </w:pPr>
            <w:r>
              <w:rPr>
                <w:rFonts w:hint="eastAsia" w:ascii="宋体" w:hAnsi="宋体"/>
                <w:b/>
                <w:sz w:val="21"/>
                <w:szCs w:val="21"/>
              </w:rPr>
              <w:t>模块六  普通话学习模块：</w:t>
            </w:r>
          </w:p>
          <w:p w14:paraId="11723F0A">
            <w:pPr>
              <w:rPr>
                <w:rFonts w:ascii="宋体" w:hAnsi="宋体"/>
                <w:sz w:val="21"/>
                <w:szCs w:val="21"/>
              </w:rPr>
            </w:pPr>
            <w:r>
              <w:rPr>
                <w:rFonts w:hint="eastAsia" w:ascii="宋体" w:hAnsi="宋体"/>
                <w:sz w:val="21"/>
                <w:szCs w:val="21"/>
              </w:rPr>
              <w:t>系统提供标准的学习训练语料，学习者可以参照标准发音进行学习，在学习的过程中，系统能应能够实时评测学习者的学习效果，纠正存在的问题。在学习者在正式学习之间进行模拟测试基础上，系统应能够根据模拟测试结果自动提供针对性的学习语料，以便学习者针对性的进行训练。</w:t>
            </w:r>
          </w:p>
          <w:p w14:paraId="023948C2">
            <w:pPr>
              <w:rPr>
                <w:rFonts w:ascii="宋体" w:hAnsi="宋体"/>
                <w:b/>
                <w:sz w:val="21"/>
                <w:szCs w:val="21"/>
              </w:rPr>
            </w:pPr>
            <w:r>
              <w:rPr>
                <w:rFonts w:hint="eastAsia" w:ascii="宋体" w:hAnsi="宋体"/>
                <w:b/>
                <w:sz w:val="21"/>
                <w:szCs w:val="21"/>
              </w:rPr>
              <w:t>模块七  系统后台管理平台：</w:t>
            </w:r>
          </w:p>
          <w:p w14:paraId="4AC8B156">
            <w:pPr>
              <w:rPr>
                <w:rFonts w:ascii="宋体" w:hAnsi="宋体"/>
                <w:sz w:val="21"/>
                <w:szCs w:val="21"/>
              </w:rPr>
            </w:pPr>
            <w:r>
              <w:rPr>
                <w:rFonts w:hint="eastAsia" w:ascii="宋体" w:hAnsi="宋体"/>
                <w:sz w:val="21"/>
                <w:szCs w:val="21"/>
              </w:rPr>
              <w:t>系统支持多级用户分级管理方式，用户管理、信息发布、任务管理、数据统计分析、学生T</w:t>
            </w:r>
            <w:r>
              <w:rPr>
                <w:rFonts w:ascii="宋体" w:hAnsi="宋体"/>
                <w:sz w:val="21"/>
                <w:szCs w:val="21"/>
              </w:rPr>
              <w:t>OP100</w:t>
            </w:r>
            <w:r>
              <w:rPr>
                <w:rFonts w:hint="eastAsia" w:ascii="宋体" w:hAnsi="宋体"/>
                <w:sz w:val="21"/>
                <w:szCs w:val="21"/>
              </w:rPr>
              <w:t>排名等功能。</w:t>
            </w:r>
          </w:p>
          <w:p w14:paraId="6E8248DA">
            <w:pPr>
              <w:rPr>
                <w:rFonts w:ascii="宋体" w:hAnsi="宋体"/>
                <w:b/>
                <w:sz w:val="21"/>
                <w:szCs w:val="21"/>
              </w:rPr>
            </w:pPr>
            <w:r>
              <w:rPr>
                <w:rFonts w:hint="eastAsia" w:ascii="宋体" w:hAnsi="宋体"/>
                <w:b/>
                <w:sz w:val="21"/>
                <w:szCs w:val="21"/>
              </w:rPr>
              <w:t>模块八 客户端软件安装包：</w:t>
            </w:r>
          </w:p>
          <w:p w14:paraId="554086C7">
            <w:pPr>
              <w:rPr>
                <w:rFonts w:ascii="宋体" w:hAnsi="宋体"/>
                <w:sz w:val="21"/>
                <w:szCs w:val="21"/>
              </w:rPr>
            </w:pPr>
            <w:r>
              <w:rPr>
                <w:rFonts w:ascii="宋体" w:hAnsi="宋体"/>
                <w:sz w:val="21"/>
                <w:szCs w:val="21"/>
              </w:rPr>
              <w:t>客户端</w:t>
            </w:r>
            <w:r>
              <w:rPr>
                <w:rFonts w:hint="eastAsia" w:ascii="宋体" w:hAnsi="宋体"/>
                <w:sz w:val="21"/>
                <w:szCs w:val="21"/>
              </w:rPr>
              <w:t>：</w:t>
            </w:r>
            <w:r>
              <w:rPr>
                <w:rFonts w:ascii="宋体" w:hAnsi="宋体"/>
                <w:sz w:val="21"/>
                <w:szCs w:val="21"/>
              </w:rPr>
              <w:t>提供学员客户端</w:t>
            </w:r>
            <w:r>
              <w:rPr>
                <w:rFonts w:hint="eastAsia" w:ascii="宋体" w:hAnsi="宋体"/>
                <w:sz w:val="21"/>
                <w:szCs w:val="21"/>
              </w:rPr>
              <w:t>、</w:t>
            </w:r>
            <w:r>
              <w:rPr>
                <w:rFonts w:ascii="宋体" w:hAnsi="宋体"/>
                <w:sz w:val="21"/>
                <w:szCs w:val="21"/>
              </w:rPr>
              <w:t>及系统后台管理平台</w:t>
            </w:r>
          </w:p>
          <w:p w14:paraId="5A4471E6">
            <w:pPr>
              <w:rPr>
                <w:rFonts w:ascii="宋体" w:hAnsi="宋体"/>
                <w:sz w:val="21"/>
                <w:szCs w:val="21"/>
              </w:rPr>
            </w:pPr>
            <w:r>
              <w:rPr>
                <w:rFonts w:hint="eastAsia" w:ascii="宋体" w:hAnsi="宋体"/>
                <w:sz w:val="21"/>
                <w:szCs w:val="21"/>
              </w:rPr>
              <w:t>软件安装包交付方式：</w:t>
            </w:r>
          </w:p>
          <w:p w14:paraId="63D3BFDE">
            <w:pPr>
              <w:numPr>
                <w:ilvl w:val="0"/>
                <w:numId w:val="0"/>
              </w:numPr>
              <w:ind w:left="420" w:leftChars="0" w:hanging="420" w:firstLineChars="0"/>
              <w:rPr>
                <w:rFonts w:ascii="宋体" w:hAnsi="宋体"/>
                <w:sz w:val="21"/>
                <w:szCs w:val="21"/>
              </w:rPr>
            </w:pPr>
            <w:r>
              <w:rPr>
                <w:rFonts w:hint="default" w:ascii="Wingdings" w:hAnsi="Wingdings"/>
                <w:kern w:val="2"/>
                <w:sz w:val="21"/>
                <w:szCs w:val="21"/>
                <w:lang w:val="en-US" w:eastAsia="zh-CN" w:bidi="ar-SA"/>
              </w:rPr>
              <w:t></w:t>
            </w:r>
            <w:r>
              <w:rPr>
                <w:rFonts w:hint="eastAsia" w:ascii="宋体" w:hAnsi="宋体"/>
                <w:sz w:val="21"/>
                <w:szCs w:val="21"/>
              </w:rPr>
              <w:t>线上交付：客户端软件安装包可以提供下载安装以实现模拟测试和学习。</w:t>
            </w:r>
          </w:p>
          <w:p w14:paraId="56F762D8">
            <w:pPr>
              <w:rPr>
                <w:rFonts w:ascii="宋体" w:hAnsi="宋体"/>
                <w:sz w:val="21"/>
                <w:szCs w:val="21"/>
              </w:rPr>
            </w:pPr>
            <w:r>
              <w:rPr>
                <w:rFonts w:hint="eastAsia" w:ascii="宋体" w:hAnsi="宋体"/>
                <w:sz w:val="21"/>
                <w:szCs w:val="21"/>
              </w:rPr>
              <w:t>系统</w:t>
            </w:r>
            <w:r>
              <w:rPr>
                <w:rFonts w:ascii="宋体" w:hAnsi="宋体"/>
                <w:sz w:val="21"/>
                <w:szCs w:val="21"/>
              </w:rPr>
              <w:t>后台管理平台</w:t>
            </w:r>
            <w:r>
              <w:rPr>
                <w:rFonts w:hint="eastAsia" w:ascii="宋体" w:hAnsi="宋体"/>
                <w:sz w:val="21"/>
                <w:szCs w:val="21"/>
              </w:rPr>
              <w:t>:可使用任意电脑设备，直接访问管理后台地址，登录管理员账号即可使用。</w:t>
            </w:r>
          </w:p>
          <w:p w14:paraId="543250A3">
            <w:pPr>
              <w:rPr>
                <w:rFonts w:ascii="宋体" w:hAnsi="宋体"/>
                <w:b/>
                <w:sz w:val="21"/>
                <w:szCs w:val="21"/>
              </w:rPr>
            </w:pPr>
            <w:r>
              <w:rPr>
                <w:rFonts w:hint="eastAsia" w:ascii="宋体" w:hAnsi="宋体"/>
                <w:b/>
                <w:sz w:val="21"/>
                <w:szCs w:val="21"/>
              </w:rPr>
              <w:t>备注：</w:t>
            </w:r>
          </w:p>
          <w:p w14:paraId="777F43B4">
            <w:pPr>
              <w:numPr>
                <w:ilvl w:val="0"/>
                <w:numId w:val="0"/>
              </w:numPr>
              <w:rPr>
                <w:rFonts w:hint="eastAsia" w:ascii="宋体" w:hAnsi="宋体"/>
                <w:color w:val="FF0000"/>
                <w:sz w:val="21"/>
                <w:szCs w:val="21"/>
              </w:rPr>
            </w:pPr>
            <w:r>
              <w:rPr>
                <w:rFonts w:hint="eastAsia" w:ascii="宋体" w:hAnsi="宋体" w:eastAsia="宋体" w:cs="Times New Roman"/>
                <w:color w:val="auto"/>
                <w:sz w:val="21"/>
                <w:szCs w:val="21"/>
                <w:lang w:val="en-US" w:eastAsia="zh-CN" w:bidi="ar-SA"/>
              </w:rPr>
              <w:t>1、</w:t>
            </w:r>
            <w:r>
              <w:rPr>
                <w:rFonts w:hint="eastAsia" w:ascii="宋体" w:hAnsi="宋体"/>
                <w:sz w:val="21"/>
                <w:szCs w:val="21"/>
              </w:rPr>
              <w:t>本项目为学校已有的平台升级项目，为保证升级后的平台与原平台数据能够互联互通，</w:t>
            </w:r>
            <w:r>
              <w:rPr>
                <w:rFonts w:hint="eastAsia" w:ascii="宋体" w:hAnsi="宋体" w:cs="宋体"/>
                <w:color w:val="FF0000"/>
                <w:kern w:val="0"/>
                <w:sz w:val="21"/>
                <w:szCs w:val="21"/>
              </w:rPr>
              <w:t>采购人不承担任何费用</w:t>
            </w:r>
            <w:r>
              <w:rPr>
                <w:rFonts w:hint="eastAsia" w:ascii="宋体" w:hAnsi="宋体" w:cs="宋体"/>
                <w:color w:val="FF0000"/>
                <w:kern w:val="0"/>
                <w:sz w:val="21"/>
                <w:szCs w:val="21"/>
                <w:lang w:eastAsia="zh-CN"/>
              </w:rPr>
              <w:t>。</w:t>
            </w:r>
            <w:r>
              <w:rPr>
                <w:rFonts w:hint="eastAsia" w:ascii="宋体" w:hAnsi="宋体"/>
                <w:color w:val="FF0000"/>
                <w:sz w:val="21"/>
                <w:szCs w:val="21"/>
              </w:rPr>
              <w:t>投标人</w:t>
            </w:r>
            <w:r>
              <w:rPr>
                <w:rFonts w:hint="eastAsia" w:ascii="宋体" w:hAnsi="宋体"/>
                <w:b/>
                <w:color w:val="FF0000"/>
                <w:sz w:val="21"/>
                <w:szCs w:val="21"/>
              </w:rPr>
              <w:t>投标时</w:t>
            </w:r>
            <w:r>
              <w:rPr>
                <w:rFonts w:hint="eastAsia" w:ascii="宋体" w:hAnsi="宋体"/>
                <w:color w:val="FF0000"/>
                <w:sz w:val="21"/>
                <w:szCs w:val="21"/>
              </w:rPr>
              <w:t>需提供</w:t>
            </w:r>
            <w:r>
              <w:rPr>
                <w:rFonts w:hint="eastAsia" w:ascii="宋体" w:hAnsi="宋体" w:cs="宋体"/>
                <w:b/>
                <w:kern w:val="0"/>
                <w:sz w:val="21"/>
                <w:szCs w:val="21"/>
              </w:rPr>
              <w:t>投标时</w:t>
            </w:r>
            <w:r>
              <w:rPr>
                <w:rFonts w:hint="eastAsia" w:ascii="宋体" w:hAnsi="宋体" w:cs="宋体"/>
                <w:kern w:val="0"/>
                <w:sz w:val="21"/>
                <w:szCs w:val="21"/>
              </w:rPr>
              <w:t>需提供承诺书，格式自拟</w:t>
            </w:r>
            <w:r>
              <w:rPr>
                <w:rFonts w:hint="eastAsia" w:ascii="宋体" w:hAnsi="宋体"/>
                <w:color w:val="FF0000"/>
                <w:sz w:val="21"/>
                <w:szCs w:val="21"/>
              </w:rPr>
              <w:t>。</w:t>
            </w:r>
          </w:p>
          <w:p w14:paraId="13130AC6">
            <w:pPr>
              <w:numPr>
                <w:ilvl w:val="0"/>
                <w:numId w:val="0"/>
              </w:numPr>
              <w:rPr>
                <w:rFonts w:hint="eastAsia" w:ascii="宋体" w:hAnsi="宋体"/>
                <w:sz w:val="21"/>
                <w:szCs w:val="21"/>
              </w:rPr>
            </w:pPr>
            <w:r>
              <w:rPr>
                <w:rFonts w:hint="eastAsia" w:ascii="宋体" w:hAnsi="宋体"/>
                <w:sz w:val="21"/>
                <w:szCs w:val="21"/>
              </w:rPr>
              <w:t>2、</w:t>
            </w:r>
            <w:r>
              <w:rPr>
                <w:rFonts w:hint="eastAsia" w:ascii="宋体" w:hAnsi="宋体" w:cs="宋体"/>
                <w:kern w:val="0"/>
                <w:sz w:val="21"/>
                <w:szCs w:val="21"/>
              </w:rPr>
              <w:t>中标供应商在部署相关系统软件时，必须与学校现有普通话模考等相关系统软件无缝对接，采购人不承担任何费用（</w:t>
            </w:r>
            <w:r>
              <w:rPr>
                <w:rFonts w:hint="eastAsia" w:ascii="宋体" w:hAnsi="宋体" w:cs="宋体"/>
                <w:b/>
                <w:kern w:val="0"/>
                <w:sz w:val="21"/>
                <w:szCs w:val="21"/>
              </w:rPr>
              <w:t>投标时</w:t>
            </w:r>
            <w:r>
              <w:rPr>
                <w:rFonts w:hint="eastAsia" w:ascii="宋体" w:hAnsi="宋体" w:cs="宋体"/>
                <w:kern w:val="0"/>
                <w:sz w:val="21"/>
                <w:szCs w:val="21"/>
              </w:rPr>
              <w:t>需提供承诺书，格式自拟）。</w:t>
            </w:r>
          </w:p>
          <w:p w14:paraId="20C3EC5E">
            <w:pPr>
              <w:rPr>
                <w:rFonts w:ascii="宋体" w:hAnsi="宋体" w:cs="宋体"/>
                <w:kern w:val="0"/>
                <w:sz w:val="21"/>
                <w:szCs w:val="21"/>
              </w:rPr>
            </w:pPr>
            <w:r>
              <w:rPr>
                <w:rFonts w:ascii="宋体" w:hAnsi="宋体"/>
                <w:sz w:val="21"/>
                <w:szCs w:val="21"/>
              </w:rPr>
              <w:t>3</w:t>
            </w:r>
            <w:r>
              <w:rPr>
                <w:rFonts w:hint="eastAsia" w:ascii="宋体" w:hAnsi="宋体"/>
                <w:sz w:val="21"/>
                <w:szCs w:val="21"/>
              </w:rPr>
              <w:t>、</w:t>
            </w:r>
            <w:r>
              <w:rPr>
                <w:rFonts w:hint="eastAsia" w:ascii="宋体" w:hAnsi="宋体" w:cs="宋体"/>
                <w:kern w:val="0"/>
                <w:sz w:val="21"/>
                <w:szCs w:val="21"/>
              </w:rPr>
              <w:t>为保证软件正版化，</w:t>
            </w:r>
            <w:r>
              <w:rPr>
                <w:rFonts w:hint="eastAsia" w:ascii="宋体" w:hAnsi="宋体" w:cs="宋体"/>
                <w:b/>
                <w:kern w:val="0"/>
                <w:sz w:val="21"/>
                <w:szCs w:val="21"/>
              </w:rPr>
              <w:t>中标后签订合同前</w:t>
            </w:r>
            <w:r>
              <w:rPr>
                <w:rFonts w:hint="eastAsia" w:ascii="宋体" w:hAnsi="宋体"/>
                <w:sz w:val="21"/>
                <w:szCs w:val="21"/>
              </w:rPr>
              <w:t>需</w:t>
            </w:r>
            <w:r>
              <w:rPr>
                <w:rFonts w:hint="eastAsia" w:ascii="宋体" w:hAnsi="宋体" w:cs="宋体"/>
                <w:kern w:val="0"/>
                <w:sz w:val="21"/>
                <w:szCs w:val="21"/>
              </w:rPr>
              <w:t>提供中华人民共和国国家版权局颁发的相关证书或证明材料。</w:t>
            </w:r>
          </w:p>
          <w:p w14:paraId="46CF14D1">
            <w:pPr>
              <w:rPr>
                <w:rFonts w:ascii="宋体" w:hAnsi="宋体" w:cs="宋体"/>
                <w:kern w:val="0"/>
                <w:sz w:val="21"/>
                <w:szCs w:val="21"/>
              </w:rPr>
            </w:pPr>
            <w:r>
              <w:rPr>
                <w:rFonts w:ascii="宋体" w:hAnsi="宋体" w:cs="宋体"/>
                <w:kern w:val="0"/>
                <w:sz w:val="21"/>
                <w:szCs w:val="21"/>
              </w:rPr>
              <w:t>4</w:t>
            </w:r>
            <w:r>
              <w:rPr>
                <w:rFonts w:hint="eastAsia" w:ascii="宋体" w:hAnsi="宋体" w:cs="宋体"/>
                <w:kern w:val="0"/>
                <w:sz w:val="21"/>
                <w:szCs w:val="21"/>
              </w:rPr>
              <w:t>、所投的软件系统产品</w:t>
            </w:r>
            <w:r>
              <w:rPr>
                <w:rFonts w:hint="eastAsia" w:ascii="宋体" w:hAnsi="宋体" w:cs="宋体"/>
                <w:b/>
                <w:kern w:val="0"/>
                <w:sz w:val="21"/>
                <w:szCs w:val="21"/>
              </w:rPr>
              <w:t>中标后签订合同前</w:t>
            </w:r>
            <w:r>
              <w:rPr>
                <w:rFonts w:hint="eastAsia" w:ascii="宋体" w:hAnsi="宋体"/>
                <w:sz w:val="21"/>
                <w:szCs w:val="21"/>
              </w:rPr>
              <w:t>需</w:t>
            </w:r>
            <w:r>
              <w:rPr>
                <w:rFonts w:hint="eastAsia" w:ascii="宋体" w:hAnsi="宋体" w:cs="宋体"/>
                <w:kern w:val="0"/>
                <w:sz w:val="21"/>
                <w:szCs w:val="21"/>
              </w:rPr>
              <w:t>提供软件测试报告。</w:t>
            </w:r>
          </w:p>
          <w:p w14:paraId="52639FA1">
            <w:pPr>
              <w:spacing w:line="300" w:lineRule="exact"/>
              <w:rPr>
                <w:rFonts w:ascii="宋体" w:hAnsi="宋体" w:eastAsia="宋体" w:cs="宋体"/>
                <w:sz w:val="21"/>
                <w:szCs w:val="21"/>
              </w:rPr>
            </w:pPr>
            <w:r>
              <w:rPr>
                <w:rFonts w:ascii="宋体" w:hAnsi="宋体" w:cs="宋体"/>
                <w:kern w:val="0"/>
                <w:sz w:val="21"/>
                <w:szCs w:val="21"/>
              </w:rPr>
              <w:t>5</w:t>
            </w:r>
            <w:r>
              <w:rPr>
                <w:rFonts w:hint="eastAsia" w:ascii="宋体" w:hAnsi="宋体" w:cs="宋体"/>
                <w:kern w:val="0"/>
                <w:sz w:val="21"/>
                <w:szCs w:val="21"/>
              </w:rPr>
              <w:t>、所投的软件系统产品所采用的评测技术在全国普通话水平测试中广泛应用，通过此技术评测的普通话考生数量累计不少于600万人（</w:t>
            </w:r>
            <w:r>
              <w:rPr>
                <w:rFonts w:hint="eastAsia" w:ascii="宋体" w:hAnsi="宋体" w:cs="宋体"/>
                <w:b/>
                <w:kern w:val="0"/>
                <w:sz w:val="21"/>
                <w:szCs w:val="21"/>
              </w:rPr>
              <w:t>中标后签订合同前</w:t>
            </w:r>
            <w:r>
              <w:rPr>
                <w:rFonts w:hint="eastAsia" w:ascii="宋体" w:hAnsi="宋体" w:cs="宋体"/>
                <w:kern w:val="0"/>
                <w:sz w:val="21"/>
                <w:szCs w:val="21"/>
              </w:rPr>
              <w:t>需提供相关证明文件）。</w:t>
            </w:r>
          </w:p>
        </w:tc>
        <w:tc>
          <w:tcPr>
            <w:tcW w:w="906" w:type="dxa"/>
            <w:shd w:val="clear" w:color="auto" w:fill="auto"/>
            <w:vAlign w:val="center"/>
          </w:tcPr>
          <w:p w14:paraId="33F67ABB">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c>
          <w:tcPr>
            <w:tcW w:w="906" w:type="dxa"/>
            <w:shd w:val="clear" w:color="auto" w:fill="auto"/>
            <w:vAlign w:val="center"/>
          </w:tcPr>
          <w:p w14:paraId="718D69B0">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r>
      <w:tr w14:paraId="32AB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0ADB61AD">
            <w:pPr>
              <w:jc w:val="center"/>
              <w:rPr>
                <w:rFonts w:ascii="宋体" w:hAnsi="宋体" w:eastAsia="宋体" w:cs="宋体"/>
                <w:sz w:val="21"/>
                <w:szCs w:val="21"/>
              </w:rPr>
            </w:pPr>
            <w:r>
              <w:rPr>
                <w:rFonts w:hint="eastAsia" w:ascii="宋体" w:hAnsi="宋体" w:eastAsia="宋体" w:cs="宋体"/>
                <w:sz w:val="21"/>
                <w:szCs w:val="21"/>
              </w:rPr>
              <w:t>2</w:t>
            </w:r>
          </w:p>
        </w:tc>
        <w:tc>
          <w:tcPr>
            <w:tcW w:w="1259" w:type="dxa"/>
            <w:vAlign w:val="center"/>
          </w:tcPr>
          <w:p w14:paraId="0E343DBB">
            <w:pPr>
              <w:jc w:val="center"/>
              <w:rPr>
                <w:rFonts w:ascii="宋体" w:hAnsi="宋体" w:eastAsia="宋体" w:cs="宋体"/>
                <w:sz w:val="21"/>
                <w:szCs w:val="21"/>
              </w:rPr>
            </w:pPr>
            <w:r>
              <w:rPr>
                <w:rFonts w:hint="eastAsia" w:ascii="宋体" w:hAnsi="宋体" w:eastAsia="宋体" w:cs="宋体"/>
                <w:sz w:val="21"/>
                <w:szCs w:val="21"/>
              </w:rPr>
              <w:t>投影仪</w:t>
            </w:r>
          </w:p>
        </w:tc>
        <w:tc>
          <w:tcPr>
            <w:tcW w:w="7229" w:type="dxa"/>
            <w:vAlign w:val="center"/>
          </w:tcPr>
          <w:p w14:paraId="0604571A">
            <w:pPr>
              <w:numPr>
                <w:ilvl w:val="0"/>
                <w:numId w:val="0"/>
              </w:numPr>
              <w:jc w:val="left"/>
              <w:rPr>
                <w:rFonts w:hint="eastAsia" w:ascii="宋体" w:hAnsi="宋体"/>
                <w:sz w:val="21"/>
                <w:szCs w:val="21"/>
              </w:rPr>
            </w:pPr>
            <w:r>
              <w:rPr>
                <w:rFonts w:hint="eastAsia" w:ascii="宋体" w:hAnsi="宋体" w:eastAsia="宋体" w:cs="Times New Roman"/>
                <w:sz w:val="21"/>
                <w:szCs w:val="21"/>
                <w:lang w:val="en-US" w:eastAsia="zh-CN" w:bidi="ar-SA"/>
              </w:rPr>
              <w:t>1.</w:t>
            </w:r>
            <w:r>
              <w:rPr>
                <w:rFonts w:hint="eastAsia" w:ascii="宋体" w:hAnsi="宋体"/>
                <w:sz w:val="21"/>
                <w:szCs w:val="21"/>
              </w:rPr>
              <w:t>亮度≥5000流明，对比度≥25000:1；</w:t>
            </w:r>
          </w:p>
          <w:p w14:paraId="32E5B58E">
            <w:pPr>
              <w:numPr>
                <w:ilvl w:val="0"/>
                <w:numId w:val="0"/>
              </w:numPr>
              <w:jc w:val="left"/>
              <w:rPr>
                <w:rFonts w:hint="eastAsia" w:ascii="宋体" w:hAnsi="宋体"/>
                <w:sz w:val="21"/>
                <w:szCs w:val="21"/>
              </w:rPr>
            </w:pPr>
            <w:r>
              <w:rPr>
                <w:rFonts w:hint="eastAsia" w:ascii="宋体" w:hAnsi="宋体"/>
                <w:sz w:val="21"/>
                <w:szCs w:val="21"/>
              </w:rPr>
              <w:t>2.光源寿命≥20000小时，灯泡功率≥225w；</w:t>
            </w:r>
          </w:p>
          <w:p w14:paraId="319CB25F">
            <w:pPr>
              <w:numPr>
                <w:ilvl w:val="0"/>
                <w:numId w:val="0"/>
              </w:numPr>
              <w:jc w:val="left"/>
              <w:rPr>
                <w:rFonts w:hint="eastAsia" w:ascii="宋体" w:hAnsi="宋体"/>
                <w:sz w:val="21"/>
                <w:szCs w:val="21"/>
              </w:rPr>
            </w:pPr>
            <w:r>
              <w:rPr>
                <w:rFonts w:hint="eastAsia" w:ascii="宋体" w:hAnsi="宋体"/>
                <w:sz w:val="21"/>
                <w:szCs w:val="21"/>
              </w:rPr>
              <w:t>3.3LCD显示技术；</w:t>
            </w:r>
          </w:p>
          <w:p w14:paraId="540F3D03">
            <w:pPr>
              <w:numPr>
                <w:ilvl w:val="0"/>
                <w:numId w:val="0"/>
              </w:numPr>
              <w:jc w:val="left"/>
              <w:rPr>
                <w:rFonts w:hint="eastAsia" w:ascii="宋体" w:hAnsi="宋体"/>
                <w:sz w:val="21"/>
                <w:szCs w:val="21"/>
              </w:rPr>
            </w:pPr>
            <w:r>
              <w:rPr>
                <w:rFonts w:hint="eastAsia" w:ascii="宋体" w:hAnsi="宋体" w:eastAsia="宋体" w:cs="Times New Roman"/>
                <w:sz w:val="21"/>
                <w:szCs w:val="21"/>
                <w:lang w:val="en-US" w:eastAsia="zh-CN" w:bidi="ar-SA"/>
              </w:rPr>
              <w:t>4.</w:t>
            </w:r>
            <w:r>
              <w:rPr>
                <w:rFonts w:hint="eastAsia" w:ascii="宋体" w:hAnsi="宋体"/>
                <w:sz w:val="21"/>
                <w:szCs w:val="21"/>
              </w:rPr>
              <w:t>标准分辨率≥WUXGA(1920x1200)；</w:t>
            </w:r>
          </w:p>
          <w:p w14:paraId="7B4E47AC">
            <w:pPr>
              <w:numPr>
                <w:ilvl w:val="0"/>
                <w:numId w:val="0"/>
              </w:numPr>
              <w:jc w:val="left"/>
              <w:rPr>
                <w:rFonts w:hint="eastAsia" w:ascii="宋体" w:hAnsi="宋体"/>
                <w:sz w:val="21"/>
                <w:szCs w:val="21"/>
              </w:rPr>
            </w:pPr>
            <w:r>
              <w:rPr>
                <w:rFonts w:hint="eastAsia" w:ascii="宋体" w:hAnsi="宋体"/>
                <w:sz w:val="21"/>
                <w:szCs w:val="21"/>
              </w:rPr>
              <w:t>5.镜头变焦比≥1.2倍；</w:t>
            </w:r>
          </w:p>
          <w:p w14:paraId="4A26CAA7">
            <w:pPr>
              <w:numPr>
                <w:ilvl w:val="0"/>
                <w:numId w:val="0"/>
              </w:numPr>
              <w:jc w:val="left"/>
              <w:rPr>
                <w:rFonts w:hint="eastAsia" w:ascii="宋体" w:hAnsi="宋体"/>
                <w:sz w:val="21"/>
                <w:szCs w:val="21"/>
              </w:rPr>
            </w:pPr>
            <w:r>
              <w:rPr>
                <w:rFonts w:hint="eastAsia" w:ascii="宋体" w:hAnsi="宋体"/>
                <w:sz w:val="21"/>
                <w:szCs w:val="21"/>
              </w:rPr>
              <w:t>6.机器须无灯门一体化整体外观设计，以保证整体产品品质；</w:t>
            </w:r>
          </w:p>
          <w:p w14:paraId="1368A3B9">
            <w:pPr>
              <w:numPr>
                <w:ilvl w:val="0"/>
                <w:numId w:val="0"/>
              </w:numPr>
              <w:jc w:val="left"/>
              <w:rPr>
                <w:rFonts w:hint="eastAsia" w:ascii="宋体" w:hAnsi="宋体"/>
                <w:sz w:val="21"/>
                <w:szCs w:val="21"/>
              </w:rPr>
            </w:pPr>
            <w:r>
              <w:rPr>
                <w:rFonts w:hint="eastAsia" w:ascii="宋体" w:hAnsi="宋体"/>
                <w:sz w:val="21"/>
                <w:szCs w:val="21"/>
              </w:rPr>
              <w:t>7.投影机具有风冷降温系统；</w:t>
            </w:r>
          </w:p>
          <w:p w14:paraId="710D1318">
            <w:pPr>
              <w:numPr>
                <w:ilvl w:val="0"/>
                <w:numId w:val="0"/>
              </w:numPr>
              <w:jc w:val="left"/>
              <w:rPr>
                <w:rFonts w:hint="eastAsia" w:ascii="宋体" w:hAnsi="宋体"/>
                <w:sz w:val="21"/>
                <w:szCs w:val="21"/>
              </w:rPr>
            </w:pPr>
            <w:r>
              <w:rPr>
                <w:rFonts w:hint="eastAsia" w:ascii="宋体" w:hAnsi="宋体"/>
                <w:sz w:val="21"/>
                <w:szCs w:val="21"/>
              </w:rPr>
              <w:t>8.投影机具有低噪音工作系统；</w:t>
            </w:r>
          </w:p>
          <w:p w14:paraId="4E63C571">
            <w:pPr>
              <w:numPr>
                <w:ilvl w:val="0"/>
                <w:numId w:val="0"/>
              </w:numPr>
              <w:jc w:val="left"/>
              <w:rPr>
                <w:rFonts w:hint="eastAsia" w:ascii="宋体" w:hAnsi="宋体"/>
                <w:sz w:val="21"/>
                <w:szCs w:val="21"/>
              </w:rPr>
            </w:pPr>
            <w:r>
              <w:rPr>
                <w:rFonts w:hint="eastAsia" w:ascii="宋体" w:hAnsi="宋体"/>
                <w:sz w:val="21"/>
                <w:szCs w:val="21"/>
              </w:rPr>
              <w:t>9.投影机具有多向吹风除尘散热装置；</w:t>
            </w:r>
          </w:p>
          <w:p w14:paraId="2524A721">
            <w:pPr>
              <w:numPr>
                <w:ilvl w:val="0"/>
                <w:numId w:val="0"/>
              </w:numPr>
              <w:jc w:val="left"/>
              <w:rPr>
                <w:rFonts w:hint="eastAsia" w:ascii="宋体" w:hAnsi="宋体"/>
                <w:sz w:val="21"/>
                <w:szCs w:val="21"/>
              </w:rPr>
            </w:pPr>
            <w:r>
              <w:rPr>
                <w:rFonts w:hint="eastAsia" w:ascii="宋体" w:hAnsi="宋体"/>
                <w:sz w:val="21"/>
                <w:szCs w:val="21"/>
              </w:rPr>
              <w:t>10.输入接口不少于: HDMI*2/VGA*1/USB-B*1/ USB-A*1；</w:t>
            </w:r>
          </w:p>
          <w:p w14:paraId="0C8FF587">
            <w:pPr>
              <w:numPr>
                <w:ilvl w:val="0"/>
                <w:numId w:val="0"/>
              </w:numPr>
              <w:jc w:val="left"/>
              <w:rPr>
                <w:rFonts w:hint="eastAsia" w:ascii="宋体" w:hAnsi="宋体"/>
                <w:sz w:val="21"/>
                <w:szCs w:val="21"/>
              </w:rPr>
            </w:pPr>
            <w:r>
              <w:rPr>
                <w:rFonts w:hint="eastAsia" w:ascii="宋体" w:hAnsi="宋体"/>
                <w:sz w:val="21"/>
                <w:szCs w:val="21"/>
              </w:rPr>
              <w:t>11.投影机具有2组HDMI接口；</w:t>
            </w:r>
          </w:p>
          <w:p w14:paraId="00E4C049">
            <w:pPr>
              <w:numPr>
                <w:ilvl w:val="0"/>
                <w:numId w:val="0"/>
              </w:numPr>
              <w:jc w:val="left"/>
              <w:rPr>
                <w:rFonts w:hint="eastAsia" w:ascii="宋体" w:hAnsi="宋体"/>
                <w:sz w:val="21"/>
                <w:szCs w:val="21"/>
              </w:rPr>
            </w:pPr>
            <w:r>
              <w:rPr>
                <w:rFonts w:hint="eastAsia" w:ascii="宋体" w:hAnsi="宋体"/>
                <w:sz w:val="21"/>
                <w:szCs w:val="21"/>
              </w:rPr>
              <w:t>12.投影机具有USB-A接口，可以实现USB供电，U盘内容直读，支持USB-A接口的无线适配器；</w:t>
            </w:r>
          </w:p>
          <w:p w14:paraId="4AE42F8A">
            <w:pPr>
              <w:numPr>
                <w:ilvl w:val="0"/>
                <w:numId w:val="0"/>
              </w:numPr>
              <w:jc w:val="left"/>
              <w:rPr>
                <w:rFonts w:hint="eastAsia" w:ascii="宋体" w:hAnsi="宋体"/>
                <w:sz w:val="21"/>
                <w:szCs w:val="21"/>
              </w:rPr>
            </w:pPr>
            <w:r>
              <w:rPr>
                <w:rFonts w:hint="eastAsia" w:ascii="宋体" w:hAnsi="宋体"/>
                <w:sz w:val="21"/>
                <w:szCs w:val="21"/>
              </w:rPr>
              <w:t>13.内置扬声器功率≥1*10W；</w:t>
            </w:r>
          </w:p>
          <w:p w14:paraId="065AF3E9">
            <w:pPr>
              <w:numPr>
                <w:ilvl w:val="0"/>
                <w:numId w:val="0"/>
              </w:numPr>
              <w:jc w:val="left"/>
              <w:rPr>
                <w:rFonts w:hint="eastAsia" w:ascii="宋体" w:hAnsi="宋体"/>
                <w:sz w:val="21"/>
                <w:szCs w:val="21"/>
              </w:rPr>
            </w:pPr>
            <w:r>
              <w:rPr>
                <w:rFonts w:hint="eastAsia" w:ascii="宋体" w:hAnsi="宋体"/>
                <w:sz w:val="21"/>
                <w:szCs w:val="21"/>
              </w:rPr>
              <w:t>14.控制接口: RJ45*1/RS232*1；</w:t>
            </w:r>
          </w:p>
          <w:p w14:paraId="66606DCA">
            <w:pPr>
              <w:numPr>
                <w:ilvl w:val="0"/>
                <w:numId w:val="0"/>
              </w:numPr>
              <w:jc w:val="left"/>
              <w:rPr>
                <w:rFonts w:hint="eastAsia" w:ascii="宋体" w:hAnsi="宋体"/>
                <w:sz w:val="21"/>
                <w:szCs w:val="21"/>
              </w:rPr>
            </w:pPr>
            <w:r>
              <w:rPr>
                <w:rFonts w:hint="eastAsia" w:ascii="宋体" w:hAnsi="宋体"/>
                <w:sz w:val="21"/>
                <w:szCs w:val="21"/>
              </w:rPr>
              <w:t>15.整机重量≥3.0kg；</w:t>
            </w:r>
          </w:p>
          <w:p w14:paraId="1D29C677">
            <w:pPr>
              <w:numPr>
                <w:ilvl w:val="0"/>
                <w:numId w:val="0"/>
              </w:numPr>
              <w:jc w:val="left"/>
              <w:rPr>
                <w:rFonts w:hint="eastAsia" w:ascii="宋体" w:hAnsi="宋体"/>
                <w:sz w:val="21"/>
                <w:szCs w:val="21"/>
              </w:rPr>
            </w:pPr>
            <w:r>
              <w:rPr>
                <w:rFonts w:hint="eastAsia" w:ascii="宋体" w:hAnsi="宋体"/>
                <w:sz w:val="21"/>
                <w:szCs w:val="21"/>
              </w:rPr>
              <w:t>16.具有中文+英文面板；</w:t>
            </w:r>
          </w:p>
          <w:p w14:paraId="5B974685">
            <w:pPr>
              <w:numPr>
                <w:ilvl w:val="0"/>
                <w:numId w:val="0"/>
              </w:numPr>
              <w:jc w:val="left"/>
              <w:rPr>
                <w:rFonts w:hint="eastAsia" w:ascii="宋体" w:hAnsi="宋体"/>
                <w:sz w:val="21"/>
                <w:szCs w:val="21"/>
              </w:rPr>
            </w:pPr>
            <w:r>
              <w:rPr>
                <w:rFonts w:hint="eastAsia" w:ascii="宋体" w:hAnsi="宋体"/>
                <w:sz w:val="21"/>
                <w:szCs w:val="21"/>
              </w:rPr>
              <w:t>17.具有自动垂直梯形校正、水平梯形校正、四角转角校正功能；</w:t>
            </w:r>
          </w:p>
          <w:p w14:paraId="3BE77730">
            <w:pPr>
              <w:numPr>
                <w:ilvl w:val="0"/>
                <w:numId w:val="0"/>
              </w:numPr>
              <w:jc w:val="left"/>
              <w:rPr>
                <w:rFonts w:ascii="宋体" w:hAnsi="宋体"/>
                <w:sz w:val="21"/>
                <w:szCs w:val="21"/>
              </w:rPr>
            </w:pPr>
            <w:r>
              <w:rPr>
                <w:rFonts w:hint="eastAsia" w:ascii="宋体" w:hAnsi="宋体"/>
                <w:sz w:val="21"/>
                <w:szCs w:val="21"/>
              </w:rPr>
              <w:t>18.具有中文遥控器；</w:t>
            </w:r>
          </w:p>
          <w:p w14:paraId="7A460FF7">
            <w:pPr>
              <w:jc w:val="left"/>
              <w:rPr>
                <w:rFonts w:hint="eastAsia" w:ascii="宋体" w:hAnsi="宋体"/>
                <w:sz w:val="21"/>
                <w:szCs w:val="21"/>
              </w:rPr>
            </w:pPr>
            <w:r>
              <w:rPr>
                <w:rFonts w:hint="eastAsia" w:ascii="宋体" w:hAnsi="宋体"/>
                <w:sz w:val="21"/>
                <w:szCs w:val="21"/>
              </w:rPr>
              <w:t>19.投影机菜单语言≥26种；</w:t>
            </w:r>
          </w:p>
          <w:p w14:paraId="5C682B46">
            <w:pPr>
              <w:jc w:val="left"/>
              <w:rPr>
                <w:rFonts w:hint="eastAsia" w:ascii="宋体" w:hAnsi="宋体"/>
                <w:sz w:val="21"/>
                <w:szCs w:val="21"/>
              </w:rPr>
            </w:pPr>
            <w:r>
              <w:rPr>
                <w:rFonts w:hint="eastAsia" w:ascii="宋体" w:hAnsi="宋体"/>
                <w:sz w:val="21"/>
                <w:szCs w:val="21"/>
              </w:rPr>
              <w:t>20.可以设置100/200/300小时滤网自动清洁提醒；</w:t>
            </w:r>
          </w:p>
          <w:p w14:paraId="1B19B018">
            <w:pPr>
              <w:jc w:val="left"/>
              <w:rPr>
                <w:rFonts w:hint="eastAsia" w:ascii="宋体" w:hAnsi="宋体"/>
                <w:sz w:val="21"/>
                <w:szCs w:val="21"/>
              </w:rPr>
            </w:pPr>
            <w:r>
              <w:rPr>
                <w:rFonts w:hint="eastAsia" w:ascii="宋体" w:hAnsi="宋体"/>
                <w:sz w:val="21"/>
                <w:szCs w:val="21"/>
              </w:rPr>
              <w:t>21.可以设置0/60s/90s可定义关机散热时间，最快支持0秒关机；</w:t>
            </w:r>
          </w:p>
          <w:p w14:paraId="4F038AE9">
            <w:pPr>
              <w:jc w:val="left"/>
              <w:rPr>
                <w:rFonts w:hint="eastAsia" w:ascii="宋体" w:hAnsi="宋体"/>
                <w:sz w:val="21"/>
                <w:szCs w:val="21"/>
              </w:rPr>
            </w:pPr>
            <w:r>
              <w:rPr>
                <w:rFonts w:hint="eastAsia" w:ascii="宋体" w:hAnsi="宋体"/>
                <w:sz w:val="21"/>
                <w:szCs w:val="21"/>
              </w:rPr>
              <w:t>22.自动信号搜索，自动识别正投或吊顶状态，自动调整画面，来电自动开机功能；</w:t>
            </w:r>
          </w:p>
          <w:p w14:paraId="471DFF12">
            <w:pPr>
              <w:jc w:val="left"/>
              <w:rPr>
                <w:rFonts w:ascii="宋体" w:hAnsi="宋体" w:eastAsia="宋体" w:cs="宋体"/>
                <w:sz w:val="21"/>
                <w:szCs w:val="21"/>
              </w:rPr>
            </w:pPr>
            <w:r>
              <w:rPr>
                <w:rFonts w:hint="eastAsia" w:ascii="宋体" w:hAnsi="宋体"/>
                <w:sz w:val="21"/>
                <w:szCs w:val="21"/>
              </w:rPr>
              <w:t>23.具备外置的防尘滤网，防尘滤网具有静电防尘功能。</w:t>
            </w:r>
          </w:p>
        </w:tc>
        <w:tc>
          <w:tcPr>
            <w:tcW w:w="906" w:type="dxa"/>
            <w:shd w:val="clear" w:color="auto" w:fill="auto"/>
            <w:vAlign w:val="center"/>
          </w:tcPr>
          <w:p w14:paraId="4DFB6BE7">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台</w:t>
            </w:r>
          </w:p>
        </w:tc>
        <w:tc>
          <w:tcPr>
            <w:tcW w:w="906" w:type="dxa"/>
            <w:shd w:val="clear" w:color="auto" w:fill="auto"/>
            <w:vAlign w:val="center"/>
          </w:tcPr>
          <w:p w14:paraId="7FA7A4C5">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r>
      <w:tr w14:paraId="5AAF5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08" w:type="dxa"/>
            <w:vAlign w:val="center"/>
          </w:tcPr>
          <w:p w14:paraId="3EECCAC5">
            <w:pPr>
              <w:jc w:val="center"/>
              <w:rPr>
                <w:rFonts w:ascii="宋体" w:hAnsi="宋体" w:eastAsia="宋体" w:cs="宋体"/>
                <w:sz w:val="21"/>
                <w:szCs w:val="21"/>
              </w:rPr>
            </w:pPr>
            <w:r>
              <w:rPr>
                <w:rFonts w:hint="eastAsia" w:ascii="宋体" w:hAnsi="宋体" w:eastAsia="宋体" w:cs="宋体"/>
                <w:sz w:val="21"/>
                <w:szCs w:val="21"/>
              </w:rPr>
              <w:t>3</w:t>
            </w:r>
          </w:p>
        </w:tc>
        <w:tc>
          <w:tcPr>
            <w:tcW w:w="1259" w:type="dxa"/>
            <w:vAlign w:val="center"/>
          </w:tcPr>
          <w:p w14:paraId="1C4E4020">
            <w:pPr>
              <w:jc w:val="center"/>
              <w:rPr>
                <w:rFonts w:ascii="宋体" w:hAnsi="宋体" w:eastAsia="宋体" w:cs="宋体"/>
                <w:sz w:val="21"/>
                <w:szCs w:val="21"/>
              </w:rPr>
            </w:pPr>
            <w:r>
              <w:rPr>
                <w:rFonts w:hint="eastAsia" w:ascii="宋体" w:hAnsi="宋体"/>
                <w:sz w:val="21"/>
                <w:szCs w:val="21"/>
              </w:rPr>
              <w:t>投影幕布</w:t>
            </w:r>
          </w:p>
        </w:tc>
        <w:tc>
          <w:tcPr>
            <w:tcW w:w="7229" w:type="dxa"/>
            <w:vAlign w:val="center"/>
          </w:tcPr>
          <w:p w14:paraId="57021210">
            <w:pPr>
              <w:jc w:val="left"/>
              <w:rPr>
                <w:rFonts w:ascii="宋体" w:hAnsi="宋体" w:eastAsia="宋体" w:cs="宋体"/>
                <w:sz w:val="21"/>
                <w:szCs w:val="21"/>
              </w:rPr>
            </w:pPr>
            <w:r>
              <w:rPr>
                <w:rFonts w:hint="eastAsia" w:ascii="宋体" w:hAnsi="宋体"/>
                <w:sz w:val="21"/>
                <w:szCs w:val="21"/>
              </w:rPr>
              <w:t>150 寸 16:10 电动遥控幕布</w:t>
            </w:r>
          </w:p>
        </w:tc>
        <w:tc>
          <w:tcPr>
            <w:tcW w:w="906" w:type="dxa"/>
            <w:shd w:val="clear" w:color="auto" w:fill="auto"/>
            <w:vAlign w:val="center"/>
          </w:tcPr>
          <w:p w14:paraId="7FAF8C3E">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套</w:t>
            </w:r>
          </w:p>
        </w:tc>
        <w:tc>
          <w:tcPr>
            <w:tcW w:w="906" w:type="dxa"/>
            <w:shd w:val="clear" w:color="auto" w:fill="auto"/>
            <w:vAlign w:val="center"/>
          </w:tcPr>
          <w:p w14:paraId="5D476B85">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r>
    </w:tbl>
    <w:p w14:paraId="4F04E4B5">
      <w:pPr>
        <w:numPr>
          <w:ilvl w:val="0"/>
          <w:numId w:val="0"/>
        </w:numPr>
        <w:spacing w:beforeAutospacing="0" w:line="360" w:lineRule="auto"/>
        <w:outlineLvl w:val="1"/>
        <w:rPr>
          <w:rFonts w:hint="eastAsia" w:ascii="宋体" w:hAnsi="宋体" w:eastAsia="宋体" w:cs="宋体"/>
          <w:b/>
          <w:bCs/>
          <w:sz w:val="24"/>
          <w:szCs w:val="24"/>
          <w:lang w:val="en-US" w:eastAsia="zh-CN" w:bidi="ar-SA"/>
        </w:rPr>
      </w:pPr>
      <w:bookmarkStart w:id="54" w:name="_Toc16122"/>
      <w:bookmarkStart w:id="55" w:name="_Toc14176"/>
      <w:r>
        <w:rPr>
          <w:rFonts w:hint="eastAsia" w:ascii="宋体" w:hAnsi="宋体" w:eastAsia="宋体" w:cs="宋体"/>
          <w:b/>
          <w:bCs/>
          <w:sz w:val="24"/>
          <w:szCs w:val="24"/>
          <w:lang w:val="en-US" w:eastAsia="zh-CN" w:bidi="ar-SA"/>
        </w:rPr>
        <w:t>三、报价要求</w:t>
      </w:r>
      <w:bookmarkEnd w:id="54"/>
      <w:bookmarkEnd w:id="55"/>
    </w:p>
    <w:p w14:paraId="10B13B37">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总报价不得超过最高限价。报价应含完成本项目所产生的一切费用，包含但不限于所有货品、安装调试、售后服务、运输、人工、利润、税金、政策性文件规定及合同包含的所有风险、责任、义务等产生的所有费用，供应商报价时已知悉并充分综合考虑了风险。</w:t>
      </w:r>
    </w:p>
    <w:p w14:paraId="2AD166D9">
      <w:pPr>
        <w:spacing w:beforeAutospacing="0" w:line="360" w:lineRule="auto"/>
        <w:outlineLvl w:val="1"/>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四、验收</w:t>
      </w:r>
    </w:p>
    <w:p w14:paraId="5F78ECB6">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由成交供应商、采购人及监理方共同实施验收工作，结果和验收报告经三方确认，签字、盖章后生效。</w:t>
      </w:r>
    </w:p>
    <w:p w14:paraId="2DA4C65E">
      <w:pPr>
        <w:numPr>
          <w:ilvl w:val="0"/>
          <w:numId w:val="0"/>
        </w:numPr>
        <w:spacing w:beforeAutospacing="0" w:line="360" w:lineRule="auto"/>
        <w:outlineLvl w:val="1"/>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五、其他要求</w:t>
      </w:r>
    </w:p>
    <w:p w14:paraId="1FCD59E4">
      <w:pPr>
        <w:numPr>
          <w:ilvl w:val="0"/>
          <w:numId w:val="0"/>
        </w:numPr>
        <w:spacing w:beforeAutospacing="0" w:line="360" w:lineRule="auto"/>
        <w:ind w:firstLine="480" w:firstLineChars="200"/>
        <w:outlineLvl w:val="1"/>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1、货物质量：成交人提供的货物必须是全新、原装、合格正品，完全符合国家规定的质量标准和厂方的标准。货物完好，配件齐全。</w:t>
      </w:r>
    </w:p>
    <w:p w14:paraId="14046363">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2、保修及售后服务：依据商品的保修条款及售后服务条款，提供原厂质保，质保期按照国家规定，且不低于所供品牌向用户承诺的质保期限，询价文件另有约定的从其约定。质保期从货物验收合格后算起。</w:t>
      </w:r>
    </w:p>
    <w:p w14:paraId="3F25702C">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3、免费维护升级时间：三年</w:t>
      </w:r>
    </w:p>
    <w:p w14:paraId="5172A975">
      <w:pPr>
        <w:spacing w:line="360" w:lineRule="auto"/>
        <w:ind w:firstLine="480" w:firstLineChars="200"/>
        <w:rPr>
          <w:rFonts w:hint="default"/>
          <w:lang w:val="en-US" w:eastAsia="zh-CN"/>
        </w:rPr>
        <w:sectPr>
          <w:pgSz w:w="11905" w:h="16838"/>
          <w:pgMar w:top="1440" w:right="1803" w:bottom="1440" w:left="1803" w:header="850" w:footer="992" w:gutter="0"/>
          <w:cols w:space="720" w:num="1"/>
          <w:docGrid w:type="lines" w:linePitch="319" w:charSpace="0"/>
        </w:sectPr>
      </w:pPr>
      <w:r>
        <w:rPr>
          <w:rFonts w:hint="eastAsia" w:ascii="宋体" w:hAnsi="宋体" w:cs="Times New Roman"/>
          <w:color w:val="auto"/>
          <w:sz w:val="24"/>
          <w:highlight w:val="none"/>
          <w:lang w:val="en-US" w:eastAsia="zh-CN"/>
        </w:rPr>
        <w:t>4、</w:t>
      </w:r>
      <w:r>
        <w:rPr>
          <w:rFonts w:hint="eastAsia" w:ascii="宋体" w:hAnsi="宋体" w:eastAsia="宋体" w:cs="Times New Roman"/>
          <w:color w:val="auto"/>
          <w:sz w:val="24"/>
          <w:highlight w:val="none"/>
          <w:lang w:val="en-US" w:eastAsia="zh-CN"/>
        </w:rPr>
        <w:t>培训服务要求：提供全面系统的培训服务，次数不少于两次，确保参训人员熟练掌握软件功能并能独立规范使用。</w:t>
      </w:r>
    </w:p>
    <w:p w14:paraId="5A664BD5">
      <w:pPr>
        <w:rPr>
          <w:rFonts w:hint="eastAsia"/>
          <w:lang w:val="en-US" w:eastAsia="zh-CN"/>
        </w:rPr>
      </w:pPr>
    </w:p>
    <w:p w14:paraId="28D4ED91">
      <w:pPr>
        <w:pStyle w:val="4"/>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第四章 评审方法与标准</w:t>
      </w:r>
      <w:bookmarkEnd w:id="53"/>
    </w:p>
    <w:p w14:paraId="5A12204F">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35054D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本项目将按照竞争性谈判文件第二章 竞争性谈判须知的相关要求及本章的规定评审。</w:t>
      </w:r>
    </w:p>
    <w:p w14:paraId="3224582E">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eastAsia="宋体" w:cs="Times New Roman"/>
          <w:b/>
          <w:color w:val="auto"/>
          <w:sz w:val="24"/>
          <w:szCs w:val="24"/>
          <w:lang w:val="en-US" w:eastAsia="zh-CN" w:bidi="ar-SA"/>
        </w:rPr>
        <w:t>二、</w:t>
      </w:r>
      <w:r>
        <w:rPr>
          <w:rFonts w:hint="eastAsia" w:ascii="宋体" w:hAnsi="宋体"/>
          <w:b/>
          <w:color w:val="auto"/>
          <w:sz w:val="24"/>
          <w:szCs w:val="24"/>
          <w:highlight w:val="none"/>
          <w:lang w:val="en-US" w:eastAsia="zh-CN"/>
        </w:rPr>
        <w:t>评审方法：</w:t>
      </w:r>
    </w:p>
    <w:p w14:paraId="196C9DA4">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lang w:val="en-US" w:eastAsia="zh-CN"/>
        </w:rPr>
        <w:t>初审。谈判</w:t>
      </w:r>
      <w:r>
        <w:rPr>
          <w:rFonts w:hint="default" w:ascii="宋体" w:hAnsi="宋体" w:eastAsia="宋体" w:cs="Times New Roman"/>
          <w:color w:val="auto"/>
          <w:sz w:val="24"/>
          <w:highlight w:val="none"/>
          <w:lang w:val="en-US" w:eastAsia="zh-CN"/>
        </w:rPr>
        <w:t>小组对供应商的响应文件进行初审，以确定其是否满足竞争性谈判文件的实质性要求。初审表如下</w:t>
      </w:r>
      <w:r>
        <w:rPr>
          <w:rFonts w:hint="eastAsia" w:ascii="宋体" w:hAnsi="宋体" w:eastAsia="宋体" w:cs="Times New Roman"/>
          <w:color w:val="auto"/>
          <w:sz w:val="24"/>
          <w:highlight w:val="none"/>
          <w:lang w:val="en-US" w:eastAsia="zh-CN"/>
        </w:rPr>
        <w:t>：</w:t>
      </w:r>
    </w:p>
    <w:tbl>
      <w:tblPr>
        <w:tblStyle w:val="40"/>
        <w:tblW w:w="9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688"/>
        <w:gridCol w:w="4046"/>
        <w:gridCol w:w="3210"/>
      </w:tblGrid>
      <w:tr w14:paraId="57E6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30" w:type="dxa"/>
            <w:gridSpan w:val="4"/>
            <w:tcBorders>
              <w:bottom w:val="single" w:color="auto" w:sz="4" w:space="0"/>
            </w:tcBorders>
            <w:vAlign w:val="center"/>
          </w:tcPr>
          <w:p w14:paraId="206FEE8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初审表</w:t>
            </w:r>
          </w:p>
        </w:tc>
      </w:tr>
      <w:tr w14:paraId="6F0E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373AB34E">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序号</w:t>
            </w:r>
          </w:p>
        </w:tc>
        <w:tc>
          <w:tcPr>
            <w:tcW w:w="1688" w:type="dxa"/>
            <w:tcBorders>
              <w:bottom w:val="single" w:color="auto" w:sz="4" w:space="0"/>
            </w:tcBorders>
            <w:vAlign w:val="center"/>
          </w:tcPr>
          <w:p w14:paraId="66F8D809">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评审指标</w:t>
            </w:r>
          </w:p>
        </w:tc>
        <w:tc>
          <w:tcPr>
            <w:tcW w:w="4046" w:type="dxa"/>
            <w:tcBorders>
              <w:bottom w:val="single" w:color="auto" w:sz="4" w:space="0"/>
            </w:tcBorders>
            <w:vAlign w:val="center"/>
          </w:tcPr>
          <w:p w14:paraId="38C7D392">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评审标准</w:t>
            </w:r>
          </w:p>
        </w:tc>
        <w:tc>
          <w:tcPr>
            <w:tcW w:w="3210" w:type="dxa"/>
            <w:tcBorders>
              <w:bottom w:val="single" w:color="auto" w:sz="4" w:space="0"/>
            </w:tcBorders>
            <w:vAlign w:val="center"/>
          </w:tcPr>
          <w:p w14:paraId="39A39E98">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格式及材料要求</w:t>
            </w:r>
          </w:p>
        </w:tc>
      </w:tr>
      <w:tr w14:paraId="58D9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vAlign w:val="center"/>
          </w:tcPr>
          <w:p w14:paraId="140C12B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688" w:type="dxa"/>
            <w:vAlign w:val="center"/>
          </w:tcPr>
          <w:p w14:paraId="7D32724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营业执照</w:t>
            </w:r>
          </w:p>
        </w:tc>
        <w:tc>
          <w:tcPr>
            <w:tcW w:w="4046" w:type="dxa"/>
            <w:tcBorders>
              <w:bottom w:val="single" w:color="auto" w:sz="4" w:space="0"/>
            </w:tcBorders>
            <w:vAlign w:val="center"/>
          </w:tcPr>
          <w:p w14:paraId="4CBE0B6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合法有效</w:t>
            </w:r>
          </w:p>
        </w:tc>
        <w:tc>
          <w:tcPr>
            <w:tcW w:w="3210" w:type="dxa"/>
            <w:vAlign w:val="center"/>
          </w:tcPr>
          <w:p w14:paraId="1B713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清晰可见</w:t>
            </w:r>
          </w:p>
        </w:tc>
      </w:tr>
      <w:tr w14:paraId="1CBE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tcBorders>
              <w:bottom w:val="single" w:color="auto" w:sz="4" w:space="0"/>
            </w:tcBorders>
            <w:vAlign w:val="center"/>
          </w:tcPr>
          <w:p w14:paraId="23E7A57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1688" w:type="dxa"/>
            <w:tcBorders>
              <w:bottom w:val="single" w:color="auto" w:sz="4" w:space="0"/>
            </w:tcBorders>
            <w:vAlign w:val="center"/>
          </w:tcPr>
          <w:p w14:paraId="428644D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供应商信用</w:t>
            </w:r>
          </w:p>
          <w:p w14:paraId="1C3C7BE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记录</w:t>
            </w:r>
          </w:p>
        </w:tc>
        <w:tc>
          <w:tcPr>
            <w:tcW w:w="4046" w:type="dxa"/>
            <w:tcBorders>
              <w:bottom w:val="single" w:color="auto" w:sz="4" w:space="0"/>
            </w:tcBorders>
            <w:vAlign w:val="center"/>
          </w:tcPr>
          <w:p w14:paraId="78CFA8F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供应商不得存在供应商须知正文</w:t>
            </w:r>
          </w:p>
          <w:p w14:paraId="0A882A6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第14.3.1条中的不良信用记录情形</w:t>
            </w:r>
          </w:p>
        </w:tc>
        <w:tc>
          <w:tcPr>
            <w:tcW w:w="3210" w:type="dxa"/>
            <w:tcBorders>
              <w:bottom w:val="single" w:color="auto" w:sz="4" w:space="0"/>
            </w:tcBorders>
            <w:vAlign w:val="center"/>
          </w:tcPr>
          <w:p w14:paraId="7EC043F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详见竞争性谈判须知正文</w:t>
            </w:r>
          </w:p>
          <w:p w14:paraId="0A7F917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第14.3.1条要求</w:t>
            </w:r>
          </w:p>
        </w:tc>
      </w:tr>
      <w:tr w14:paraId="232C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0A6898F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688" w:type="dxa"/>
            <w:tcBorders>
              <w:bottom w:val="single" w:color="auto" w:sz="4" w:space="0"/>
            </w:tcBorders>
            <w:vAlign w:val="center"/>
          </w:tcPr>
          <w:p w14:paraId="630A877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w:t>
            </w:r>
          </w:p>
          <w:p w14:paraId="6D8A10E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声明书</w:t>
            </w:r>
          </w:p>
        </w:tc>
        <w:tc>
          <w:tcPr>
            <w:tcW w:w="4046" w:type="dxa"/>
            <w:tcBorders>
              <w:bottom w:val="single" w:color="auto" w:sz="4" w:space="0"/>
            </w:tcBorders>
            <w:vAlign w:val="center"/>
          </w:tcPr>
          <w:p w14:paraId="09CC015F">
            <w:pPr>
              <w:spacing w:line="360" w:lineRule="auto"/>
              <w:jc w:val="center"/>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提供符合谈判文件要求的</w:t>
            </w:r>
            <w:r>
              <w:rPr>
                <w:rFonts w:hint="eastAsia" w:ascii="宋体" w:hAnsi="宋体" w:cs="宋体"/>
                <w:color w:val="auto"/>
                <w:sz w:val="24"/>
                <w:szCs w:val="24"/>
                <w:highlight w:val="none"/>
                <w:lang w:val="en-US" w:eastAsia="zh-CN"/>
              </w:rPr>
              <w:t xml:space="preserve"> </w:t>
            </w:r>
          </w:p>
          <w:p w14:paraId="28A6140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《供应商资格声明书》</w:t>
            </w:r>
          </w:p>
        </w:tc>
        <w:tc>
          <w:tcPr>
            <w:tcW w:w="3210" w:type="dxa"/>
            <w:tcBorders>
              <w:bottom w:val="single" w:color="auto" w:sz="4" w:space="0"/>
            </w:tcBorders>
            <w:vAlign w:val="center"/>
          </w:tcPr>
          <w:p w14:paraId="7919367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2F4B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7EC49C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1688" w:type="dxa"/>
            <w:vAlign w:val="center"/>
          </w:tcPr>
          <w:p w14:paraId="4B8AA50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本项目的特定资格要求</w:t>
            </w:r>
          </w:p>
        </w:tc>
        <w:tc>
          <w:tcPr>
            <w:tcW w:w="4046" w:type="dxa"/>
            <w:vAlign w:val="center"/>
          </w:tcPr>
          <w:p w14:paraId="1BF8DD9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如有，见第一章《谈判邀请》</w:t>
            </w:r>
          </w:p>
        </w:tc>
        <w:tc>
          <w:tcPr>
            <w:tcW w:w="3210" w:type="dxa"/>
            <w:vAlign w:val="center"/>
          </w:tcPr>
          <w:p w14:paraId="10406D4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3BBCD02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20F4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0987D7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688" w:type="dxa"/>
            <w:vAlign w:val="center"/>
          </w:tcPr>
          <w:p w14:paraId="6C07E4E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谈判响应函</w:t>
            </w:r>
          </w:p>
        </w:tc>
        <w:tc>
          <w:tcPr>
            <w:tcW w:w="4046" w:type="dxa"/>
            <w:vAlign w:val="center"/>
          </w:tcPr>
          <w:p w14:paraId="0641C9F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09EB3B9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3195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786" w:type="dxa"/>
            <w:vAlign w:val="center"/>
          </w:tcPr>
          <w:p w14:paraId="461CA57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1688" w:type="dxa"/>
            <w:vAlign w:val="center"/>
          </w:tcPr>
          <w:p w14:paraId="5D20800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授权书</w:t>
            </w:r>
          </w:p>
        </w:tc>
        <w:tc>
          <w:tcPr>
            <w:tcW w:w="4046" w:type="dxa"/>
            <w:vAlign w:val="center"/>
          </w:tcPr>
          <w:p w14:paraId="473B841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5644922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法定代表人参加谈判的无需此件，提供身份证明即可。详见第六章响应文件格式  </w:t>
            </w:r>
          </w:p>
        </w:tc>
      </w:tr>
      <w:tr w14:paraId="6E38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786" w:type="dxa"/>
            <w:vAlign w:val="center"/>
          </w:tcPr>
          <w:p w14:paraId="14CA604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1688" w:type="dxa"/>
            <w:vAlign w:val="center"/>
          </w:tcPr>
          <w:p w14:paraId="52BA8DC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谈判报价</w:t>
            </w:r>
          </w:p>
        </w:tc>
        <w:tc>
          <w:tcPr>
            <w:tcW w:w="4046" w:type="dxa"/>
            <w:vAlign w:val="center"/>
          </w:tcPr>
          <w:p w14:paraId="458ABF1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符合谈判文件供应商须知正文</w:t>
            </w:r>
          </w:p>
          <w:p w14:paraId="17CF66F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第9条要求</w:t>
            </w:r>
          </w:p>
        </w:tc>
        <w:tc>
          <w:tcPr>
            <w:tcW w:w="3210" w:type="dxa"/>
            <w:vAlign w:val="center"/>
          </w:tcPr>
          <w:p w14:paraId="7BF7BF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21C7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86" w:type="dxa"/>
            <w:vAlign w:val="center"/>
          </w:tcPr>
          <w:p w14:paraId="0232AA4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1688" w:type="dxa"/>
            <w:vAlign w:val="center"/>
          </w:tcPr>
          <w:p w14:paraId="4B5ED20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商务响应情况</w:t>
            </w:r>
          </w:p>
        </w:tc>
        <w:tc>
          <w:tcPr>
            <w:tcW w:w="4046" w:type="dxa"/>
            <w:vAlign w:val="center"/>
          </w:tcPr>
          <w:p w14:paraId="32201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符合谈判文件采购需求中对付款方式、供货期限、供货地点、免费质保期等实质性要求</w:t>
            </w:r>
          </w:p>
        </w:tc>
        <w:tc>
          <w:tcPr>
            <w:tcW w:w="3210" w:type="dxa"/>
            <w:vAlign w:val="center"/>
          </w:tcPr>
          <w:p w14:paraId="448D3FF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64F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6F62DAE">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1688" w:type="dxa"/>
            <w:vAlign w:val="center"/>
          </w:tcPr>
          <w:p w14:paraId="0B7EA9B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技术</w:t>
            </w:r>
            <w:r>
              <w:rPr>
                <w:rFonts w:hint="eastAsia" w:ascii="宋体" w:hAnsi="宋体" w:eastAsia="宋体" w:cs="宋体"/>
                <w:color w:val="auto"/>
                <w:sz w:val="24"/>
                <w:szCs w:val="24"/>
                <w:highlight w:val="none"/>
                <w:lang w:val="en-US" w:eastAsia="zh-CN"/>
              </w:rPr>
              <w:t>响应情况</w:t>
            </w:r>
          </w:p>
        </w:tc>
        <w:tc>
          <w:tcPr>
            <w:tcW w:w="4046" w:type="dxa"/>
            <w:vAlign w:val="center"/>
          </w:tcPr>
          <w:p w14:paraId="3F62A6AA">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符合谈判文件采购需求中货物</w:t>
            </w:r>
          </w:p>
          <w:p w14:paraId="7C278BFD">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技术参数</w:t>
            </w:r>
          </w:p>
        </w:tc>
        <w:tc>
          <w:tcPr>
            <w:tcW w:w="3210" w:type="dxa"/>
            <w:vAlign w:val="center"/>
          </w:tcPr>
          <w:p w14:paraId="2086038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44B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081A9E92">
            <w:pPr>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688" w:type="dxa"/>
            <w:vAlign w:val="center"/>
          </w:tcPr>
          <w:p w14:paraId="495C9DD6">
            <w:pPr>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供货及技术 方案</w:t>
            </w:r>
          </w:p>
        </w:tc>
        <w:tc>
          <w:tcPr>
            <w:tcW w:w="4046" w:type="dxa"/>
            <w:vAlign w:val="center"/>
          </w:tcPr>
          <w:p w14:paraId="43553844">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符合谈判文件</w:t>
            </w:r>
            <w:r>
              <w:rPr>
                <w:rFonts w:hint="eastAsia" w:ascii="宋体" w:hAnsi="宋体" w:eastAsia="宋体" w:cs="宋体"/>
                <w:color w:val="auto"/>
                <w:sz w:val="24"/>
                <w:szCs w:val="24"/>
                <w:highlight w:val="none"/>
                <w:lang w:val="en-US" w:eastAsia="zh-CN"/>
              </w:rPr>
              <w:t>要求</w:t>
            </w:r>
          </w:p>
        </w:tc>
        <w:tc>
          <w:tcPr>
            <w:tcW w:w="3210" w:type="dxa"/>
            <w:vAlign w:val="center"/>
          </w:tcPr>
          <w:p w14:paraId="569D8ED8">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格式自拟</w:t>
            </w:r>
          </w:p>
        </w:tc>
      </w:tr>
      <w:tr w14:paraId="037B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16B89DD6">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1688" w:type="dxa"/>
            <w:vAlign w:val="center"/>
          </w:tcPr>
          <w:p w14:paraId="50BAD10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诚信履约</w:t>
            </w:r>
          </w:p>
          <w:p w14:paraId="2C67E8E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承诺函</w:t>
            </w:r>
          </w:p>
        </w:tc>
        <w:tc>
          <w:tcPr>
            <w:tcW w:w="4046" w:type="dxa"/>
            <w:vAlign w:val="center"/>
          </w:tcPr>
          <w:p w14:paraId="24E5448B">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34C7A33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09E7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205B530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w:t>
            </w:r>
          </w:p>
        </w:tc>
        <w:tc>
          <w:tcPr>
            <w:tcW w:w="1688" w:type="dxa"/>
            <w:vAlign w:val="center"/>
          </w:tcPr>
          <w:p w14:paraId="74CF66F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其他要求</w:t>
            </w:r>
          </w:p>
        </w:tc>
        <w:tc>
          <w:tcPr>
            <w:tcW w:w="4046" w:type="dxa"/>
            <w:vAlign w:val="center"/>
          </w:tcPr>
          <w:p w14:paraId="6644735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符合法律、行政法规规定的其他条件或谈判文件列明的其他实质性要求</w:t>
            </w:r>
          </w:p>
        </w:tc>
        <w:tc>
          <w:tcPr>
            <w:tcW w:w="3210" w:type="dxa"/>
            <w:vAlign w:val="center"/>
          </w:tcPr>
          <w:p w14:paraId="5AFB665F">
            <w:pPr>
              <w:spacing w:line="360" w:lineRule="auto"/>
              <w:jc w:val="center"/>
              <w:rPr>
                <w:rFonts w:hint="eastAsia" w:ascii="宋体" w:hAnsi="宋体" w:eastAsia="宋体" w:cs="宋体"/>
                <w:color w:val="auto"/>
                <w:sz w:val="24"/>
                <w:szCs w:val="24"/>
                <w:highlight w:val="none"/>
                <w:lang w:val="en-US" w:eastAsia="zh-CN"/>
              </w:rPr>
            </w:pPr>
          </w:p>
        </w:tc>
      </w:tr>
      <w:tr w14:paraId="4632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9730" w:type="dxa"/>
            <w:gridSpan w:val="4"/>
            <w:vAlign w:val="center"/>
          </w:tcPr>
          <w:p w14:paraId="32BFDD73">
            <w:pPr>
              <w:widowControl/>
              <w:spacing w:line="500" w:lineRule="exact"/>
              <w:jc w:val="left"/>
              <w:rPr>
                <w:rFonts w:hint="eastAsia"/>
                <w:color w:val="auto"/>
                <w:sz w:val="24"/>
                <w:szCs w:val="22"/>
                <w:highlight w:val="none"/>
              </w:rPr>
            </w:pPr>
            <w:r>
              <w:rPr>
                <w:rFonts w:hint="eastAsia"/>
                <w:color w:val="auto"/>
                <w:sz w:val="24"/>
                <w:szCs w:val="22"/>
                <w:highlight w:val="none"/>
                <w:lang w:val="en-US" w:eastAsia="zh-CN"/>
              </w:rPr>
              <w:t>初审指标通过标准：供应商必须通过初审表中的全部评审指标。</w:t>
            </w:r>
          </w:p>
          <w:p w14:paraId="3A6CA51C">
            <w:pPr>
              <w:widowControl/>
              <w:spacing w:line="500" w:lineRule="exact"/>
              <w:jc w:val="left"/>
              <w:rPr>
                <w:rFonts w:hint="eastAsia"/>
                <w:color w:val="auto"/>
                <w:sz w:val="24"/>
                <w:szCs w:val="22"/>
                <w:highlight w:val="none"/>
                <w:lang w:val="en-US" w:eastAsia="zh-CN"/>
              </w:rPr>
            </w:pPr>
            <w:r>
              <w:rPr>
                <w:rFonts w:hint="eastAsia"/>
                <w:color w:val="auto"/>
                <w:sz w:val="24"/>
                <w:szCs w:val="22"/>
                <w:highlight w:val="none"/>
                <w:lang w:val="en-US" w:eastAsia="zh-CN"/>
              </w:rPr>
              <w:t>注：</w:t>
            </w:r>
            <w:r>
              <w:rPr>
                <w:rFonts w:hint="eastAsia" w:asciiTheme="majorEastAsia" w:hAnsiTheme="majorEastAsia" w:eastAsiaTheme="majorEastAsia" w:cstheme="majorEastAsia"/>
                <w:color w:val="auto"/>
                <w:sz w:val="24"/>
                <w:szCs w:val="22"/>
                <w:highlight w:val="none"/>
                <w:lang w:val="en-US" w:eastAsia="zh-CN"/>
              </w:rPr>
              <w:t>1、</w:t>
            </w:r>
            <w:r>
              <w:rPr>
                <w:rFonts w:hint="eastAsia"/>
                <w:color w:val="auto"/>
                <w:sz w:val="24"/>
                <w:szCs w:val="22"/>
                <w:highlight w:val="none"/>
                <w:lang w:val="en-US" w:eastAsia="zh-CN"/>
              </w:rPr>
              <w:t>竞争性谈判文件所有要求提供复印件或影印件或扫描件的，均须加盖响应人公章。</w:t>
            </w:r>
          </w:p>
          <w:p w14:paraId="5C3FE42B">
            <w:pPr>
              <w:widowControl/>
              <w:spacing w:line="500" w:lineRule="exact"/>
              <w:jc w:val="left"/>
              <w:rPr>
                <w:rFonts w:hint="eastAsia" w:ascii="宋体" w:hAnsi="宋体" w:eastAsia="宋体" w:cs="宋体"/>
                <w:color w:val="auto"/>
                <w:sz w:val="24"/>
                <w:szCs w:val="24"/>
                <w:highlight w:val="none"/>
                <w:lang w:val="en-US" w:eastAsia="zh-CN"/>
              </w:rPr>
            </w:pPr>
            <w:r>
              <w:rPr>
                <w:rFonts w:hint="eastAsia" w:asciiTheme="majorEastAsia" w:hAnsiTheme="majorEastAsia" w:eastAsiaTheme="majorEastAsia" w:cstheme="majorEastAsia"/>
                <w:color w:val="auto"/>
                <w:sz w:val="24"/>
                <w:szCs w:val="22"/>
                <w:highlight w:val="none"/>
                <w:lang w:val="en-US" w:eastAsia="zh-CN"/>
              </w:rPr>
              <w:t>2、</w:t>
            </w:r>
            <w:r>
              <w:rPr>
                <w:rFonts w:hint="eastAsia"/>
                <w:color w:val="auto"/>
                <w:sz w:val="24"/>
                <w:szCs w:val="22"/>
                <w:highlight w:val="none"/>
                <w:lang w:val="en-US" w:eastAsia="zh-CN"/>
              </w:rPr>
              <w:t>响应人应按照谈判文件要求提供证明材料。若响应人提供了谈判文件未要求的证明材料，谈判小组将不予评审。</w:t>
            </w:r>
          </w:p>
        </w:tc>
      </w:tr>
    </w:tbl>
    <w:p w14:paraId="1801C756">
      <w:pPr>
        <w:spacing w:line="360" w:lineRule="auto"/>
        <w:ind w:firstLine="240" w:firstLineChars="100"/>
        <w:rPr>
          <w:rFonts w:hint="eastAsia" w:ascii="宋体" w:hAnsi="宋体" w:eastAsia="宋体" w:cs="Times New Roman"/>
          <w:color w:val="auto"/>
          <w:sz w:val="24"/>
          <w:highlight w:val="none"/>
          <w:lang w:val="en-US" w:eastAsia="zh-CN"/>
        </w:rPr>
      </w:pPr>
      <w:bookmarkStart w:id="56" w:name="_Toc3977"/>
      <w:bookmarkStart w:id="57" w:name="_Toc28300"/>
      <w:bookmarkStart w:id="58" w:name="_Toc27586"/>
      <w:bookmarkStart w:id="59" w:name="_Toc431"/>
      <w:bookmarkStart w:id="60" w:name="_Toc7241"/>
      <w:r>
        <w:rPr>
          <w:rFonts w:hint="eastAsia" w:ascii="宋体" w:hAnsi="宋体" w:eastAsia="宋体" w:cs="Times New Roman"/>
          <w:color w:val="auto"/>
          <w:sz w:val="24"/>
          <w:highlight w:val="none"/>
          <w:lang w:val="en-US" w:eastAsia="zh-CN"/>
        </w:rPr>
        <w:t>2.2异常低价响应审查</w:t>
      </w:r>
    </w:p>
    <w:bookmarkEnd w:id="56"/>
    <w:bookmarkEnd w:id="57"/>
    <w:bookmarkEnd w:id="58"/>
    <w:bookmarkEnd w:id="59"/>
    <w:bookmarkEnd w:id="60"/>
    <w:p w14:paraId="188F675A">
      <w:pPr>
        <w:rPr>
          <w:rFonts w:hint="eastAsia"/>
          <w:lang w:val="en-US" w:eastAsia="zh-CN"/>
        </w:rPr>
      </w:pPr>
    </w:p>
    <w:tbl>
      <w:tblPr>
        <w:tblStyle w:val="40"/>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11D4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1C0A1076">
            <w:pPr>
              <w:adjustRightInd w:val="0"/>
              <w:snapToGrid w:val="0"/>
              <w:spacing w:line="360" w:lineRule="auto"/>
              <w:ind w:right="-10" w:rightChars="0"/>
              <w:jc w:val="center"/>
              <w:rPr>
                <w:rFonts w:ascii="宋体" w:hAnsi="宋体" w:eastAsia="宋体"/>
                <w:sz w:val="24"/>
                <w:highlight w:val="none"/>
              </w:rPr>
            </w:pPr>
            <w:r>
              <w:rPr>
                <w:rFonts w:hint="eastAsia" w:ascii="宋体" w:hAnsi="宋体" w:eastAsia="宋体" w:cs="Times New Roman"/>
                <w:b/>
                <w:bCs/>
                <w:sz w:val="24"/>
                <w:highlight w:val="none"/>
                <w:lang w:val="en-US" w:eastAsia="zh-CN"/>
              </w:rPr>
              <w:t>异常低价响应审查表</w:t>
            </w:r>
          </w:p>
        </w:tc>
      </w:tr>
      <w:tr w14:paraId="01CC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03E498FD">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序号</w:t>
            </w:r>
          </w:p>
        </w:tc>
        <w:tc>
          <w:tcPr>
            <w:tcW w:w="1450" w:type="dxa"/>
            <w:tcBorders>
              <w:bottom w:val="single" w:color="auto" w:sz="4" w:space="0"/>
            </w:tcBorders>
            <w:vAlign w:val="center"/>
          </w:tcPr>
          <w:p w14:paraId="081F546B">
            <w:pPr>
              <w:spacing w:line="360" w:lineRule="auto"/>
              <w:ind w:firstLine="240" w:firstLineChars="100"/>
              <w:jc w:val="center"/>
              <w:rPr>
                <w:rFonts w:ascii="宋体" w:hAnsi="宋体" w:eastAsia="宋体"/>
                <w:kern w:val="2"/>
                <w:szCs w:val="24"/>
                <w:highlight w:val="none"/>
              </w:rPr>
            </w:pPr>
            <w:r>
              <w:rPr>
                <w:rFonts w:hint="eastAsia" w:ascii="宋体" w:hAnsi="宋体" w:eastAsia="宋体" w:cs="Times New Roman"/>
                <w:sz w:val="24"/>
                <w:highlight w:val="none"/>
                <w:lang w:val="en-US" w:eastAsia="zh-CN"/>
              </w:rPr>
              <w:t>评审指标</w:t>
            </w:r>
          </w:p>
        </w:tc>
        <w:tc>
          <w:tcPr>
            <w:tcW w:w="4439" w:type="dxa"/>
            <w:tcBorders>
              <w:bottom w:val="single" w:color="auto" w:sz="4" w:space="0"/>
            </w:tcBorders>
            <w:vAlign w:val="center"/>
          </w:tcPr>
          <w:p w14:paraId="2E24A318">
            <w:pPr>
              <w:spacing w:line="360" w:lineRule="auto"/>
              <w:ind w:firstLine="240" w:firstLineChars="100"/>
              <w:jc w:val="center"/>
              <w:rPr>
                <w:rFonts w:ascii="宋体" w:hAnsi="宋体" w:eastAsia="宋体"/>
                <w:sz w:val="24"/>
                <w:highlight w:val="none"/>
              </w:rPr>
            </w:pPr>
            <w:r>
              <w:rPr>
                <w:rFonts w:hint="eastAsia" w:ascii="宋体" w:hAnsi="宋体" w:eastAsia="宋体" w:cs="Times New Roman"/>
                <w:sz w:val="24"/>
                <w:highlight w:val="none"/>
                <w:lang w:val="en-US" w:eastAsia="zh-CN"/>
              </w:rPr>
              <w:t>评审标准</w:t>
            </w:r>
          </w:p>
        </w:tc>
        <w:tc>
          <w:tcPr>
            <w:tcW w:w="2260" w:type="dxa"/>
            <w:tcBorders>
              <w:bottom w:val="single" w:color="auto" w:sz="4" w:space="0"/>
            </w:tcBorders>
            <w:vAlign w:val="center"/>
          </w:tcPr>
          <w:p w14:paraId="0BB8ECAA">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格式及材料要求</w:t>
            </w:r>
          </w:p>
        </w:tc>
      </w:tr>
      <w:tr w14:paraId="7B4F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4142A9D">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1</w:t>
            </w:r>
          </w:p>
        </w:tc>
        <w:tc>
          <w:tcPr>
            <w:tcW w:w="1450" w:type="dxa"/>
            <w:tcBorders>
              <w:bottom w:val="single" w:color="auto" w:sz="4" w:space="0"/>
            </w:tcBorders>
            <w:vAlign w:val="center"/>
          </w:tcPr>
          <w:p w14:paraId="003C39F0">
            <w:pPr>
              <w:spacing w:line="360" w:lineRule="auto"/>
              <w:rPr>
                <w:rFonts w:hint="eastAsia" w:ascii="宋体" w:hAnsi="宋体" w:eastAsia="宋体" w:cs="宋体"/>
                <w:sz w:val="24"/>
                <w:szCs w:val="28"/>
                <w:highlight w:val="none"/>
              </w:rPr>
            </w:pPr>
            <w:r>
              <w:rPr>
                <w:rFonts w:hint="eastAsia" w:ascii="宋体" w:hAnsi="宋体" w:eastAsia="宋体" w:cs="宋体"/>
                <w:sz w:val="24"/>
                <w:highlight w:val="none"/>
                <w:lang w:val="en-US" w:eastAsia="zh-CN"/>
              </w:rPr>
              <w:t>异常低价响应审查</w:t>
            </w:r>
          </w:p>
        </w:tc>
        <w:tc>
          <w:tcPr>
            <w:tcW w:w="4439" w:type="dxa"/>
            <w:tcBorders>
              <w:bottom w:val="single" w:color="auto" w:sz="4" w:space="0"/>
            </w:tcBorders>
            <w:vAlign w:val="center"/>
          </w:tcPr>
          <w:p w14:paraId="7AA5B8CE">
            <w:pPr>
              <w:pStyle w:val="1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sz w:val="24"/>
                <w:szCs w:val="24"/>
                <w:highlight w:val="none"/>
                <w:u w:val="none"/>
                <w:lang w:val="en-US" w:eastAsia="zh-CN"/>
              </w:rPr>
              <w:t>；</w:t>
            </w:r>
          </w:p>
          <w:p w14:paraId="288C6037">
            <w:pPr>
              <w:pStyle w:val="1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FF0000"/>
                <w:sz w:val="24"/>
                <w:szCs w:val="24"/>
                <w:highlight w:val="none"/>
                <w:u w:val="single"/>
                <w:lang w:val="en-US" w:eastAsia="zh-CN"/>
              </w:rPr>
              <w:t>50%</w:t>
            </w:r>
            <w:r>
              <w:rPr>
                <w:rFonts w:hint="eastAsia" w:ascii="宋体" w:hAnsi="宋体" w:eastAsia="宋体" w:cs="宋体"/>
                <w:b w:val="0"/>
                <w:bCs w:val="0"/>
                <w:i w:val="0"/>
                <w:iCs w:val="0"/>
                <w:sz w:val="24"/>
                <w:szCs w:val="24"/>
                <w:highlight w:val="none"/>
                <w:u w:val="none"/>
                <w:lang w:val="en-US" w:eastAsia="zh-CN"/>
              </w:rPr>
              <w:t>；</w:t>
            </w:r>
          </w:p>
          <w:p w14:paraId="7EACAB9B">
            <w:pPr>
              <w:pStyle w:val="1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FF0000"/>
                <w:sz w:val="24"/>
                <w:szCs w:val="24"/>
                <w:highlight w:val="none"/>
                <w:u w:val="single"/>
                <w:lang w:val="en-US" w:eastAsia="zh-CN"/>
              </w:rPr>
              <w:t>45%</w:t>
            </w:r>
            <w:r>
              <w:rPr>
                <w:rFonts w:hint="eastAsia" w:ascii="宋体" w:hAnsi="宋体" w:eastAsia="宋体" w:cs="宋体"/>
                <w:b w:val="0"/>
                <w:bCs w:val="0"/>
                <w:i w:val="0"/>
                <w:iCs w:val="0"/>
                <w:sz w:val="24"/>
                <w:szCs w:val="24"/>
                <w:highlight w:val="none"/>
                <w:u w:val="none"/>
                <w:lang w:val="en-US" w:eastAsia="zh-CN"/>
              </w:rPr>
              <w:t>；</w:t>
            </w:r>
          </w:p>
          <w:p w14:paraId="6545F9B4">
            <w:pPr>
              <w:pStyle w:val="1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（4）谈判小组基于专业判断，认为供应商报价过低，有可能影响产品质量或者不能诚信履约的其他情形。</w:t>
            </w:r>
          </w:p>
          <w:p w14:paraId="14FCFEF9">
            <w:pPr>
              <w:pStyle w:val="1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提醒：</w:t>
            </w:r>
          </w:p>
          <w:p w14:paraId="0BE4D07D">
            <w:pPr>
              <w:pStyle w:val="1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（1）上述第（1）项数值计算：涉及总价、单价的精确到“分”并四舍五入，涉及费率的精确到小数点后两位，第三位四舍五入（例：如平均值为123.456元，即为123.46元；如平均值为80.126%，即为80.13%）。</w:t>
            </w:r>
          </w:p>
          <w:p w14:paraId="0AE8B630">
            <w:pPr>
              <w:pStyle w:val="1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（2）上述报价均为供应商最后报价。</w:t>
            </w:r>
          </w:p>
        </w:tc>
        <w:tc>
          <w:tcPr>
            <w:tcW w:w="2260" w:type="dxa"/>
            <w:vAlign w:val="center"/>
          </w:tcPr>
          <w:p w14:paraId="370EAC49">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sz w:val="24"/>
          <w:highlight w:val="none"/>
          <w:lang w:val="en-US" w:eastAsia="zh-CN"/>
        </w:rPr>
      </w:pPr>
      <w:r>
        <w:rPr>
          <w:rFonts w:hint="eastAsia" w:ascii="宋体" w:hAnsi="宋体" w:eastAsia="宋体" w:cs="Times New Roman"/>
          <w:sz w:val="24"/>
          <w:highlight w:val="none"/>
          <w:lang w:val="en-US" w:eastAsia="zh-CN"/>
        </w:rPr>
        <w:t>注：</w:t>
      </w:r>
    </w:p>
    <w:p w14:paraId="3D504B49">
      <w:pPr>
        <w:pStyle w:val="1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lang w:val="en-US" w:eastAsia="zh-CN"/>
        </w:rPr>
      </w:pPr>
      <w:r>
        <w:rPr>
          <w:rFonts w:hint="eastAsia" w:ascii="宋体" w:hAnsi="宋体" w:eastAsia="宋体"/>
          <w:sz w:val="24"/>
          <w:highlight w:val="none"/>
        </w:rPr>
        <w:t>根据《关于推</w:t>
      </w:r>
      <w:r>
        <w:rPr>
          <w:rFonts w:hint="eastAsia" w:ascii="宋体" w:hAnsi="宋体" w:eastAsia="宋体"/>
          <w:sz w:val="24"/>
          <w:highlight w:val="none"/>
          <w:lang w:val="en-US" w:eastAsia="zh-CN"/>
        </w:rPr>
        <w:t>动</w:t>
      </w:r>
      <w:r>
        <w:rPr>
          <w:rFonts w:hint="eastAsia" w:ascii="宋体" w:hAnsi="宋体" w:eastAsia="宋体"/>
          <w:sz w:val="24"/>
          <w:highlight w:val="none"/>
        </w:rPr>
        <w:t>解决政府采购异常低价问题的通知》（财库〔2026〕2号），</w:t>
      </w:r>
      <w:r>
        <w:rPr>
          <w:rFonts w:hint="eastAsia" w:ascii="宋体" w:hAnsi="宋体" w:eastAsia="宋体"/>
          <w:sz w:val="24"/>
          <w:highlight w:val="none"/>
          <w:lang w:val="en-US" w:eastAsia="zh-CN"/>
        </w:rPr>
        <w:t>采购人可以结合具体项目实际情况，提高上述</w:t>
      </w:r>
      <w:r>
        <w:rPr>
          <w:rFonts w:hint="eastAsia" w:ascii="宋体" w:hAnsi="宋体" w:eastAsia="宋体" w:cs="Times New Roman"/>
          <w:sz w:val="24"/>
          <w:highlight w:val="none"/>
          <w:lang w:val="en-US" w:eastAsia="zh-CN"/>
        </w:rPr>
        <w:t>评审标准</w:t>
      </w:r>
      <w:r>
        <w:rPr>
          <w:rFonts w:hint="eastAsia" w:ascii="宋体" w:hAnsi="宋体" w:eastAsia="宋体"/>
          <w:sz w:val="24"/>
          <w:highlight w:val="none"/>
          <w:lang w:val="en-US" w:eastAsia="zh-CN"/>
        </w:rPr>
        <w:t>第（1）项至第（3）项中的数值标准，但是最高不得超过65%。</w:t>
      </w:r>
    </w:p>
    <w:p w14:paraId="153DDD6B">
      <w:pPr>
        <w:pStyle w:val="1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3</w:t>
      </w:r>
      <w:r>
        <w:rPr>
          <w:rFonts w:hint="eastAsia" w:ascii="宋体" w:hAnsi="宋体" w:eastAsia="宋体"/>
          <w:sz w:val="24"/>
          <w:highlight w:val="none"/>
          <w:lang w:eastAsia="zh-CN"/>
        </w:rPr>
        <w:t>）</w:t>
      </w:r>
      <w:r>
        <w:rPr>
          <w:rFonts w:hint="eastAsia" w:ascii="宋体" w:hAnsi="宋体" w:eastAsia="宋体"/>
          <w:sz w:val="24"/>
          <w:highlight w:val="none"/>
        </w:rPr>
        <w:t>项情形，供应商已随响应文件一并提交相关书面说明及必要的证明材料的，在评审现场可不再重复提交。</w:t>
      </w:r>
    </w:p>
    <w:p w14:paraId="295519EC">
      <w:pPr>
        <w:pStyle w:val="1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sz w:val="24"/>
          <w:highlight w:val="none"/>
          <w:lang w:val="en-US" w:eastAsia="zh-CN"/>
        </w:rPr>
        <w:t>谈判</w:t>
      </w:r>
      <w:r>
        <w:rPr>
          <w:rFonts w:hint="eastAsia" w:ascii="宋体" w:hAnsi="宋体" w:eastAsia="宋体"/>
          <w:sz w:val="24"/>
          <w:highlight w:val="none"/>
        </w:rPr>
        <w:t xml:space="preserve">小组应当将其作为无效响应处理。 </w:t>
      </w:r>
    </w:p>
    <w:p w14:paraId="081D0F7F">
      <w:pPr>
        <w:pStyle w:val="15"/>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Times New Roman"/>
          <w:b/>
          <w:bCs/>
          <w:sz w:val="24"/>
          <w:highlight w:val="none"/>
          <w:lang w:val="en-US" w:eastAsia="zh-CN"/>
        </w:rPr>
      </w:pPr>
      <w:r>
        <w:rPr>
          <w:rFonts w:hint="eastAsia" w:ascii="宋体" w:hAnsi="宋体" w:eastAsia="宋体" w:cs="Times New Roman"/>
          <w:b/>
          <w:bCs/>
          <w:sz w:val="24"/>
          <w:highlight w:val="none"/>
          <w:lang w:val="en-US" w:eastAsia="zh-CN"/>
        </w:rPr>
        <w:t>谈判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谈判小组有关互联网浏览、查询历史一并归档。</w:t>
      </w:r>
    </w:p>
    <w:p w14:paraId="25D1F91E">
      <w:pPr>
        <w:pStyle w:val="4"/>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5942ED9D">
      <w:pPr>
        <w:rPr>
          <w:rFonts w:hint="eastAsia" w:ascii="宋体" w:hAnsi="宋体" w:eastAsia="宋体" w:cs="宋体"/>
          <w:b/>
          <w:bCs/>
          <w:color w:val="auto"/>
          <w:kern w:val="2"/>
          <w:sz w:val="36"/>
          <w:szCs w:val="36"/>
          <w:highlight w:val="none"/>
          <w:lang w:val="en-US" w:eastAsia="zh-CN"/>
        </w:rPr>
      </w:pPr>
    </w:p>
    <w:p w14:paraId="78F0BF7F">
      <w:pPr>
        <w:rPr>
          <w:rFonts w:hint="default" w:ascii="宋体" w:hAnsi="宋体" w:eastAsia="宋体" w:cs="宋体"/>
          <w:b/>
          <w:bCs/>
          <w:color w:val="auto"/>
          <w:kern w:val="2"/>
          <w:sz w:val="36"/>
          <w:szCs w:val="36"/>
          <w:highlight w:val="none"/>
          <w:lang w:val="en-US" w:eastAsia="zh-CN"/>
        </w:rPr>
      </w:pPr>
      <w:r>
        <w:rPr>
          <w:rFonts w:hint="eastAsia" w:ascii="宋体" w:hAnsi="宋体" w:cs="宋体"/>
          <w:b/>
          <w:bCs/>
          <w:color w:val="auto"/>
          <w:kern w:val="2"/>
          <w:sz w:val="36"/>
          <w:szCs w:val="36"/>
          <w:highlight w:val="none"/>
          <w:lang w:val="en-US" w:eastAsia="zh-CN"/>
        </w:rPr>
        <w:t xml:space="preserve"> </w:t>
      </w:r>
    </w:p>
    <w:p w14:paraId="409DE6B9">
      <w:pPr>
        <w:pStyle w:val="4"/>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393B0C13">
      <w:pPr>
        <w:pStyle w:val="3"/>
        <w:rPr>
          <w:rFonts w:hint="eastAsia" w:ascii="宋体" w:hAnsi="宋体" w:eastAsia="宋体" w:cs="宋体"/>
          <w:b/>
          <w:bCs/>
          <w:color w:val="auto"/>
          <w:kern w:val="2"/>
          <w:sz w:val="36"/>
          <w:szCs w:val="36"/>
          <w:highlight w:val="none"/>
          <w:lang w:val="en-US" w:eastAsia="zh-CN"/>
        </w:rPr>
      </w:pPr>
    </w:p>
    <w:p w14:paraId="79AD5670">
      <w:pPr>
        <w:pStyle w:val="3"/>
        <w:rPr>
          <w:rFonts w:hint="eastAsia" w:ascii="宋体" w:hAnsi="宋体" w:eastAsia="宋体" w:cs="宋体"/>
          <w:b/>
          <w:bCs/>
          <w:color w:val="auto"/>
          <w:kern w:val="2"/>
          <w:sz w:val="36"/>
          <w:szCs w:val="36"/>
          <w:highlight w:val="none"/>
          <w:lang w:val="en-US" w:eastAsia="zh-CN"/>
        </w:rPr>
      </w:pPr>
    </w:p>
    <w:p w14:paraId="467D7D72">
      <w:pPr>
        <w:pStyle w:val="4"/>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第五章  政府采购合同主要条款</w:t>
      </w:r>
    </w:p>
    <w:p w14:paraId="1C818252">
      <w:pPr>
        <w:pStyle w:val="3"/>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bookmarkStart w:id="61" w:name="_Toc8981"/>
      <w:bookmarkStart w:id="62" w:name="_Toc54941341"/>
      <w:bookmarkStart w:id="63" w:name="_Toc439316880"/>
      <w:bookmarkStart w:id="64" w:name="_Toc1812"/>
    </w:p>
    <w:p w14:paraId="1D8E6547">
      <w:pPr>
        <w:pStyle w:val="3"/>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1B631675">
      <w:pPr>
        <w:pStyle w:val="3"/>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11D7745B">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2FCCE9B0">
      <w:pPr>
        <w:pStyle w:val="3"/>
        <w:rPr>
          <w:rFonts w:hint="eastAsia" w:ascii="宋体" w:hAnsi="宋体" w:eastAsia="宋体" w:cs="宋体"/>
          <w:b/>
          <w:bCs/>
          <w:spacing w:val="-20"/>
          <w:kern w:val="44"/>
          <w:sz w:val="24"/>
          <w:szCs w:val="24"/>
          <w:highlight w:val="none"/>
        </w:rPr>
      </w:pPr>
    </w:p>
    <w:p w14:paraId="2B08A30A">
      <w:pPr>
        <w:pStyle w:val="3"/>
        <w:rPr>
          <w:rFonts w:hint="eastAsia" w:ascii="宋体" w:hAnsi="宋体" w:eastAsia="宋体" w:cs="宋体"/>
          <w:b/>
          <w:bCs/>
          <w:spacing w:val="-20"/>
          <w:kern w:val="44"/>
          <w:sz w:val="24"/>
          <w:szCs w:val="24"/>
          <w:highlight w:val="none"/>
        </w:rPr>
      </w:pPr>
    </w:p>
    <w:p w14:paraId="2A5ABA68">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33044915">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i/>
          <w:iCs/>
          <w:color w:val="000000" w:themeColor="text1"/>
          <w:sz w:val="24"/>
          <w:szCs w:val="24"/>
          <w:highlight w:val="none"/>
          <w14:textFill>
            <w14:solidFill>
              <w14:schemeClr w14:val="tx1"/>
            </w14:solidFill>
          </w14:textFill>
        </w:rPr>
      </w:pPr>
      <w:r>
        <w:rPr>
          <w:rFonts w:hint="eastAsia" w:ascii="宋体" w:hAnsi="宋体" w:eastAsia="宋体" w:cs="宋体"/>
          <w:kern w:val="0"/>
          <w:sz w:val="24"/>
          <w:szCs w:val="24"/>
          <w:highlight w:val="none"/>
        </w:rPr>
        <w:t>项目名称：</w:t>
      </w:r>
      <w:r>
        <w:rPr>
          <w:rFonts w:hint="eastAsia" w:ascii="宋体" w:hAnsi="宋体" w:eastAsia="宋体" w:cs="宋体"/>
          <w:sz w:val="24"/>
          <w:szCs w:val="24"/>
          <w:highlight w:val="none"/>
          <w:u w:val="single"/>
        </w:rPr>
        <w:t xml:space="preserve">                             </w:t>
      </w:r>
    </w:p>
    <w:p w14:paraId="67058B72">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4922425E">
      <w:pPr>
        <w:pageBreakBefore w:val="0"/>
        <w:kinsoku/>
        <w:wordWrap/>
        <w:overflowPunct/>
        <w:topLinePunct w:val="0"/>
        <w:bidi w:val="0"/>
        <w:spacing w:line="360" w:lineRule="auto"/>
        <w:ind w:left="420" w:leftChars="200" w:firstLine="1680" w:firstLineChars="700"/>
        <w:textAlignment w:val="auto"/>
        <w:rPr>
          <w:rFonts w:hint="eastAsia"/>
          <w:highlight w:val="none"/>
        </w:rPr>
      </w:pPr>
      <w:r>
        <w:rPr>
          <w:rFonts w:hint="eastAsia" w:ascii="宋体" w:hAnsi="宋体" w:eastAsia="宋体" w:cs="宋体"/>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359F5713">
      <w:pPr>
        <w:pageBreakBefore w:val="0"/>
        <w:kinsoku/>
        <w:wordWrap/>
        <w:overflowPunct/>
        <w:topLinePunct w:val="0"/>
        <w:bidi w:val="0"/>
        <w:spacing w:line="360" w:lineRule="auto"/>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74FBDF7">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49FE18B3">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0DA0133">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甲方（采购人）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5DDDF5B1">
      <w:pPr>
        <w:pageBreakBefore w:val="0"/>
        <w:kinsoku/>
        <w:wordWrap/>
        <w:overflowPunct/>
        <w:topLinePunct w:val="0"/>
        <w:bidi w:val="0"/>
        <w:spacing w:line="360" w:lineRule="auto"/>
        <w:ind w:left="420" w:leftChars="2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32534CF7">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u w:val="singl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乙方（</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成交供应商</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145BDCFA">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6A0B34CB">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p>
    <w:p w14:paraId="08B3F7FC">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sectPr>
          <w:headerReference r:id="rId10"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sz w:val="24"/>
          <w:szCs w:val="24"/>
          <w:highlight w:val="none"/>
        </w:rPr>
        <w:t>签订时间：</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1A5F71D1">
      <w:pPr>
        <w:pStyle w:val="17"/>
        <w:pageBreakBefore w:val="0"/>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rPr>
      </w:pPr>
      <w:bookmarkStart w:id="65" w:name="_Toc27624"/>
      <w:r>
        <w:rPr>
          <w:rFonts w:hint="eastAsia" w:ascii="宋体" w:hAnsi="宋体" w:eastAsia="宋体" w:cs="宋体"/>
          <w:sz w:val="24"/>
          <w:szCs w:val="24"/>
          <w:highlight w:val="none"/>
        </w:rPr>
        <w:t>依据《中华人民共和国民法典》</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《中华人民共和国政府采购法》等有关的法律法规，以及</w:t>
      </w:r>
      <w:r>
        <w:rPr>
          <w:rFonts w:hint="eastAsia" w:ascii="宋体" w:hAnsi="宋体" w:eastAsia="宋体" w:cs="宋体"/>
          <w:i w:val="0"/>
          <w:iCs w:val="0"/>
          <w:sz w:val="24"/>
          <w:szCs w:val="24"/>
          <w:highlight w:val="none"/>
          <w:u w:val="none"/>
          <w:lang w:eastAsia="zh-CN"/>
        </w:rPr>
        <w:t>本采购项目</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eastAsia="zh-CN"/>
        </w:rPr>
        <w:t>招标</w:t>
      </w:r>
      <w:r>
        <w:rPr>
          <w:rFonts w:hint="eastAsia" w:ascii="宋体" w:hAnsi="宋体" w:eastAsia="宋体" w:cs="宋体"/>
          <w:sz w:val="24"/>
          <w:szCs w:val="24"/>
          <w:highlight w:val="none"/>
          <w:lang w:val="en-US" w:eastAsia="zh-CN"/>
        </w:rPr>
        <w:t>/谈判</w:t>
      </w:r>
      <w:r>
        <w:rPr>
          <w:rFonts w:hint="eastAsia" w:ascii="宋体" w:hAnsi="宋体" w:eastAsia="宋体" w:cs="宋体"/>
          <w:sz w:val="24"/>
          <w:szCs w:val="24"/>
          <w:highlight w:val="none"/>
          <w:lang w:eastAsia="zh-CN"/>
        </w:rPr>
        <w:t>文件等</w:t>
      </w:r>
      <w:r>
        <w:rPr>
          <w:rFonts w:hint="eastAsia" w:ascii="宋体" w:hAnsi="宋体" w:eastAsia="宋体" w:cs="宋体"/>
          <w:sz w:val="24"/>
          <w:szCs w:val="24"/>
          <w:highlight w:val="none"/>
        </w:rPr>
        <w:t>采购文件</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乙方的《投标（响应）文件》及《中标（成交）通知书》，甲乙双方同意签订本合同。具体情况及要求如下：     </w:t>
      </w:r>
    </w:p>
    <w:p w14:paraId="1E98B72D">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1.</w:t>
      </w:r>
      <w:r>
        <w:rPr>
          <w:rFonts w:hint="eastAsia" w:ascii="宋体" w:hAnsi="宋体" w:eastAsia="宋体" w:cs="宋体"/>
          <w:b/>
          <w:sz w:val="24"/>
          <w:szCs w:val="24"/>
          <w:highlight w:val="none"/>
        </w:rPr>
        <w:t>项目信息</w:t>
      </w:r>
    </w:p>
    <w:p w14:paraId="6822A358">
      <w:pPr>
        <w:pStyle w:val="17"/>
        <w:pageBreakBefore w:val="0"/>
        <w:numPr>
          <w:ilvl w:val="0"/>
          <w:numId w:val="0"/>
        </w:numPr>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lang w:val="en-US" w:eastAsia="zh-CN" w:bidi="he-IL"/>
        </w:rPr>
        <w:t>（1）</w:t>
      </w:r>
      <w:r>
        <w:rPr>
          <w:rFonts w:hint="eastAsia" w:ascii="宋体" w:hAnsi="宋体" w:eastAsia="宋体" w:cs="宋体"/>
          <w:sz w:val="24"/>
          <w:szCs w:val="24"/>
          <w:highlight w:val="none"/>
        </w:rPr>
        <w:t>采购项目名称：</w:t>
      </w:r>
      <w:r>
        <w:rPr>
          <w:rFonts w:hint="eastAsia" w:ascii="宋体" w:hAnsi="宋体" w:eastAsia="宋体" w:cs="宋体"/>
          <w:sz w:val="24"/>
          <w:szCs w:val="24"/>
          <w:highlight w:val="none"/>
          <w:u w:val="single"/>
        </w:rPr>
        <w:t xml:space="preserve">                                          </w:t>
      </w:r>
    </w:p>
    <w:p w14:paraId="58BECF89">
      <w:pPr>
        <w:pStyle w:val="17"/>
        <w:pageBreakBefore w:val="0"/>
        <w:numPr>
          <w:ilvl w:val="-1"/>
          <w:numId w:val="0"/>
        </w:numPr>
        <w:tabs>
          <w:tab w:val="left" w:pos="999"/>
        </w:tabs>
        <w:kinsoku/>
        <w:wordWrap/>
        <w:overflowPunct/>
        <w:topLinePunct w:val="0"/>
        <w:bidi w:val="0"/>
        <w:adjustRightInd w:val="0"/>
        <w:snapToGrid w:val="0"/>
        <w:spacing w:before="0" w:beforeLines="0" w:after="0" w:line="360" w:lineRule="auto"/>
        <w:ind w:left="0" w:leftChars="0" w:firstLine="0" w:firstLineChars="0"/>
        <w:textAlignment w:val="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 xml:space="preserve">         采购项目编号：</w:t>
      </w:r>
      <w:r>
        <w:rPr>
          <w:rFonts w:hint="eastAsia" w:ascii="宋体" w:hAnsi="宋体" w:eastAsia="宋体" w:cs="宋体"/>
          <w:sz w:val="24"/>
          <w:szCs w:val="24"/>
          <w:highlight w:val="none"/>
          <w:u w:val="single"/>
        </w:rPr>
        <w:t xml:space="preserve">                                          </w:t>
      </w:r>
    </w:p>
    <w:p w14:paraId="683D4E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）项目内容：</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p>
    <w:p w14:paraId="28B8E56C">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2.合同金额</w:t>
      </w:r>
    </w:p>
    <w:p w14:paraId="0E00B1A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（1）合同金额小写：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3EEB48CA">
      <w:pPr>
        <w:pageBreakBefore w:val="0"/>
        <w:kinsoku/>
        <w:wordWrap/>
        <w:overflowPunct/>
        <w:topLinePunct w:val="0"/>
        <w:bidi w:val="0"/>
        <w:adjustRightInd w:val="0"/>
        <w:snapToGrid w:val="0"/>
        <w:spacing w:before="0" w:beforeLines="0" w:line="360" w:lineRule="auto"/>
        <w:ind w:left="0" w:firstLine="0" w:firstLineChars="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大写：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15B66079">
      <w:pPr>
        <w:pageBreakBefore w:val="0"/>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（注：固定单价合同应填写单价和最高限价）</w:t>
      </w:r>
    </w:p>
    <w:p w14:paraId="0C74EE47">
      <w:pPr>
        <w:pageBreakBefore w:val="0"/>
        <w:numPr>
          <w:ilvl w:val="-1"/>
          <w:numId w:val="0"/>
        </w:numPr>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合同定价方式</w:t>
      </w:r>
      <w:r>
        <w:rPr>
          <w:rFonts w:hint="eastAsia" w:ascii="宋体" w:hAnsi="宋体" w:eastAsia="宋体" w:cs="宋体"/>
          <w:sz w:val="24"/>
          <w:szCs w:val="24"/>
          <w:highlight w:val="none"/>
          <w:lang w:eastAsia="zh-CN"/>
        </w:rPr>
        <w:t>（采用组合定价方式的，可以勾选多项）</w:t>
      </w:r>
      <w:r>
        <w:rPr>
          <w:rFonts w:hint="eastAsia" w:ascii="宋体" w:hAnsi="宋体" w:eastAsia="宋体" w:cs="宋体"/>
          <w:sz w:val="24"/>
          <w:szCs w:val="24"/>
          <w:highlight w:val="none"/>
        </w:rPr>
        <w:t>：</w:t>
      </w:r>
    </w:p>
    <w:p w14:paraId="5457C78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固定总价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固定单价</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FE"/>
      </w:r>
      <w:r>
        <w:rPr>
          <w:rFonts w:hint="eastAsia" w:ascii="宋体" w:hAnsi="宋体" w:eastAsia="宋体" w:cs="宋体"/>
          <w:iCs/>
          <w:sz w:val="24"/>
          <w:szCs w:val="24"/>
          <w:highlight w:val="none"/>
          <w:lang w:eastAsia="zh-CN"/>
        </w:rPr>
        <w:t>固定费率</w:t>
      </w: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成本补偿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绩效激励</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lang w:eastAsia="zh-CN"/>
        </w:rPr>
        <w:t>其他</w:t>
      </w:r>
      <w:r>
        <w:rPr>
          <w:rFonts w:hint="eastAsia" w:ascii="宋体" w:hAnsi="宋体" w:eastAsia="宋体" w:cs="宋体"/>
          <w:sz w:val="24"/>
          <w:szCs w:val="24"/>
          <w:highlight w:val="none"/>
          <w:u w:val="single"/>
        </w:rPr>
        <w:t xml:space="preserve">       </w:t>
      </w:r>
    </w:p>
    <w:p w14:paraId="21B03338">
      <w:pPr>
        <w:pStyle w:val="147"/>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）付款方式（按项目实际勾选填写）：</w:t>
      </w:r>
    </w:p>
    <w:p w14:paraId="3626D7F7">
      <w:pPr>
        <w:pageBreakBefore w:val="0"/>
        <w:kinsoku/>
        <w:wordWrap/>
        <w:overflowPunct/>
        <w:topLinePunct w:val="0"/>
        <w:bidi w:val="0"/>
        <w:adjustRightInd w:val="0"/>
        <w:snapToGrid w:val="0"/>
        <w:spacing w:before="0" w:beforeLines="0" w:line="360" w:lineRule="auto"/>
        <w:ind w:firstLine="720" w:firstLineChars="3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全额付款：</w:t>
      </w:r>
      <w:r>
        <w:rPr>
          <w:rFonts w:hint="eastAsia" w:ascii="宋体" w:hAnsi="宋体" w:eastAsia="宋体" w:cs="宋体"/>
          <w:sz w:val="24"/>
          <w:szCs w:val="24"/>
          <w:highlight w:val="none"/>
          <w:u w:val="single"/>
        </w:rPr>
        <w:t xml:space="preserve">  （应</w:t>
      </w:r>
      <w:r>
        <w:rPr>
          <w:rFonts w:hint="eastAsia" w:ascii="宋体" w:hAnsi="宋体" w:eastAsia="宋体" w:cs="宋体"/>
          <w:sz w:val="24"/>
          <w:szCs w:val="24"/>
          <w:highlight w:val="none"/>
          <w:u w:val="single"/>
          <w:lang w:eastAsia="zh-CN"/>
        </w:rPr>
        <w:t>明确</w:t>
      </w:r>
      <w:r>
        <w:rPr>
          <w:rFonts w:hint="eastAsia" w:ascii="宋体" w:hAnsi="宋体" w:eastAsia="宋体" w:cs="宋体"/>
          <w:sz w:val="24"/>
          <w:szCs w:val="24"/>
          <w:highlight w:val="none"/>
          <w:u w:val="single"/>
        </w:rPr>
        <w:t>一次性支付合同款项</w:t>
      </w:r>
      <w:r>
        <w:rPr>
          <w:rFonts w:hint="eastAsia" w:ascii="宋体" w:hAnsi="宋体" w:eastAsia="宋体" w:cs="宋体"/>
          <w:sz w:val="24"/>
          <w:szCs w:val="24"/>
          <w:highlight w:val="none"/>
          <w:u w:val="single"/>
          <w:lang w:eastAsia="zh-CN"/>
        </w:rPr>
        <w:t>的条件</w:t>
      </w:r>
      <w:r>
        <w:rPr>
          <w:rFonts w:hint="eastAsia" w:ascii="宋体" w:hAnsi="宋体" w:eastAsia="宋体" w:cs="宋体"/>
          <w:sz w:val="24"/>
          <w:szCs w:val="24"/>
          <w:highlight w:val="none"/>
          <w:u w:val="single"/>
        </w:rPr>
        <w:t xml:space="preserve">）                    </w:t>
      </w:r>
    </w:p>
    <w:p w14:paraId="6D2635DF">
      <w:pPr>
        <w:pageBreakBefore w:val="0"/>
        <w:kinsoku/>
        <w:wordWrap/>
        <w:overflowPunct/>
        <w:topLinePunct w:val="0"/>
        <w:bidi w:val="0"/>
        <w:snapToGrid w:val="0"/>
        <w:spacing w:beforeLines="0" w:line="360" w:lineRule="auto"/>
        <w:ind w:firstLine="720" w:firstLineChars="3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分期付款：</w:t>
      </w:r>
      <w:r>
        <w:rPr>
          <w:rFonts w:hint="eastAsia" w:ascii="宋体" w:hAnsi="宋体" w:eastAsia="宋体" w:cs="宋体"/>
          <w:sz w:val="24"/>
          <w:szCs w:val="24"/>
          <w:highlight w:val="none"/>
          <w:u w:val="single"/>
        </w:rPr>
        <w:t xml:space="preserve">  （应明确分期支付合同款项的各期比例和支付条件</w:t>
      </w:r>
      <w:r>
        <w:rPr>
          <w:rFonts w:hint="eastAsia" w:ascii="宋体" w:hAnsi="宋体" w:eastAsia="宋体" w:cs="宋体"/>
          <w:sz w:val="24"/>
          <w:szCs w:val="24"/>
          <w:highlight w:val="none"/>
          <w:u w:val="single"/>
          <w:lang w:eastAsia="zh-CN"/>
        </w:rPr>
        <w:t>，各期支付条件应与分期履约验收情况挂钩</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none"/>
          <w:lang w:eastAsia="zh-CN"/>
        </w:rPr>
        <w:t>，</w:t>
      </w:r>
      <w:r>
        <w:rPr>
          <w:rFonts w:hint="eastAsia" w:ascii="宋体" w:hAnsi="宋体" w:eastAsia="宋体" w:cs="宋体"/>
          <w:sz w:val="24"/>
          <w:szCs w:val="24"/>
          <w:highlight w:val="none"/>
          <w:lang w:eastAsia="zh-CN"/>
        </w:rPr>
        <w:t>其中涉及预付款的</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（应明确预付款的支付比例和支付条件） </w:t>
      </w:r>
    </w:p>
    <w:p w14:paraId="4A719BEE">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3.合同履行</w:t>
      </w:r>
    </w:p>
    <w:p w14:paraId="28BF1DF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eastAsia="zh-CN"/>
        </w:rPr>
        <w:t>履约</w:t>
      </w:r>
      <w:r>
        <w:rPr>
          <w:rFonts w:hint="eastAsia" w:ascii="宋体" w:hAnsi="宋体" w:cs="宋体"/>
          <w:sz w:val="24"/>
          <w:szCs w:val="24"/>
          <w:highlight w:val="none"/>
          <w:lang w:val="en-US" w:eastAsia="zh-CN"/>
        </w:rPr>
        <w:t>时限</w:t>
      </w:r>
      <w:r>
        <w:rPr>
          <w:rFonts w:hint="eastAsia" w:ascii="宋体" w:hAnsi="宋体" w:eastAsia="宋体" w:cs="宋体"/>
          <w:b w:val="0"/>
          <w:bCs/>
          <w:sz w:val="24"/>
          <w:szCs w:val="24"/>
          <w:highlight w:val="none"/>
        </w:rPr>
        <w:t>：</w:t>
      </w:r>
      <w:r>
        <w:rPr>
          <w:rFonts w:hint="eastAsia" w:ascii="宋体" w:hAnsi="宋体" w:eastAsia="宋体" w:cs="宋体"/>
          <w:sz w:val="24"/>
          <w:szCs w:val="24"/>
          <w:highlight w:val="none"/>
          <w:u w:val="single"/>
        </w:rPr>
        <w:t xml:space="preserve">                             </w:t>
      </w:r>
    </w:p>
    <w:p w14:paraId="0CCC266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履约</w:t>
      </w:r>
      <w:r>
        <w:rPr>
          <w:rFonts w:hint="eastAsia" w:ascii="宋体" w:hAnsi="宋体" w:eastAsia="宋体" w:cs="宋体"/>
          <w:sz w:val="24"/>
          <w:szCs w:val="24"/>
          <w:highlight w:val="none"/>
        </w:rPr>
        <w:t>地点</w:t>
      </w:r>
      <w:r>
        <w:rPr>
          <w:rFonts w:hint="eastAsia" w:ascii="宋体" w:hAnsi="宋体" w:eastAsia="宋体" w:cs="宋体"/>
          <w:b w:val="0"/>
          <w:bCs/>
          <w:sz w:val="24"/>
          <w:szCs w:val="24"/>
          <w:highlight w:val="none"/>
        </w:rPr>
        <w:t>：</w:t>
      </w:r>
      <w:r>
        <w:rPr>
          <w:rFonts w:hint="eastAsia" w:ascii="宋体" w:hAnsi="宋体" w:eastAsia="宋体" w:cs="宋体"/>
          <w:sz w:val="24"/>
          <w:szCs w:val="24"/>
          <w:highlight w:val="none"/>
          <w:u w:val="single"/>
        </w:rPr>
        <w:t xml:space="preserve">                             </w:t>
      </w:r>
    </w:p>
    <w:p w14:paraId="7BF283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Cs/>
          <w:sz w:val="24"/>
          <w:szCs w:val="24"/>
          <w:highlight w:val="none"/>
        </w:rPr>
        <w:t>（3）履约担保：</w:t>
      </w:r>
      <w:r>
        <w:rPr>
          <w:rFonts w:hint="eastAsia" w:ascii="宋体" w:hAnsi="宋体" w:eastAsia="宋体" w:cs="宋体"/>
          <w:sz w:val="24"/>
          <w:szCs w:val="24"/>
          <w:highlight w:val="none"/>
          <w:lang w:val="en-US" w:eastAsia="zh-CN"/>
        </w:rPr>
        <w:t>是否收取履约保证金：</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lang w:eastAsia="zh-CN"/>
        </w:rPr>
        <w:t>是</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sym w:font="Wingdings" w:char="00FE"/>
      </w:r>
      <w:r>
        <w:rPr>
          <w:rFonts w:hint="eastAsia" w:ascii="宋体" w:hAnsi="宋体" w:eastAsia="宋体" w:cs="宋体"/>
          <w:sz w:val="24"/>
          <w:szCs w:val="24"/>
          <w:highlight w:val="none"/>
          <w:lang w:eastAsia="zh-CN"/>
        </w:rPr>
        <w:t>否</w:t>
      </w:r>
    </w:p>
    <w:p w14:paraId="689C04D4">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4.合同验收</w:t>
      </w:r>
    </w:p>
    <w:p w14:paraId="3480CE54">
      <w:pPr>
        <w:pageBreakBefore w:val="0"/>
        <w:numPr>
          <w:ilvl w:val="0"/>
          <w:numId w:val="1"/>
        </w:numPr>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验收组织方式：</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自行组织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委托第三方组织</w:t>
      </w:r>
    </w:p>
    <w:p w14:paraId="093E188E">
      <w:pPr>
        <w:pageBreakBefore w:val="0"/>
        <w:numPr>
          <w:ilvl w:val="0"/>
          <w:numId w:val="0"/>
        </w:numPr>
        <w:kinsoku/>
        <w:wordWrap/>
        <w:overflowPunct/>
        <w:topLinePunct w:val="0"/>
        <w:bidi w:val="0"/>
        <w:adjustRightInd w:val="0"/>
        <w:snapToGrid w:val="0"/>
        <w:spacing w:before="0" w:beforeLines="0" w:line="360" w:lineRule="auto"/>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lang w:val="en-US" w:eastAsia="zh-CN"/>
        </w:rPr>
        <w:t xml:space="preserve">         </w:t>
      </w:r>
      <w:r>
        <w:rPr>
          <w:rFonts w:hint="eastAsia" w:ascii="宋体" w:hAnsi="宋体" w:eastAsia="宋体" w:cs="宋体"/>
          <w:bCs/>
          <w:sz w:val="24"/>
          <w:szCs w:val="24"/>
          <w:highlight w:val="none"/>
        </w:rPr>
        <w:t>验收主体：</w:t>
      </w:r>
      <w:r>
        <w:rPr>
          <w:rFonts w:hint="eastAsia" w:ascii="宋体" w:hAnsi="宋体" w:eastAsia="宋体" w:cs="宋体"/>
          <w:bCs/>
          <w:sz w:val="24"/>
          <w:szCs w:val="24"/>
          <w:highlight w:val="none"/>
          <w:u w:val="single"/>
        </w:rPr>
        <w:t xml:space="preserve">                  </w:t>
      </w:r>
    </w:p>
    <w:p w14:paraId="5536F458">
      <w:pPr>
        <w:pageBreakBefore w:val="0"/>
        <w:kinsoku/>
        <w:wordWrap/>
        <w:overflowPunct/>
        <w:topLinePunct w:val="0"/>
        <w:bidi w:val="0"/>
        <w:adjustRightInd w:val="0"/>
        <w:snapToGrid w:val="0"/>
        <w:spacing w:before="0" w:beforeLines="0" w:line="360" w:lineRule="auto"/>
        <w:ind w:firstLine="480" w:firstLineChars="200"/>
        <w:textAlignment w:val="auto"/>
        <w:rPr>
          <w:rFonts w:hint="default" w:ascii="宋体" w:hAnsi="宋体" w:eastAsia="宋体" w:cs="宋体"/>
          <w:bCs/>
          <w:sz w:val="24"/>
          <w:szCs w:val="24"/>
          <w:highlight w:val="none"/>
          <w:u w:val="single"/>
          <w:lang w:val="en-US"/>
        </w:rPr>
      </w:pPr>
      <w:r>
        <w:rPr>
          <w:rFonts w:hint="eastAsia" w:ascii="宋体" w:hAnsi="宋体" w:eastAsia="宋体" w:cs="宋体"/>
          <w:bCs/>
          <w:sz w:val="24"/>
          <w:szCs w:val="24"/>
          <w:highlight w:val="none"/>
        </w:rPr>
        <w:t>（2）履约验收时间：</w:t>
      </w:r>
      <w:r>
        <w:rPr>
          <w:rFonts w:hint="eastAsia" w:ascii="宋体" w:hAnsi="宋体" w:eastAsia="宋体" w:cs="宋体"/>
          <w:bCs/>
          <w:sz w:val="24"/>
          <w:szCs w:val="24"/>
          <w:highlight w:val="none"/>
          <w:u w:val="single"/>
          <w:lang w:val="en-US" w:eastAsia="zh-CN"/>
        </w:rPr>
        <w:t xml:space="preserve">                                         </w:t>
      </w:r>
    </w:p>
    <w:p w14:paraId="4F0B6C60">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rPr>
        <w:t>（3）履约验收方式：</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 xml:space="preserve">                                       </w:t>
      </w:r>
    </w:p>
    <w:p w14:paraId="484B46E6">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（4）履约验收标准：</w:t>
      </w:r>
      <w:r>
        <w:rPr>
          <w:rFonts w:hint="eastAsia" w:ascii="宋体" w:hAnsi="宋体" w:eastAsia="宋体" w:cs="宋体"/>
          <w:bCs/>
          <w:sz w:val="24"/>
          <w:szCs w:val="24"/>
          <w:highlight w:val="none"/>
          <w:u w:val="single"/>
        </w:rPr>
        <w:t xml:space="preserve">                                         </w:t>
      </w:r>
    </w:p>
    <w:p w14:paraId="1E1ADB02">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5.</w:t>
      </w:r>
      <w:r>
        <w:rPr>
          <w:rFonts w:hint="eastAsia" w:ascii="宋体" w:hAnsi="宋体" w:eastAsia="宋体" w:cs="宋体"/>
          <w:b/>
          <w:sz w:val="24"/>
          <w:szCs w:val="24"/>
          <w:highlight w:val="none"/>
        </w:rPr>
        <w:t>组成合同的文件</w:t>
      </w:r>
    </w:p>
    <w:p w14:paraId="22765AF7">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本协议书与下列文件一起构成合同文件，如下述文件之间有任何抵触、矛盾或歧义，应按以下顺序解释：</w:t>
      </w:r>
    </w:p>
    <w:p w14:paraId="518016E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政府采购</w:t>
      </w:r>
      <w:r>
        <w:rPr>
          <w:rFonts w:hint="eastAsia" w:ascii="宋体" w:hAnsi="宋体" w:eastAsia="宋体" w:cs="宋体"/>
          <w:color w:val="auto"/>
          <w:sz w:val="24"/>
          <w:szCs w:val="24"/>
          <w:highlight w:val="none"/>
        </w:rPr>
        <w:t>合同协议书及其变更、补充</w:t>
      </w:r>
      <w:r>
        <w:rPr>
          <w:rFonts w:hint="eastAsia" w:ascii="宋体" w:hAnsi="宋体" w:eastAsia="宋体" w:cs="宋体"/>
          <w:color w:val="auto"/>
          <w:sz w:val="24"/>
          <w:szCs w:val="24"/>
          <w:highlight w:val="none"/>
          <w:lang w:eastAsia="zh-CN"/>
        </w:rPr>
        <w:t>协议</w:t>
      </w:r>
    </w:p>
    <w:p w14:paraId="2BB99E9C">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）政府采购合同专用条款</w:t>
      </w:r>
    </w:p>
    <w:p w14:paraId="552DD82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）政府采购合同通用条款</w:t>
      </w:r>
    </w:p>
    <w:p w14:paraId="1771AB4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）中标</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通知书</w:t>
      </w:r>
    </w:p>
    <w:p w14:paraId="0DD54A3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）采购文件</w:t>
      </w:r>
    </w:p>
    <w:p w14:paraId="09451CC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（6）投标（响应）文件</w:t>
      </w:r>
    </w:p>
    <w:p w14:paraId="30AD4F8E">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（7）有关技术文件，图纸</w:t>
      </w:r>
    </w:p>
    <w:p w14:paraId="3A49B6E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）国家法律、行政法规和规章制度规定或合同约定的作为合同组成部分的其他文件</w:t>
      </w:r>
    </w:p>
    <w:p w14:paraId="18256E5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6.违约责任</w:t>
      </w:r>
    </w:p>
    <w:p w14:paraId="6F07CD1C">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6.1除不可抗力外，如果乙方没有按照本合同约定的期限、地点和方式履行，那么甲方可要求乙方支付违约金，违约金按每迟延履行一日的应提供而未提供服务价格的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；迟延履行的违约金计算数额达到前述最高限额之日起，甲方有权在要求乙方支付违约金的同时，书面通知乙方解除本合同；</w:t>
      </w:r>
    </w:p>
    <w:p w14:paraId="19549785">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6.2除不可抗力外，如果甲方没有按照本合同约定的付款方式付款，那么乙方可要求甲方支付违约金，违约金按每迟延付款一日的应付而未付款的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；迟延付款的违约金计算数额达到前述最高限额之日起，乙方有权在要求甲方支付违约金的同时，书面通知甲方解除本合同；</w:t>
      </w:r>
    </w:p>
    <w:p w14:paraId="5D4595F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及要求违约方向守约方支付合同结算金额的30%的违约金；</w:t>
      </w:r>
    </w:p>
    <w:p w14:paraId="51971DF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D65628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58187B2">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6.6因任何一方违约引发诉讼的，违约方应承担守约方为维护自身权益而产生的合理成本支出，包括但不限于律师费、诉讼费、保全费、差旅费、公证费、鉴定费等。</w:t>
      </w:r>
    </w:p>
    <w:p w14:paraId="753F8968">
      <w:pPr>
        <w:snapToGrid w:val="0"/>
        <w:spacing w:line="360" w:lineRule="auto"/>
        <w:ind w:firstLine="482" w:firstLineChars="200"/>
        <w:rPr>
          <w:rFonts w:hint="eastAsia" w:ascii="宋体" w:hAnsi="宋体" w:cs="宋体"/>
          <w:b/>
          <w:bCs/>
          <w:sz w:val="24"/>
          <w:szCs w:val="24"/>
        </w:rPr>
      </w:pPr>
      <w:bookmarkStart w:id="66" w:name="_Toc28375"/>
      <w:bookmarkStart w:id="67" w:name="_Toc16021"/>
      <w:bookmarkStart w:id="68" w:name="_Toc15583"/>
      <w:r>
        <w:rPr>
          <w:rFonts w:hint="eastAsia" w:ascii="宋体" w:hAnsi="宋体" w:cs="宋体"/>
          <w:b/>
          <w:bCs/>
          <w:sz w:val="24"/>
          <w:szCs w:val="24"/>
        </w:rPr>
        <w:t>7.合同争议的解决</w:t>
      </w:r>
      <w:bookmarkEnd w:id="66"/>
      <w:bookmarkEnd w:id="67"/>
      <w:bookmarkEnd w:id="68"/>
    </w:p>
    <w:p w14:paraId="61B45C1E">
      <w:pPr>
        <w:snapToGrid w:val="0"/>
        <w:spacing w:line="360" w:lineRule="auto"/>
        <w:ind w:firstLine="720" w:firstLineChars="300"/>
      </w:pPr>
      <w:r>
        <w:rPr>
          <w:rFonts w:hint="eastAsia" w:ascii="宋体" w:hAnsi="宋体" w:cs="宋体"/>
          <w:sz w:val="24"/>
          <w:szCs w:val="24"/>
        </w:rPr>
        <w:t>本合同如发生争议，买卖双方应当及时协商解决，协商不成时，按以下方式处理：向</w:t>
      </w:r>
      <w:r>
        <w:rPr>
          <w:rFonts w:hint="eastAsia" w:ascii="宋体" w:hAnsi="宋体" w:cs="宋体"/>
          <w:sz w:val="24"/>
          <w:szCs w:val="24"/>
          <w:u w:val="single"/>
        </w:rPr>
        <w:t xml:space="preserve">  桐城市 </w:t>
      </w:r>
      <w:r>
        <w:rPr>
          <w:rFonts w:hint="eastAsia" w:ascii="宋体" w:hAnsi="宋体" w:cs="宋体"/>
          <w:sz w:val="24"/>
          <w:szCs w:val="24"/>
        </w:rPr>
        <w:t>人民法院起诉。</w:t>
      </w:r>
    </w:p>
    <w:p w14:paraId="5F3EC4F6">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8.合同生效</w:t>
      </w:r>
    </w:p>
    <w:p w14:paraId="0616F7F3">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本合同自</w:t>
      </w:r>
      <w:r>
        <w:rPr>
          <w:rFonts w:hint="eastAsia" w:ascii="宋体" w:hAnsi="宋体" w:cs="宋体"/>
          <w:sz w:val="24"/>
          <w:szCs w:val="24"/>
          <w:u w:val="single"/>
        </w:rPr>
        <w:t xml:space="preserve"> 签字盖章之日起 </w:t>
      </w:r>
      <w:r>
        <w:rPr>
          <w:rFonts w:hint="eastAsia" w:ascii="宋体" w:hAnsi="宋体" w:cs="宋体"/>
          <w:sz w:val="24"/>
          <w:szCs w:val="24"/>
        </w:rPr>
        <w:t>生效。</w:t>
      </w:r>
    </w:p>
    <w:p w14:paraId="3A32CBF1">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9.合同份数</w:t>
      </w:r>
    </w:p>
    <w:p w14:paraId="49C6ABE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本合同一式</w:t>
      </w:r>
      <w:r>
        <w:rPr>
          <w:rFonts w:hint="eastAsia" w:ascii="宋体" w:hAnsi="宋体" w:cs="宋体"/>
          <w:sz w:val="24"/>
          <w:szCs w:val="24"/>
          <w:u w:val="single"/>
        </w:rPr>
        <w:t xml:space="preserve"> 叁 </w:t>
      </w:r>
      <w:r>
        <w:rPr>
          <w:rFonts w:hint="eastAsia" w:ascii="宋体" w:hAnsi="宋体" w:cs="宋体"/>
          <w:sz w:val="24"/>
          <w:szCs w:val="24"/>
        </w:rPr>
        <w:t>份，甲方执</w:t>
      </w:r>
      <w:r>
        <w:rPr>
          <w:rFonts w:hint="eastAsia" w:ascii="宋体" w:hAnsi="宋体" w:cs="宋体"/>
          <w:sz w:val="24"/>
          <w:szCs w:val="24"/>
          <w:u w:val="single"/>
        </w:rPr>
        <w:t xml:space="preserve"> 贰 </w:t>
      </w:r>
      <w:r>
        <w:rPr>
          <w:rFonts w:hint="eastAsia" w:ascii="宋体" w:hAnsi="宋体" w:cs="宋体"/>
          <w:sz w:val="24"/>
          <w:szCs w:val="24"/>
        </w:rPr>
        <w:t>份，乙方执</w:t>
      </w:r>
      <w:r>
        <w:rPr>
          <w:rFonts w:hint="eastAsia" w:ascii="宋体" w:hAnsi="宋体" w:cs="宋体"/>
          <w:sz w:val="24"/>
          <w:szCs w:val="24"/>
          <w:u w:val="single"/>
        </w:rPr>
        <w:t xml:space="preserve"> 壹 </w:t>
      </w:r>
      <w:r>
        <w:rPr>
          <w:rFonts w:hint="eastAsia" w:ascii="宋体" w:hAnsi="宋体" w:cs="宋体"/>
          <w:sz w:val="24"/>
          <w:szCs w:val="24"/>
        </w:rPr>
        <w:t>份，均具有同等法律效力。</w:t>
      </w:r>
    </w:p>
    <w:p w14:paraId="65BD7E1B">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合同订立时间：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7F7D50D4">
      <w:pPr>
        <w:snapToGrid w:val="0"/>
        <w:spacing w:line="360" w:lineRule="auto"/>
        <w:ind w:firstLine="480" w:firstLineChars="200"/>
        <w:rPr>
          <w:rFonts w:hint="eastAsia" w:ascii="宋体" w:hAnsi="宋体" w:cs="宋体"/>
          <w:sz w:val="24"/>
          <w:szCs w:val="24"/>
          <w:u w:val="single"/>
        </w:rPr>
      </w:pPr>
      <w:r>
        <w:rPr>
          <w:rFonts w:hint="eastAsia" w:ascii="宋体" w:hAnsi="宋体" w:cs="宋体"/>
          <w:sz w:val="24"/>
          <w:szCs w:val="24"/>
        </w:rPr>
        <w:t>合同订立地点：</w:t>
      </w:r>
      <w:r>
        <w:rPr>
          <w:rFonts w:hint="eastAsia" w:ascii="宋体" w:hAnsi="宋体" w:cs="宋体"/>
          <w:sz w:val="24"/>
          <w:szCs w:val="24"/>
          <w:u w:val="single"/>
        </w:rPr>
        <w:t xml:space="preserve"> 桐城师范高等专科学校 </w:t>
      </w:r>
    </w:p>
    <w:p w14:paraId="1CBB62CB">
      <w:pPr>
        <w:pStyle w:val="2"/>
      </w:pPr>
    </w:p>
    <w:tbl>
      <w:tblPr>
        <w:tblStyle w:val="40"/>
        <w:tblW w:w="5079"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589"/>
        <w:gridCol w:w="1990"/>
        <w:gridCol w:w="2300"/>
        <w:gridCol w:w="2097"/>
      </w:tblGrid>
      <w:tr w14:paraId="7707026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2550" w:type="pct"/>
            <w:gridSpan w:val="2"/>
            <w:tcBorders>
              <w:bottom w:val="single" w:color="auto" w:sz="2" w:space="0"/>
              <w:right w:val="single" w:color="auto" w:sz="2" w:space="0"/>
            </w:tcBorders>
            <w:vAlign w:val="center"/>
          </w:tcPr>
          <w:p w14:paraId="0D7BAAAF">
            <w:pPr>
              <w:snapToGrid w:val="0"/>
              <w:spacing w:line="360" w:lineRule="auto"/>
              <w:jc w:val="center"/>
              <w:rPr>
                <w:rFonts w:hint="eastAsia" w:ascii="宋体" w:hAnsi="宋体" w:cs="宋体"/>
                <w:sz w:val="24"/>
                <w:szCs w:val="24"/>
              </w:rPr>
            </w:pPr>
            <w:r>
              <w:rPr>
                <w:rFonts w:hint="eastAsia" w:ascii="宋体" w:hAnsi="宋体" w:cs="宋体"/>
                <w:sz w:val="24"/>
                <w:szCs w:val="24"/>
              </w:rPr>
              <w:t>甲方（采购人、受采购人委托签订合同的单位或采购文件约定的合同甲方）</w:t>
            </w:r>
          </w:p>
        </w:tc>
        <w:tc>
          <w:tcPr>
            <w:tcW w:w="2449" w:type="pct"/>
            <w:gridSpan w:val="2"/>
            <w:tcBorders>
              <w:left w:val="single" w:color="auto" w:sz="2" w:space="0"/>
              <w:bottom w:val="single" w:color="auto" w:sz="2" w:space="0"/>
            </w:tcBorders>
            <w:vAlign w:val="center"/>
          </w:tcPr>
          <w:p w14:paraId="5C4FA8AE">
            <w:pPr>
              <w:snapToGrid w:val="0"/>
              <w:spacing w:line="360" w:lineRule="auto"/>
              <w:jc w:val="center"/>
              <w:rPr>
                <w:rFonts w:hint="eastAsia" w:ascii="宋体" w:hAnsi="宋体" w:cs="宋体"/>
                <w:sz w:val="24"/>
                <w:szCs w:val="24"/>
              </w:rPr>
            </w:pPr>
            <w:r>
              <w:rPr>
                <w:rFonts w:hint="eastAsia" w:ascii="宋体" w:hAnsi="宋体" w:cs="宋体"/>
                <w:sz w:val="24"/>
                <w:szCs w:val="24"/>
              </w:rPr>
              <w:t>乙方（供应商）</w:t>
            </w:r>
          </w:p>
        </w:tc>
      </w:tr>
      <w:tr w14:paraId="7DCDF0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62F36E5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2FDE2D9F">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08" w:type="pct"/>
            <w:tcBorders>
              <w:top w:val="single" w:color="auto" w:sz="2" w:space="0"/>
              <w:left w:val="single" w:color="auto" w:sz="2" w:space="0"/>
              <w:bottom w:val="single" w:color="auto" w:sz="2" w:space="0"/>
              <w:right w:val="single" w:color="auto" w:sz="2" w:space="0"/>
            </w:tcBorders>
            <w:vAlign w:val="center"/>
          </w:tcPr>
          <w:p w14:paraId="7988F0F1">
            <w:pPr>
              <w:snapToGrid w:val="0"/>
              <w:spacing w:line="360" w:lineRule="auto"/>
              <w:jc w:val="center"/>
              <w:rPr>
                <w:rFonts w:hint="eastAsia" w:ascii="宋体" w:hAnsi="宋体" w:cs="宋体"/>
                <w:sz w:val="24"/>
                <w:szCs w:val="24"/>
              </w:rPr>
            </w:pPr>
            <w:r>
              <w:rPr>
                <w:rFonts w:hint="eastAsia" w:ascii="宋体" w:hAnsi="宋体" w:cs="宋体"/>
                <w:sz w:val="24"/>
                <w:szCs w:val="24"/>
              </w:rPr>
              <w:t>桐城师范高等专科学校</w:t>
            </w:r>
          </w:p>
        </w:tc>
        <w:tc>
          <w:tcPr>
            <w:tcW w:w="1281" w:type="pct"/>
            <w:tcBorders>
              <w:top w:val="single" w:color="auto" w:sz="2" w:space="0"/>
              <w:left w:val="single" w:color="auto" w:sz="2" w:space="0"/>
              <w:bottom w:val="single" w:color="auto" w:sz="2" w:space="0"/>
              <w:right w:val="single" w:color="auto" w:sz="2" w:space="0"/>
            </w:tcBorders>
            <w:vAlign w:val="center"/>
          </w:tcPr>
          <w:p w14:paraId="159058F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5DB2E376">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67" w:type="pct"/>
            <w:tcBorders>
              <w:top w:val="single" w:color="auto" w:sz="2" w:space="0"/>
              <w:left w:val="single" w:color="auto" w:sz="2" w:space="0"/>
              <w:bottom w:val="single" w:color="auto" w:sz="2" w:space="0"/>
            </w:tcBorders>
            <w:vAlign w:val="center"/>
          </w:tcPr>
          <w:p w14:paraId="32CD01E1">
            <w:pPr>
              <w:snapToGrid w:val="0"/>
              <w:spacing w:line="360" w:lineRule="auto"/>
              <w:jc w:val="center"/>
              <w:rPr>
                <w:rFonts w:hint="eastAsia" w:ascii="宋体" w:hAnsi="宋体" w:cs="宋体"/>
                <w:spacing w:val="20"/>
                <w:sz w:val="24"/>
                <w:szCs w:val="24"/>
              </w:rPr>
            </w:pPr>
          </w:p>
        </w:tc>
      </w:tr>
      <w:tr w14:paraId="06D96A2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vMerge w:val="restart"/>
            <w:tcBorders>
              <w:top w:val="single" w:color="auto" w:sz="2" w:space="0"/>
              <w:right w:val="single" w:color="auto" w:sz="2" w:space="0"/>
            </w:tcBorders>
            <w:vAlign w:val="center"/>
          </w:tcPr>
          <w:p w14:paraId="6096F1D1">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19C7B82B">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或其委托代理人</w:t>
            </w:r>
          </w:p>
          <w:p w14:paraId="1DF109E9">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（签章）</w:t>
            </w:r>
          </w:p>
        </w:tc>
        <w:tc>
          <w:tcPr>
            <w:tcW w:w="1108" w:type="pct"/>
            <w:vMerge w:val="restart"/>
            <w:tcBorders>
              <w:top w:val="single" w:color="auto" w:sz="2" w:space="0"/>
              <w:left w:val="single" w:color="auto" w:sz="2" w:space="0"/>
              <w:right w:val="single" w:color="auto" w:sz="2" w:space="0"/>
            </w:tcBorders>
            <w:vAlign w:val="center"/>
          </w:tcPr>
          <w:p w14:paraId="431603A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right w:val="single" w:color="auto" w:sz="2" w:space="0"/>
            </w:tcBorders>
            <w:vAlign w:val="center"/>
          </w:tcPr>
          <w:p w14:paraId="3E9675CE">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2D3247C3">
            <w:pPr>
              <w:snapToGrid w:val="0"/>
              <w:spacing w:line="360" w:lineRule="auto"/>
              <w:jc w:val="center"/>
              <w:rPr>
                <w:rFonts w:hint="eastAsia" w:ascii="宋体" w:hAnsi="宋体" w:cs="宋体"/>
                <w:sz w:val="24"/>
                <w:szCs w:val="24"/>
              </w:rPr>
            </w:pPr>
            <w:r>
              <w:rPr>
                <w:rFonts w:hint="eastAsia" w:ascii="宋体" w:hAnsi="宋体" w:cs="宋体"/>
                <w:sz w:val="24"/>
                <w:szCs w:val="24"/>
              </w:rPr>
              <w:t>或其委托代理人</w:t>
            </w:r>
          </w:p>
          <w:p w14:paraId="7CF7DB34">
            <w:pPr>
              <w:snapToGrid w:val="0"/>
              <w:spacing w:line="360" w:lineRule="auto"/>
              <w:jc w:val="center"/>
              <w:rPr>
                <w:rFonts w:hint="eastAsia" w:ascii="宋体" w:hAnsi="宋体" w:cs="宋体"/>
                <w:sz w:val="24"/>
                <w:szCs w:val="24"/>
              </w:rPr>
            </w:pPr>
            <w:r>
              <w:rPr>
                <w:rFonts w:hint="eastAsia" w:ascii="宋体" w:hAnsi="宋体" w:cs="宋体"/>
                <w:sz w:val="24"/>
                <w:szCs w:val="24"/>
              </w:rPr>
              <w:t>（签章）</w:t>
            </w:r>
          </w:p>
        </w:tc>
        <w:tc>
          <w:tcPr>
            <w:tcW w:w="1167" w:type="pct"/>
            <w:tcBorders>
              <w:top w:val="single" w:color="auto" w:sz="2" w:space="0"/>
              <w:left w:val="single" w:color="auto" w:sz="2" w:space="0"/>
              <w:bottom w:val="single" w:color="auto" w:sz="2" w:space="0"/>
            </w:tcBorders>
            <w:vAlign w:val="center"/>
          </w:tcPr>
          <w:p w14:paraId="4BA15226">
            <w:pPr>
              <w:snapToGrid w:val="0"/>
              <w:spacing w:line="360" w:lineRule="auto"/>
              <w:jc w:val="center"/>
              <w:rPr>
                <w:rFonts w:hint="eastAsia" w:ascii="宋体" w:hAnsi="宋体" w:cs="宋体"/>
                <w:sz w:val="24"/>
                <w:szCs w:val="24"/>
              </w:rPr>
            </w:pPr>
          </w:p>
        </w:tc>
      </w:tr>
      <w:tr w14:paraId="680F071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vMerge w:val="continue"/>
            <w:tcBorders>
              <w:bottom w:val="single" w:color="auto" w:sz="2" w:space="0"/>
              <w:right w:val="single" w:color="auto" w:sz="2" w:space="0"/>
            </w:tcBorders>
            <w:vAlign w:val="center"/>
          </w:tcPr>
          <w:p w14:paraId="5DCB092D">
            <w:pPr>
              <w:snapToGrid w:val="0"/>
              <w:spacing w:line="360" w:lineRule="auto"/>
              <w:jc w:val="center"/>
              <w:rPr>
                <w:rFonts w:hint="eastAsia" w:ascii="宋体" w:hAnsi="宋体" w:cs="宋体"/>
                <w:sz w:val="24"/>
                <w:szCs w:val="24"/>
              </w:rPr>
            </w:pPr>
          </w:p>
        </w:tc>
        <w:tc>
          <w:tcPr>
            <w:tcW w:w="1108" w:type="pct"/>
            <w:vMerge w:val="continue"/>
            <w:tcBorders>
              <w:left w:val="single" w:color="auto" w:sz="2" w:space="0"/>
              <w:bottom w:val="single" w:color="auto" w:sz="2" w:space="0"/>
              <w:right w:val="single" w:color="auto" w:sz="2" w:space="0"/>
            </w:tcBorders>
            <w:vAlign w:val="center"/>
          </w:tcPr>
          <w:p w14:paraId="512BF277">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1E01A762">
            <w:pPr>
              <w:snapToGrid w:val="0"/>
              <w:spacing w:line="360" w:lineRule="auto"/>
              <w:jc w:val="center"/>
              <w:rPr>
                <w:rFonts w:hint="eastAsia" w:ascii="宋体" w:hAnsi="宋体" w:cs="宋体"/>
                <w:sz w:val="24"/>
                <w:szCs w:val="24"/>
              </w:rPr>
            </w:pPr>
            <w:r>
              <w:rPr>
                <w:rFonts w:hint="eastAsia" w:ascii="宋体" w:hAnsi="宋体" w:cs="宋体"/>
                <w:sz w:val="24"/>
                <w:szCs w:val="24"/>
              </w:rPr>
              <w:t>拥有者性别</w:t>
            </w:r>
          </w:p>
        </w:tc>
        <w:tc>
          <w:tcPr>
            <w:tcW w:w="1167" w:type="pct"/>
            <w:tcBorders>
              <w:top w:val="single" w:color="auto" w:sz="2" w:space="0"/>
              <w:left w:val="single" w:color="auto" w:sz="2" w:space="0"/>
              <w:bottom w:val="single" w:color="auto" w:sz="2" w:space="0"/>
            </w:tcBorders>
            <w:vAlign w:val="center"/>
          </w:tcPr>
          <w:p w14:paraId="407F2083">
            <w:pPr>
              <w:snapToGrid w:val="0"/>
              <w:spacing w:line="360" w:lineRule="auto"/>
              <w:jc w:val="center"/>
              <w:rPr>
                <w:rFonts w:hint="eastAsia" w:ascii="宋体" w:hAnsi="宋体" w:cs="宋体"/>
                <w:spacing w:val="20"/>
                <w:sz w:val="24"/>
                <w:szCs w:val="24"/>
              </w:rPr>
            </w:pPr>
          </w:p>
        </w:tc>
      </w:tr>
      <w:tr w14:paraId="3A004E3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23911FAF">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08" w:type="pct"/>
            <w:tcBorders>
              <w:top w:val="single" w:color="auto" w:sz="2" w:space="0"/>
              <w:left w:val="single" w:color="auto" w:sz="2" w:space="0"/>
              <w:bottom w:val="single" w:color="auto" w:sz="2" w:space="0"/>
              <w:right w:val="single" w:color="auto" w:sz="2" w:space="0"/>
            </w:tcBorders>
            <w:vAlign w:val="center"/>
          </w:tcPr>
          <w:p w14:paraId="117933E0">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1C7CDCC">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67" w:type="pct"/>
            <w:tcBorders>
              <w:top w:val="single" w:color="auto" w:sz="2" w:space="0"/>
              <w:left w:val="single" w:color="auto" w:sz="2" w:space="0"/>
              <w:bottom w:val="single" w:color="auto" w:sz="2" w:space="0"/>
            </w:tcBorders>
            <w:vAlign w:val="center"/>
          </w:tcPr>
          <w:p w14:paraId="192EF882">
            <w:pPr>
              <w:snapToGrid w:val="0"/>
              <w:spacing w:line="360" w:lineRule="auto"/>
              <w:jc w:val="center"/>
              <w:rPr>
                <w:rFonts w:hint="eastAsia" w:ascii="宋体" w:hAnsi="宋体" w:cs="宋体"/>
                <w:spacing w:val="20"/>
                <w:sz w:val="24"/>
                <w:szCs w:val="24"/>
              </w:rPr>
            </w:pPr>
          </w:p>
        </w:tc>
      </w:tr>
      <w:tr w14:paraId="4DD3BC4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38C4AC21">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08" w:type="pct"/>
            <w:tcBorders>
              <w:top w:val="single" w:color="auto" w:sz="2" w:space="0"/>
              <w:left w:val="single" w:color="auto" w:sz="2" w:space="0"/>
              <w:bottom w:val="single" w:color="auto" w:sz="2" w:space="0"/>
              <w:right w:val="single" w:color="auto" w:sz="2" w:space="0"/>
            </w:tcBorders>
            <w:vAlign w:val="center"/>
          </w:tcPr>
          <w:p w14:paraId="6C0C514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2F969165">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67" w:type="pct"/>
            <w:tcBorders>
              <w:top w:val="single" w:color="auto" w:sz="2" w:space="0"/>
              <w:left w:val="single" w:color="auto" w:sz="2" w:space="0"/>
              <w:bottom w:val="single" w:color="auto" w:sz="2" w:space="0"/>
            </w:tcBorders>
            <w:vAlign w:val="center"/>
          </w:tcPr>
          <w:p w14:paraId="3E54948D">
            <w:pPr>
              <w:snapToGrid w:val="0"/>
              <w:spacing w:line="360" w:lineRule="auto"/>
              <w:jc w:val="center"/>
              <w:rPr>
                <w:rFonts w:hint="eastAsia" w:ascii="宋体" w:hAnsi="宋体" w:cs="宋体"/>
                <w:spacing w:val="20"/>
                <w:sz w:val="24"/>
                <w:szCs w:val="24"/>
              </w:rPr>
            </w:pPr>
          </w:p>
        </w:tc>
      </w:tr>
      <w:tr w14:paraId="60CBEB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2" w:type="pct"/>
            <w:tcBorders>
              <w:top w:val="single" w:color="auto" w:sz="2" w:space="0"/>
              <w:bottom w:val="single" w:color="auto" w:sz="2" w:space="0"/>
              <w:right w:val="single" w:color="auto" w:sz="2" w:space="0"/>
            </w:tcBorders>
            <w:vAlign w:val="center"/>
          </w:tcPr>
          <w:p w14:paraId="4EEB3F45">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08" w:type="pct"/>
            <w:tcBorders>
              <w:top w:val="single" w:color="auto" w:sz="2" w:space="0"/>
              <w:left w:val="single" w:color="auto" w:sz="2" w:space="0"/>
              <w:bottom w:val="single" w:color="auto" w:sz="2" w:space="0"/>
              <w:right w:val="single" w:color="auto" w:sz="2" w:space="0"/>
            </w:tcBorders>
            <w:vAlign w:val="center"/>
          </w:tcPr>
          <w:p w14:paraId="31E7127C">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08BCDF6A">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67" w:type="pct"/>
            <w:tcBorders>
              <w:top w:val="single" w:color="auto" w:sz="2" w:space="0"/>
              <w:left w:val="single" w:color="auto" w:sz="2" w:space="0"/>
              <w:bottom w:val="single" w:color="auto" w:sz="2" w:space="0"/>
            </w:tcBorders>
            <w:vAlign w:val="center"/>
          </w:tcPr>
          <w:p w14:paraId="50D39A1B">
            <w:pPr>
              <w:snapToGrid w:val="0"/>
              <w:spacing w:line="360" w:lineRule="auto"/>
              <w:jc w:val="center"/>
              <w:rPr>
                <w:rFonts w:hint="eastAsia" w:ascii="宋体" w:hAnsi="宋体" w:cs="宋体"/>
                <w:spacing w:val="20"/>
                <w:sz w:val="24"/>
                <w:szCs w:val="24"/>
              </w:rPr>
            </w:pPr>
          </w:p>
        </w:tc>
      </w:tr>
    </w:tbl>
    <w:p w14:paraId="1C50493C">
      <w:pPr>
        <w:pageBreakBefore w:val="0"/>
        <w:kinsoku/>
        <w:wordWrap/>
        <w:overflowPunct/>
        <w:topLinePunct w:val="0"/>
        <w:bidi w:val="0"/>
        <w:spacing w:line="360" w:lineRule="auto"/>
        <w:jc w:val="both"/>
        <w:textAlignment w:val="auto"/>
        <w:outlineLvl w:val="1"/>
        <w:rPr>
          <w:rFonts w:hint="eastAsia" w:cs="@仿宋_GB2312" w:asciiTheme="minorEastAsia" w:hAnsiTheme="minorEastAsia" w:eastAsiaTheme="minorEastAsia"/>
          <w:b/>
          <w:color w:val="000000" w:themeColor="text1"/>
          <w:sz w:val="24"/>
          <w:szCs w:val="20"/>
          <w:highlight w:val="none"/>
          <w:lang w:val="en-US" w:eastAsia="zh-CN"/>
          <w14:textFill>
            <w14:solidFill>
              <w14:schemeClr w14:val="tx1"/>
            </w14:solidFill>
          </w14:textFill>
        </w:rPr>
      </w:pPr>
    </w:p>
    <w:bookmarkEnd w:id="65"/>
    <w:p w14:paraId="3AEC431B">
      <w:pPr>
        <w:pStyle w:val="4"/>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zh-CN" w:eastAsia="zh-CN"/>
        </w:rPr>
        <w:t>第</w:t>
      </w:r>
      <w:r>
        <w:rPr>
          <w:rFonts w:hint="eastAsia" w:ascii="宋体" w:hAnsi="宋体" w:eastAsia="宋体" w:cs="宋体"/>
          <w:b/>
          <w:bCs/>
          <w:color w:val="auto"/>
          <w:kern w:val="2"/>
          <w:sz w:val="36"/>
          <w:szCs w:val="36"/>
          <w:highlight w:val="none"/>
          <w:lang w:val="en-US" w:eastAsia="zh-CN"/>
        </w:rPr>
        <w:t>六</w:t>
      </w:r>
      <w:r>
        <w:rPr>
          <w:rFonts w:hint="eastAsia" w:ascii="宋体" w:hAnsi="宋体" w:eastAsia="宋体" w:cs="宋体"/>
          <w:b/>
          <w:bCs/>
          <w:color w:val="auto"/>
          <w:kern w:val="2"/>
          <w:sz w:val="36"/>
          <w:szCs w:val="36"/>
          <w:highlight w:val="none"/>
          <w:lang w:val="zh-CN" w:eastAsia="zh-CN"/>
        </w:rPr>
        <w:t xml:space="preserve">章  </w:t>
      </w:r>
      <w:bookmarkStart w:id="69" w:name="_Toc417656001"/>
      <w:r>
        <w:rPr>
          <w:rFonts w:hint="eastAsia" w:ascii="宋体" w:hAnsi="宋体" w:eastAsia="宋体" w:cs="宋体"/>
          <w:b/>
          <w:bCs/>
          <w:color w:val="auto"/>
          <w:kern w:val="2"/>
          <w:sz w:val="36"/>
          <w:szCs w:val="36"/>
          <w:highlight w:val="none"/>
          <w:lang w:val="en-US" w:eastAsia="zh-CN"/>
        </w:rPr>
        <w:t>响应文件格式</w:t>
      </w:r>
      <w:bookmarkEnd w:id="61"/>
      <w:bookmarkEnd w:id="62"/>
      <w:bookmarkEnd w:id="63"/>
      <w:bookmarkEnd w:id="64"/>
      <w:bookmarkEnd w:id="69"/>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hint="eastAsia" w:asciiTheme="majorEastAsia" w:hAnsiTheme="majorEastAsia" w:eastAsiaTheme="majorEastAsia" w:cstheme="majorEastAsia"/>
          <w:b/>
          <w:color w:val="auto"/>
          <w:spacing w:val="20"/>
          <w:sz w:val="36"/>
          <w:szCs w:val="36"/>
          <w:highlight w:val="none"/>
          <w:lang w:eastAsia="zh-CN"/>
        </w:rPr>
      </w:pPr>
      <w:r>
        <w:rPr>
          <w:rFonts w:hint="eastAsia" w:asciiTheme="majorEastAsia" w:hAnsiTheme="majorEastAsia" w:eastAsiaTheme="majorEastAsia" w:cstheme="majorEastAsia"/>
          <w:b/>
          <w:color w:val="auto"/>
          <w:spacing w:val="20"/>
          <w:sz w:val="36"/>
          <w:szCs w:val="36"/>
          <w:highlight w:val="none"/>
          <w:u w:val="single"/>
        </w:rPr>
        <w:t xml:space="preserve">                              </w:t>
      </w:r>
      <w:r>
        <w:rPr>
          <w:rFonts w:hint="eastAsia" w:asciiTheme="majorEastAsia" w:hAnsiTheme="majorEastAsia" w:eastAsiaTheme="majorEastAsia" w:cstheme="majorEastAsia"/>
          <w:b/>
          <w:color w:val="auto"/>
          <w:spacing w:val="20"/>
          <w:sz w:val="36"/>
          <w:szCs w:val="36"/>
          <w:highlight w:val="none"/>
        </w:rPr>
        <w:t>项目</w:t>
      </w:r>
    </w:p>
    <w:p w14:paraId="1EAAD0EA">
      <w:pPr>
        <w:spacing w:line="480" w:lineRule="auto"/>
        <w:jc w:val="center"/>
        <w:rPr>
          <w:rFonts w:hint="eastAsia" w:ascii="宋体" w:hAnsi="宋体"/>
          <w:b/>
          <w:color w:val="auto"/>
          <w:sz w:val="72"/>
          <w:szCs w:val="72"/>
          <w:highlight w:val="none"/>
        </w:rPr>
      </w:pP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56"/>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2673D75A">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02AD0D2">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406B8E0">
      <w:pPr>
        <w:tabs>
          <w:tab w:val="left" w:pos="2410"/>
        </w:tabs>
        <w:autoSpaceDE w:val="0"/>
        <w:autoSpaceDN w:val="0"/>
        <w:adjustRightInd w:val="0"/>
        <w:snapToGrid w:val="0"/>
        <w:spacing w:line="360" w:lineRule="auto"/>
        <w:ind w:firstLine="643" w:firstLineChars="2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商：</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96C828B">
      <w:pPr>
        <w:spacing w:after="156" w:afterLines="50" w:line="500" w:lineRule="exact"/>
        <w:jc w:val="center"/>
        <w:outlineLvl w:val="1"/>
        <w:rPr>
          <w:rFonts w:ascii="黑体" w:eastAsia="黑体"/>
          <w:b/>
          <w:bCs/>
          <w:color w:val="auto"/>
          <w:szCs w:val="21"/>
          <w:highlight w:val="none"/>
        </w:rPr>
      </w:pP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bookmarkStart w:id="70" w:name="_Toc12430"/>
      <w:bookmarkStart w:id="71" w:name="_Toc12150"/>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日</w:t>
      </w:r>
      <w:bookmarkEnd w:id="70"/>
      <w:bookmarkEnd w:id="71"/>
    </w:p>
    <w:p w14:paraId="4C3254F9">
      <w:pPr>
        <w:widowControl/>
        <w:jc w:val="left"/>
        <w:rPr>
          <w:rFonts w:ascii="宋体" w:cs="宋体"/>
          <w:color w:val="auto"/>
          <w:sz w:val="24"/>
          <w:highlight w:val="none"/>
        </w:rPr>
      </w:pPr>
    </w:p>
    <w:p w14:paraId="0E2EF0B0">
      <w:pPr>
        <w:pStyle w:val="6"/>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bookmarkStart w:id="72" w:name="_Toc461056631"/>
      <w:bookmarkStart w:id="73" w:name="_Toc461053086"/>
      <w:bookmarkStart w:id="74" w:name="_Toc27513"/>
      <w:bookmarkStart w:id="75" w:name="_Toc520983587"/>
      <w:bookmarkStart w:id="76" w:name="_Toc23658"/>
      <w:r>
        <w:rPr>
          <w:rFonts w:hint="eastAsia" w:asciiTheme="majorEastAsia" w:hAnsiTheme="majorEastAsia" w:eastAsiaTheme="majorEastAsia" w:cstheme="majorEastAsia"/>
          <w:color w:val="auto"/>
          <w:sz w:val="28"/>
          <w:szCs w:val="28"/>
          <w:highlight w:val="none"/>
          <w:lang w:eastAsia="zh-CN"/>
        </w:rPr>
        <w:t>一</w:t>
      </w:r>
      <w:bookmarkEnd w:id="72"/>
      <w:bookmarkEnd w:id="73"/>
      <w:r>
        <w:rPr>
          <w:rFonts w:hint="eastAsia" w:asciiTheme="majorEastAsia" w:hAnsiTheme="majorEastAsia" w:eastAsiaTheme="majorEastAsia" w:cstheme="majorEastAsia"/>
          <w:color w:val="auto"/>
          <w:sz w:val="28"/>
          <w:szCs w:val="28"/>
          <w:highlight w:val="none"/>
          <w:lang w:eastAsia="zh-CN"/>
        </w:rPr>
        <w:t>、报价表格式</w:t>
      </w:r>
      <w:bookmarkEnd w:id="74"/>
      <w:bookmarkEnd w:id="75"/>
      <w:bookmarkEnd w:id="76"/>
    </w:p>
    <w:p w14:paraId="5134FC92">
      <w:pPr>
        <w:spacing w:beforeAutospacing="0" w:afterAutospacing="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1-1 报价表</w:t>
      </w:r>
    </w:p>
    <w:p w14:paraId="5BCBE393">
      <w:pPr>
        <w:snapToGrid w:val="0"/>
        <w:spacing w:beforeAutospacing="0" w:line="360" w:lineRule="auto"/>
        <w:jc w:val="left"/>
        <w:rPr>
          <w:rFonts w:hint="default" w:ascii="宋体" w:hAnsi="宋体" w:eastAsia="宋体"/>
          <w:b/>
          <w:color w:val="auto"/>
          <w:sz w:val="24"/>
          <w:szCs w:val="28"/>
          <w:highlight w:val="none"/>
          <w:lang w:val="en-US" w:eastAsia="zh-CN"/>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lang w:val="en-US" w:eastAsia="zh-CN"/>
        </w:rPr>
        <w:t xml:space="preserve">               </w:t>
      </w:r>
    </w:p>
    <w:p w14:paraId="129F97F4">
      <w:pPr>
        <w:snapToGrid w:val="0"/>
        <w:spacing w:afterAutospacing="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lang w:val="en-US" w:eastAsia="zh-CN"/>
        </w:rPr>
        <w:t xml:space="preserve">               </w:t>
      </w:r>
    </w:p>
    <w:p w14:paraId="500EEBC1">
      <w:pPr>
        <w:wordWrap w:val="0"/>
        <w:spacing w:beforeAutospacing="0" w:line="360" w:lineRule="auto"/>
        <w:jc w:val="right"/>
        <w:rPr>
          <w:rFonts w:hint="default"/>
          <w:b/>
          <w:bCs/>
          <w:sz w:val="24"/>
          <w:szCs w:val="22"/>
          <w:lang w:val="en-US" w:eastAsia="zh-CN"/>
        </w:rPr>
      </w:pPr>
      <w:r>
        <w:rPr>
          <w:rFonts w:hint="eastAsia" w:ascii="宋体" w:hAnsi="宋体"/>
          <w:b/>
          <w:bCs/>
          <w:color w:val="auto"/>
          <w:sz w:val="24"/>
          <w:szCs w:val="22"/>
          <w:highlight w:val="none"/>
        </w:rPr>
        <w:t>单位：</w:t>
      </w:r>
      <w:r>
        <w:rPr>
          <w:rFonts w:hint="eastAsia" w:ascii="宋体" w:hAnsi="宋体"/>
          <w:b/>
          <w:bCs/>
          <w:color w:val="auto"/>
          <w:sz w:val="24"/>
          <w:szCs w:val="22"/>
          <w:highlight w:val="none"/>
          <w:u w:val="single"/>
          <w:lang w:val="en-US" w:eastAsia="zh-CN"/>
        </w:rPr>
        <w:t xml:space="preserve"> 元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0"/>
        <w:gridCol w:w="6286"/>
      </w:tblGrid>
      <w:tr w14:paraId="45C5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14A917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5175D42C">
            <w:pPr>
              <w:spacing w:line="360" w:lineRule="auto"/>
              <w:rPr>
                <w:rFonts w:ascii="宋体" w:hAnsi="宋体" w:eastAsia="宋体"/>
                <w:b/>
                <w:color w:val="auto"/>
                <w:sz w:val="24"/>
                <w:highlight w:val="none"/>
              </w:rPr>
            </w:pPr>
          </w:p>
        </w:tc>
      </w:tr>
      <w:tr w14:paraId="3199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6DFE607C">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谈判范围</w:t>
            </w:r>
          </w:p>
        </w:tc>
        <w:tc>
          <w:tcPr>
            <w:tcW w:w="3557" w:type="pct"/>
            <w:tcBorders>
              <w:left w:val="single" w:color="auto" w:sz="4" w:space="0"/>
            </w:tcBorders>
            <w:vAlign w:val="center"/>
          </w:tcPr>
          <w:p w14:paraId="129C8E54">
            <w:pPr>
              <w:widowControl/>
              <w:spacing w:line="360" w:lineRule="exact"/>
              <w:rPr>
                <w:rFonts w:ascii="宋体" w:hAnsi="宋体" w:eastAsia="宋体"/>
                <w:b/>
                <w:bCs/>
                <w:color w:val="auto"/>
                <w:sz w:val="24"/>
                <w:highlight w:val="none"/>
              </w:rPr>
            </w:pPr>
            <w:r>
              <w:rPr>
                <w:rFonts w:hint="eastAsia" w:asciiTheme="minorEastAsia" w:hAnsiTheme="minorEastAsia" w:eastAsiaTheme="minorEastAsia"/>
                <w:b/>
                <w:bCs/>
                <w:color w:val="auto"/>
                <w:sz w:val="24"/>
                <w:szCs w:val="28"/>
                <w:highlight w:val="none"/>
              </w:rPr>
              <w:t>全部</w:t>
            </w:r>
          </w:p>
        </w:tc>
      </w:tr>
      <w:tr w14:paraId="223F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2F918862">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4BEFAB40">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37E747BB">
            <w:pPr>
              <w:snapToGrid w:val="0"/>
              <w:spacing w:line="360" w:lineRule="auto"/>
              <w:jc w:val="left"/>
              <w:rPr>
                <w:rFonts w:ascii="宋体" w:hAnsi="宋体" w:eastAsia="宋体" w:cs="宋体"/>
                <w:b/>
                <w:bCs/>
                <w:color w:val="auto"/>
                <w:szCs w:val="21"/>
                <w:highlight w:val="none"/>
                <w:u w:val="single"/>
              </w:rPr>
            </w:pPr>
            <w:r>
              <w:rPr>
                <w:rFonts w:hint="eastAsia" w:ascii="宋体" w:hAnsi="宋体" w:eastAsia="宋体" w:cs="宋体"/>
                <w:b/>
                <w:bCs/>
                <w:color w:val="auto"/>
                <w:szCs w:val="21"/>
                <w:highlight w:val="none"/>
              </w:rPr>
              <w:t>大写：</w:t>
            </w:r>
            <w:r>
              <w:rPr>
                <w:rFonts w:hint="eastAsia" w:ascii="宋体" w:hAnsi="宋体" w:eastAsia="宋体" w:cs="宋体"/>
                <w:b/>
                <w:bCs/>
                <w:color w:val="auto"/>
                <w:szCs w:val="21"/>
                <w:highlight w:val="none"/>
                <w:u w:val="single"/>
              </w:rPr>
              <w:t xml:space="preserve">             </w:t>
            </w:r>
            <w:r>
              <w:rPr>
                <w:rFonts w:hint="eastAsia" w:ascii="宋体" w:hAnsi="宋体" w:cs="宋体"/>
                <w:b/>
                <w:bCs/>
                <w:color w:val="auto"/>
                <w:szCs w:val="21"/>
                <w:highlight w:val="none"/>
                <w:u w:val="single"/>
                <w:lang w:val="en-US" w:eastAsia="zh-CN"/>
              </w:rPr>
              <w:t xml:space="preserve">      </w:t>
            </w:r>
            <w:r>
              <w:rPr>
                <w:rFonts w:hint="eastAsia" w:ascii="宋体" w:hAnsi="宋体" w:eastAsia="宋体" w:cs="宋体"/>
                <w:b/>
                <w:bCs/>
                <w:color w:val="auto"/>
                <w:szCs w:val="21"/>
                <w:highlight w:val="none"/>
                <w:u w:val="single"/>
              </w:rPr>
              <w:t xml:space="preserve">  </w:t>
            </w:r>
          </w:p>
          <w:p w14:paraId="1A69A138">
            <w:pPr>
              <w:snapToGrid w:val="0"/>
              <w:spacing w:line="360" w:lineRule="auto"/>
              <w:rPr>
                <w:rFonts w:ascii="宋体" w:hAnsi="宋体" w:eastAsia="宋体"/>
                <w:b/>
                <w:bCs/>
                <w:color w:val="auto"/>
                <w:sz w:val="24"/>
                <w:highlight w:val="none"/>
              </w:rPr>
            </w:pPr>
            <w:r>
              <w:rPr>
                <w:rFonts w:hint="eastAsia" w:ascii="宋体" w:hAnsi="宋体" w:eastAsia="宋体" w:cs="宋体"/>
                <w:b/>
                <w:bCs/>
                <w:color w:val="auto"/>
                <w:szCs w:val="21"/>
                <w:highlight w:val="none"/>
              </w:rPr>
              <w:t>小写：</w:t>
            </w:r>
            <w:r>
              <w:rPr>
                <w:rFonts w:hint="eastAsia" w:ascii="宋体" w:hAnsi="宋体" w:eastAsia="宋体" w:cs="宋体"/>
                <w:b/>
                <w:bCs/>
                <w:color w:val="auto"/>
                <w:szCs w:val="21"/>
                <w:highlight w:val="none"/>
                <w:u w:val="single"/>
              </w:rPr>
              <w:t xml:space="preserve">                     </w:t>
            </w:r>
          </w:p>
        </w:tc>
      </w:tr>
      <w:tr w14:paraId="0065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jc w:val="center"/>
        </w:trPr>
        <w:tc>
          <w:tcPr>
            <w:tcW w:w="1443" w:type="pct"/>
            <w:vAlign w:val="center"/>
          </w:tcPr>
          <w:p w14:paraId="3737553D">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1F43C9F3">
            <w:pPr>
              <w:spacing w:line="360" w:lineRule="auto"/>
              <w:rPr>
                <w:rFonts w:ascii="宋体" w:hAnsi="宋体" w:eastAsia="宋体"/>
                <w:b/>
                <w:color w:val="auto"/>
                <w:sz w:val="24"/>
                <w:highlight w:val="none"/>
              </w:rPr>
            </w:pPr>
          </w:p>
        </w:tc>
      </w:tr>
    </w:tbl>
    <w:p w14:paraId="6F30216C">
      <w:pPr>
        <w:spacing w:line="440" w:lineRule="exact"/>
        <w:ind w:firstLine="5280" w:firstLineChars="2200"/>
        <w:rPr>
          <w:rFonts w:hint="eastAsia" w:ascii="宋体" w:hAnsi="宋体" w:eastAsia="宋体"/>
          <w:color w:val="auto"/>
          <w:sz w:val="24"/>
          <w:szCs w:val="24"/>
          <w:highlight w:val="none"/>
        </w:rPr>
      </w:pPr>
    </w:p>
    <w:p w14:paraId="3D3AAF7C">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5278782F">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7289D95F">
      <w:pPr>
        <w:spacing w:line="360" w:lineRule="auto"/>
        <w:ind w:firstLine="480" w:firstLineChars="200"/>
        <w:rPr>
          <w:rFonts w:ascii="宋体" w:hAnsi="宋体" w:eastAsia="宋体"/>
          <w:color w:val="auto"/>
          <w:sz w:val="24"/>
          <w:highlight w:val="none"/>
        </w:rPr>
      </w:pPr>
    </w:p>
    <w:p w14:paraId="6ED13F54">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71C2E6A">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谈判文件要求包括了货物及其配套的设计、采购、制造、检测、试验、运输、保险、仓储、税费以及现场落地、安装及安装耗损、调试、培训、技术服务（包括技术资料、图纸的提供）质保期内的售后服务保障等所有费用。</w:t>
      </w:r>
    </w:p>
    <w:p w14:paraId="1FD272EB">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2.特殊事项在备注中注明。</w:t>
      </w:r>
    </w:p>
    <w:p w14:paraId="056156F7">
      <w:pPr>
        <w:adjustRightInd w:val="0"/>
        <w:snapToGrid w:val="0"/>
        <w:spacing w:line="360" w:lineRule="auto"/>
        <w:ind w:firstLine="482" w:firstLineChars="200"/>
        <w:rPr>
          <w:rFonts w:hint="eastAsia"/>
          <w:lang w:val="en-US" w:eastAsia="zh-CN"/>
        </w:rPr>
      </w:pPr>
      <w:r>
        <w:rPr>
          <w:rFonts w:hint="eastAsia" w:ascii="宋体" w:hAnsi="宋体"/>
          <w:b/>
          <w:bCs/>
          <w:color w:val="auto"/>
          <w:sz w:val="24"/>
          <w:szCs w:val="28"/>
          <w:highlight w:val="none"/>
          <w:lang w:val="en-US" w:eastAsia="zh-CN"/>
        </w:rPr>
        <w:t>3</w:t>
      </w:r>
      <w:r>
        <w:rPr>
          <w:rFonts w:hint="eastAsia" w:ascii="宋体" w:hAnsi="宋体" w:eastAsia="宋体"/>
          <w:b/>
          <w:bCs/>
          <w:color w:val="auto"/>
          <w:sz w:val="24"/>
          <w:szCs w:val="28"/>
          <w:highlight w:val="none"/>
        </w:rPr>
        <w:t>.表中大写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与小写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不一致的，以大写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为准。</w:t>
      </w: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2DC682DD">
      <w:pPr>
        <w:rPr>
          <w:rFonts w:hint="eastAsia" w:ascii="宋体" w:hAnsi="宋体" w:eastAsia="宋体"/>
          <w:color w:val="auto"/>
          <w:sz w:val="24"/>
          <w:highlight w:val="none"/>
          <w:u w:val="single"/>
        </w:rPr>
      </w:pPr>
      <w:bookmarkStart w:id="77" w:name="_Toc28153"/>
      <w:bookmarkStart w:id="78" w:name="_Toc32647"/>
      <w:bookmarkStart w:id="79" w:name="_Toc388283751"/>
    </w:p>
    <w:p w14:paraId="73E26B05">
      <w:pPr>
        <w:spacing w:before="156" w:beforeLines="50" w:after="156" w:afterLines="50" w:line="360" w:lineRule="auto"/>
        <w:jc w:val="left"/>
        <w:outlineLvl w:val="2"/>
        <w:rPr>
          <w:rFonts w:hint="eastAsia" w:ascii="宋体" w:hAnsi="宋体" w:eastAsia="宋体"/>
          <w:b/>
          <w:color w:val="auto"/>
          <w:sz w:val="24"/>
          <w:szCs w:val="28"/>
          <w:highlight w:val="none"/>
        </w:rPr>
      </w:pPr>
    </w:p>
    <w:p w14:paraId="489F6997">
      <w:pPr>
        <w:spacing w:before="156" w:beforeLines="50" w:after="156" w:afterLines="50" w:line="360" w:lineRule="auto"/>
        <w:jc w:val="left"/>
        <w:outlineLvl w:val="2"/>
        <w:rPr>
          <w:rFonts w:hint="eastAsia" w:ascii="宋体" w:hAnsi="宋体" w:eastAsia="宋体"/>
          <w:b/>
          <w:color w:val="auto"/>
          <w:sz w:val="24"/>
          <w:szCs w:val="28"/>
          <w:highlight w:val="none"/>
        </w:rPr>
      </w:pPr>
    </w:p>
    <w:p w14:paraId="5DA14137">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1-2 分项报价明细表</w:t>
      </w:r>
    </w:p>
    <w:p w14:paraId="4818D1A8">
      <w:pPr>
        <w:pStyle w:val="134"/>
        <w:jc w:val="left"/>
        <w:rPr>
          <w:rFonts w:hint="default" w:ascii="宋体" w:hAnsi="宋体" w:eastAsia="宋体"/>
          <w:b/>
          <w:bCs/>
          <w:highlight w:val="none"/>
          <w:lang w:val="en-US" w:eastAsia="zh-CN"/>
        </w:rPr>
      </w:pPr>
      <w:r>
        <w:rPr>
          <w:rFonts w:hint="eastAsia" w:ascii="宋体" w:hAnsi="宋体"/>
          <w:b/>
          <w:bCs/>
          <w:highlight w:val="none"/>
          <w:lang w:val="en-US" w:eastAsia="zh-CN"/>
        </w:rPr>
        <w:t>1-2-1</w:t>
      </w:r>
      <w:r>
        <w:rPr>
          <w:rFonts w:hint="eastAsia" w:ascii="宋体" w:hAnsi="宋体" w:eastAsia="宋体"/>
          <w:b/>
          <w:bCs/>
          <w:highlight w:val="none"/>
          <w:lang w:val="en-US" w:eastAsia="zh-CN"/>
        </w:rPr>
        <w:t>货物部分</w:t>
      </w:r>
    </w:p>
    <w:tbl>
      <w:tblPr>
        <w:tblStyle w:val="4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227"/>
        <w:gridCol w:w="1365"/>
        <w:gridCol w:w="1365"/>
        <w:gridCol w:w="696"/>
        <w:gridCol w:w="696"/>
        <w:gridCol w:w="973"/>
        <w:gridCol w:w="973"/>
        <w:gridCol w:w="694"/>
      </w:tblGrid>
      <w:tr w14:paraId="5F06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75" w:type="pct"/>
            <w:noWrap w:val="0"/>
            <w:vAlign w:val="center"/>
          </w:tcPr>
          <w:p w14:paraId="71471830">
            <w:pPr>
              <w:pStyle w:val="145"/>
              <w:widowControl w:val="0"/>
              <w:spacing w:before="0" w:beforeAutospacing="0" w:after="0" w:afterAutospacing="0"/>
              <w:rPr>
                <w:rFonts w:ascii="宋体" w:hAnsi="宋体" w:eastAsia="宋体"/>
                <w:bCs w:val="0"/>
                <w:kern w:val="2"/>
                <w:sz w:val="24"/>
                <w:szCs w:val="20"/>
                <w:highlight w:val="none"/>
              </w:rPr>
            </w:pPr>
            <w:r>
              <w:rPr>
                <w:rFonts w:hint="eastAsia" w:ascii="宋体" w:hAnsi="宋体" w:eastAsia="宋体"/>
                <w:bCs w:val="0"/>
                <w:kern w:val="2"/>
                <w:sz w:val="24"/>
                <w:szCs w:val="20"/>
                <w:highlight w:val="none"/>
              </w:rPr>
              <w:t>序号</w:t>
            </w:r>
          </w:p>
        </w:tc>
        <w:tc>
          <w:tcPr>
            <w:tcW w:w="694" w:type="pct"/>
            <w:noWrap w:val="0"/>
            <w:vAlign w:val="center"/>
          </w:tcPr>
          <w:p w14:paraId="204DC221">
            <w:pPr>
              <w:jc w:val="center"/>
              <w:rPr>
                <w:rFonts w:ascii="宋体" w:hAnsi="宋体" w:eastAsia="宋体"/>
                <w:b/>
                <w:sz w:val="24"/>
                <w:highlight w:val="none"/>
              </w:rPr>
            </w:pPr>
            <w:r>
              <w:rPr>
                <w:rFonts w:hint="eastAsia" w:ascii="宋体" w:hAnsi="宋体" w:eastAsia="宋体"/>
                <w:b/>
                <w:sz w:val="24"/>
                <w:highlight w:val="none"/>
              </w:rPr>
              <w:t>货物名称</w:t>
            </w:r>
          </w:p>
        </w:tc>
        <w:tc>
          <w:tcPr>
            <w:tcW w:w="773" w:type="pct"/>
            <w:noWrap w:val="0"/>
            <w:vAlign w:val="center"/>
          </w:tcPr>
          <w:p w14:paraId="549D72E3">
            <w:pPr>
              <w:jc w:val="center"/>
              <w:rPr>
                <w:rFonts w:ascii="宋体" w:hAnsi="宋体" w:eastAsia="宋体"/>
                <w:b/>
                <w:sz w:val="24"/>
                <w:highlight w:val="none"/>
              </w:rPr>
            </w:pPr>
            <w:r>
              <w:rPr>
                <w:rFonts w:hint="eastAsia" w:ascii="宋体" w:hAnsi="宋体" w:eastAsia="宋体"/>
                <w:b/>
                <w:sz w:val="24"/>
                <w:highlight w:val="none"/>
              </w:rPr>
              <w:t>品牌、型</w:t>
            </w:r>
          </w:p>
          <w:p w14:paraId="01315287">
            <w:pPr>
              <w:jc w:val="center"/>
              <w:rPr>
                <w:rFonts w:ascii="宋体" w:hAnsi="宋体" w:eastAsia="宋体"/>
                <w:b/>
                <w:sz w:val="24"/>
                <w:highlight w:val="none"/>
              </w:rPr>
            </w:pPr>
            <w:r>
              <w:rPr>
                <w:rFonts w:hint="eastAsia" w:ascii="宋体" w:hAnsi="宋体" w:eastAsia="宋体"/>
                <w:b/>
                <w:sz w:val="24"/>
                <w:highlight w:val="none"/>
              </w:rPr>
              <w:t>号规格</w:t>
            </w:r>
          </w:p>
        </w:tc>
        <w:tc>
          <w:tcPr>
            <w:tcW w:w="773" w:type="pct"/>
            <w:noWrap w:val="0"/>
            <w:vAlign w:val="center"/>
          </w:tcPr>
          <w:p w14:paraId="5C660A03">
            <w:pPr>
              <w:jc w:val="center"/>
              <w:rPr>
                <w:rFonts w:ascii="宋体" w:hAnsi="宋体" w:eastAsia="宋体"/>
                <w:b/>
                <w:sz w:val="24"/>
                <w:highlight w:val="none"/>
              </w:rPr>
            </w:pPr>
            <w:r>
              <w:rPr>
                <w:rFonts w:hint="eastAsia" w:ascii="宋体" w:hAnsi="宋体" w:eastAsia="宋体"/>
                <w:b/>
                <w:sz w:val="24"/>
                <w:highlight w:val="none"/>
              </w:rPr>
              <w:t>原产地及</w:t>
            </w:r>
          </w:p>
          <w:p w14:paraId="0422D5ED">
            <w:pPr>
              <w:jc w:val="center"/>
              <w:rPr>
                <w:rFonts w:ascii="宋体" w:hAnsi="宋体" w:eastAsia="宋体"/>
                <w:b/>
                <w:sz w:val="24"/>
                <w:highlight w:val="none"/>
              </w:rPr>
            </w:pPr>
            <w:r>
              <w:rPr>
                <w:rFonts w:hint="eastAsia" w:ascii="宋体" w:hAnsi="宋体" w:eastAsia="宋体"/>
                <w:b/>
                <w:sz w:val="24"/>
                <w:highlight w:val="none"/>
              </w:rPr>
              <w:t>生产厂商</w:t>
            </w:r>
          </w:p>
        </w:tc>
        <w:tc>
          <w:tcPr>
            <w:tcW w:w="394" w:type="pct"/>
            <w:noWrap w:val="0"/>
            <w:vAlign w:val="center"/>
          </w:tcPr>
          <w:p w14:paraId="2CB1E19C">
            <w:pPr>
              <w:jc w:val="center"/>
              <w:rPr>
                <w:rFonts w:ascii="宋体" w:hAnsi="宋体" w:eastAsia="宋体"/>
                <w:b/>
                <w:sz w:val="24"/>
                <w:highlight w:val="none"/>
              </w:rPr>
            </w:pPr>
            <w:r>
              <w:rPr>
                <w:rFonts w:hint="eastAsia" w:ascii="宋体" w:hAnsi="宋体" w:eastAsia="宋体"/>
                <w:b/>
                <w:sz w:val="24"/>
                <w:highlight w:val="none"/>
              </w:rPr>
              <w:t>单位</w:t>
            </w:r>
          </w:p>
        </w:tc>
        <w:tc>
          <w:tcPr>
            <w:tcW w:w="394" w:type="pct"/>
            <w:noWrap w:val="0"/>
            <w:vAlign w:val="center"/>
          </w:tcPr>
          <w:p w14:paraId="303A1E1B">
            <w:pPr>
              <w:jc w:val="center"/>
              <w:rPr>
                <w:rFonts w:ascii="宋体" w:hAnsi="宋体" w:eastAsia="宋体"/>
                <w:b/>
                <w:sz w:val="24"/>
                <w:highlight w:val="none"/>
              </w:rPr>
            </w:pPr>
            <w:r>
              <w:rPr>
                <w:rFonts w:hint="eastAsia" w:ascii="宋体" w:hAnsi="宋体" w:eastAsia="宋体"/>
                <w:b/>
                <w:sz w:val="24"/>
                <w:highlight w:val="none"/>
              </w:rPr>
              <w:t>数量</w:t>
            </w:r>
          </w:p>
        </w:tc>
        <w:tc>
          <w:tcPr>
            <w:tcW w:w="551" w:type="pct"/>
            <w:noWrap w:val="0"/>
            <w:vAlign w:val="center"/>
          </w:tcPr>
          <w:p w14:paraId="3AFFA634">
            <w:pPr>
              <w:jc w:val="center"/>
              <w:rPr>
                <w:rFonts w:ascii="宋体" w:hAnsi="宋体" w:eastAsia="宋体"/>
                <w:b/>
                <w:sz w:val="24"/>
                <w:highlight w:val="none"/>
              </w:rPr>
            </w:pPr>
            <w:r>
              <w:rPr>
                <w:rFonts w:hint="eastAsia" w:ascii="宋体" w:hAnsi="宋体" w:eastAsia="宋体"/>
                <w:b/>
                <w:sz w:val="24"/>
                <w:highlight w:val="none"/>
              </w:rPr>
              <w:t>单价</w:t>
            </w:r>
          </w:p>
          <w:p w14:paraId="3E18B2C7">
            <w:pPr>
              <w:jc w:val="center"/>
              <w:rPr>
                <w:rFonts w:ascii="宋体" w:hAnsi="宋体" w:eastAsia="宋体"/>
                <w:b/>
                <w:sz w:val="24"/>
                <w:highlight w:val="none"/>
              </w:rPr>
            </w:pPr>
            <w:r>
              <w:rPr>
                <w:rFonts w:hint="eastAsia" w:ascii="宋体" w:hAnsi="宋体" w:eastAsia="宋体"/>
                <w:b/>
                <w:sz w:val="24"/>
                <w:highlight w:val="none"/>
              </w:rPr>
              <w:t>（元）</w:t>
            </w:r>
          </w:p>
        </w:tc>
        <w:tc>
          <w:tcPr>
            <w:tcW w:w="551" w:type="pct"/>
            <w:noWrap w:val="0"/>
            <w:vAlign w:val="center"/>
          </w:tcPr>
          <w:p w14:paraId="678F6218">
            <w:pPr>
              <w:jc w:val="center"/>
              <w:rPr>
                <w:rFonts w:ascii="宋体" w:hAnsi="宋体" w:eastAsia="宋体"/>
                <w:b/>
                <w:sz w:val="24"/>
                <w:highlight w:val="none"/>
              </w:rPr>
            </w:pPr>
            <w:r>
              <w:rPr>
                <w:rFonts w:hint="eastAsia" w:ascii="宋体" w:hAnsi="宋体" w:eastAsia="宋体"/>
                <w:b/>
                <w:sz w:val="24"/>
                <w:highlight w:val="none"/>
              </w:rPr>
              <w:t>小计</w:t>
            </w:r>
          </w:p>
          <w:p w14:paraId="423EBC1F">
            <w:pPr>
              <w:jc w:val="center"/>
              <w:rPr>
                <w:rFonts w:ascii="宋体" w:hAnsi="宋体" w:eastAsia="宋体"/>
                <w:b/>
                <w:sz w:val="24"/>
                <w:highlight w:val="none"/>
              </w:rPr>
            </w:pPr>
            <w:r>
              <w:rPr>
                <w:rFonts w:hint="eastAsia" w:ascii="宋体" w:hAnsi="宋体" w:eastAsia="宋体"/>
                <w:b/>
                <w:sz w:val="24"/>
                <w:highlight w:val="none"/>
              </w:rPr>
              <w:t>（元）</w:t>
            </w:r>
          </w:p>
        </w:tc>
        <w:tc>
          <w:tcPr>
            <w:tcW w:w="393" w:type="pct"/>
            <w:noWrap w:val="0"/>
            <w:vAlign w:val="center"/>
          </w:tcPr>
          <w:p w14:paraId="12347290">
            <w:pPr>
              <w:jc w:val="center"/>
              <w:rPr>
                <w:rFonts w:ascii="宋体" w:hAnsi="宋体" w:eastAsia="宋体"/>
                <w:b/>
                <w:sz w:val="24"/>
                <w:highlight w:val="none"/>
              </w:rPr>
            </w:pPr>
            <w:r>
              <w:rPr>
                <w:rFonts w:hint="eastAsia" w:ascii="宋体" w:hAnsi="宋体" w:eastAsia="宋体"/>
                <w:b/>
                <w:sz w:val="24"/>
                <w:highlight w:val="none"/>
              </w:rPr>
              <w:t>备注</w:t>
            </w:r>
          </w:p>
        </w:tc>
      </w:tr>
      <w:tr w14:paraId="6AC5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75" w:type="pct"/>
            <w:tcBorders>
              <w:bottom w:val="single" w:color="auto" w:sz="4" w:space="0"/>
            </w:tcBorders>
            <w:noWrap w:val="0"/>
            <w:vAlign w:val="top"/>
          </w:tcPr>
          <w:p w14:paraId="72E47BF1">
            <w:pPr>
              <w:jc w:val="center"/>
              <w:rPr>
                <w:rFonts w:ascii="宋体" w:hAnsi="宋体" w:eastAsia="宋体"/>
                <w:sz w:val="24"/>
                <w:highlight w:val="none"/>
              </w:rPr>
            </w:pPr>
            <w:r>
              <w:rPr>
                <w:rFonts w:hint="eastAsia" w:ascii="宋体" w:hAnsi="宋体" w:eastAsia="宋体"/>
                <w:sz w:val="24"/>
                <w:highlight w:val="none"/>
              </w:rPr>
              <w:t>1</w:t>
            </w:r>
          </w:p>
        </w:tc>
        <w:tc>
          <w:tcPr>
            <w:tcW w:w="694" w:type="pct"/>
            <w:noWrap w:val="0"/>
            <w:vAlign w:val="top"/>
          </w:tcPr>
          <w:p w14:paraId="22481D96">
            <w:pPr>
              <w:rPr>
                <w:rFonts w:ascii="宋体" w:hAnsi="宋体" w:eastAsia="宋体"/>
                <w:sz w:val="24"/>
                <w:highlight w:val="none"/>
              </w:rPr>
            </w:pPr>
          </w:p>
        </w:tc>
        <w:tc>
          <w:tcPr>
            <w:tcW w:w="773" w:type="pct"/>
            <w:noWrap w:val="0"/>
            <w:vAlign w:val="top"/>
          </w:tcPr>
          <w:p w14:paraId="382C01B8">
            <w:pPr>
              <w:rPr>
                <w:rFonts w:ascii="宋体" w:hAnsi="宋体" w:eastAsia="宋体"/>
                <w:sz w:val="24"/>
                <w:highlight w:val="none"/>
              </w:rPr>
            </w:pPr>
          </w:p>
        </w:tc>
        <w:tc>
          <w:tcPr>
            <w:tcW w:w="773" w:type="pct"/>
            <w:noWrap w:val="0"/>
            <w:vAlign w:val="top"/>
          </w:tcPr>
          <w:p w14:paraId="79C378F5">
            <w:pPr>
              <w:rPr>
                <w:rFonts w:ascii="宋体" w:hAnsi="宋体" w:eastAsia="宋体"/>
                <w:sz w:val="24"/>
                <w:highlight w:val="none"/>
              </w:rPr>
            </w:pPr>
          </w:p>
        </w:tc>
        <w:tc>
          <w:tcPr>
            <w:tcW w:w="394" w:type="pct"/>
            <w:noWrap w:val="0"/>
            <w:vAlign w:val="top"/>
          </w:tcPr>
          <w:p w14:paraId="07B7F083">
            <w:pPr>
              <w:rPr>
                <w:rFonts w:ascii="宋体" w:hAnsi="宋体" w:eastAsia="宋体"/>
                <w:sz w:val="24"/>
                <w:highlight w:val="none"/>
              </w:rPr>
            </w:pPr>
          </w:p>
        </w:tc>
        <w:tc>
          <w:tcPr>
            <w:tcW w:w="394" w:type="pct"/>
            <w:noWrap w:val="0"/>
            <w:vAlign w:val="top"/>
          </w:tcPr>
          <w:p w14:paraId="16E9F997">
            <w:pPr>
              <w:rPr>
                <w:rFonts w:ascii="宋体" w:hAnsi="宋体" w:eastAsia="宋体"/>
                <w:sz w:val="24"/>
                <w:highlight w:val="none"/>
              </w:rPr>
            </w:pPr>
          </w:p>
        </w:tc>
        <w:tc>
          <w:tcPr>
            <w:tcW w:w="551" w:type="pct"/>
            <w:noWrap w:val="0"/>
            <w:vAlign w:val="top"/>
          </w:tcPr>
          <w:p w14:paraId="27694736">
            <w:pPr>
              <w:rPr>
                <w:rFonts w:ascii="宋体" w:hAnsi="宋体" w:eastAsia="宋体"/>
                <w:sz w:val="24"/>
                <w:highlight w:val="none"/>
              </w:rPr>
            </w:pPr>
          </w:p>
        </w:tc>
        <w:tc>
          <w:tcPr>
            <w:tcW w:w="551" w:type="pct"/>
            <w:noWrap w:val="0"/>
            <w:vAlign w:val="top"/>
          </w:tcPr>
          <w:p w14:paraId="1CA91A34">
            <w:pPr>
              <w:rPr>
                <w:rFonts w:ascii="宋体" w:hAnsi="宋体" w:eastAsia="宋体"/>
                <w:sz w:val="24"/>
                <w:highlight w:val="none"/>
              </w:rPr>
            </w:pPr>
          </w:p>
        </w:tc>
        <w:tc>
          <w:tcPr>
            <w:tcW w:w="393" w:type="pct"/>
            <w:noWrap w:val="0"/>
            <w:vAlign w:val="top"/>
          </w:tcPr>
          <w:p w14:paraId="01408676">
            <w:pPr>
              <w:rPr>
                <w:rFonts w:ascii="宋体" w:hAnsi="宋体" w:eastAsia="宋体"/>
                <w:sz w:val="24"/>
                <w:highlight w:val="none"/>
              </w:rPr>
            </w:pPr>
          </w:p>
        </w:tc>
      </w:tr>
      <w:tr w14:paraId="4905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75" w:type="pct"/>
            <w:noWrap w:val="0"/>
            <w:vAlign w:val="top"/>
          </w:tcPr>
          <w:p w14:paraId="659D5766">
            <w:pPr>
              <w:jc w:val="center"/>
              <w:rPr>
                <w:rFonts w:ascii="宋体" w:hAnsi="宋体" w:eastAsia="宋体"/>
                <w:sz w:val="24"/>
                <w:highlight w:val="none"/>
              </w:rPr>
            </w:pPr>
            <w:r>
              <w:rPr>
                <w:rFonts w:hint="eastAsia" w:ascii="宋体" w:hAnsi="宋体" w:eastAsia="宋体"/>
                <w:sz w:val="24"/>
                <w:highlight w:val="none"/>
              </w:rPr>
              <w:t>2</w:t>
            </w:r>
          </w:p>
        </w:tc>
        <w:tc>
          <w:tcPr>
            <w:tcW w:w="694" w:type="pct"/>
            <w:noWrap w:val="0"/>
            <w:vAlign w:val="top"/>
          </w:tcPr>
          <w:p w14:paraId="376FE10E">
            <w:pPr>
              <w:rPr>
                <w:rFonts w:ascii="宋体" w:hAnsi="宋体" w:eastAsia="宋体"/>
                <w:sz w:val="24"/>
                <w:highlight w:val="none"/>
              </w:rPr>
            </w:pPr>
          </w:p>
        </w:tc>
        <w:tc>
          <w:tcPr>
            <w:tcW w:w="773" w:type="pct"/>
            <w:noWrap w:val="0"/>
            <w:vAlign w:val="top"/>
          </w:tcPr>
          <w:p w14:paraId="2A70DDA8">
            <w:pPr>
              <w:rPr>
                <w:rFonts w:ascii="宋体" w:hAnsi="宋体" w:eastAsia="宋体"/>
                <w:sz w:val="24"/>
                <w:highlight w:val="none"/>
              </w:rPr>
            </w:pPr>
          </w:p>
        </w:tc>
        <w:tc>
          <w:tcPr>
            <w:tcW w:w="773" w:type="pct"/>
            <w:noWrap w:val="0"/>
            <w:vAlign w:val="top"/>
          </w:tcPr>
          <w:p w14:paraId="14E3A40C">
            <w:pPr>
              <w:rPr>
                <w:rFonts w:ascii="宋体" w:hAnsi="宋体" w:eastAsia="宋体"/>
                <w:sz w:val="24"/>
                <w:highlight w:val="none"/>
              </w:rPr>
            </w:pPr>
          </w:p>
        </w:tc>
        <w:tc>
          <w:tcPr>
            <w:tcW w:w="394" w:type="pct"/>
            <w:noWrap w:val="0"/>
            <w:vAlign w:val="top"/>
          </w:tcPr>
          <w:p w14:paraId="662EEA2C">
            <w:pPr>
              <w:rPr>
                <w:rFonts w:ascii="宋体" w:hAnsi="宋体" w:eastAsia="宋体"/>
                <w:sz w:val="24"/>
                <w:highlight w:val="none"/>
              </w:rPr>
            </w:pPr>
          </w:p>
        </w:tc>
        <w:tc>
          <w:tcPr>
            <w:tcW w:w="394" w:type="pct"/>
            <w:noWrap w:val="0"/>
            <w:vAlign w:val="top"/>
          </w:tcPr>
          <w:p w14:paraId="4AF187AB">
            <w:pPr>
              <w:rPr>
                <w:rFonts w:ascii="宋体" w:hAnsi="宋体" w:eastAsia="宋体"/>
                <w:sz w:val="24"/>
                <w:highlight w:val="none"/>
              </w:rPr>
            </w:pPr>
          </w:p>
        </w:tc>
        <w:tc>
          <w:tcPr>
            <w:tcW w:w="551" w:type="pct"/>
            <w:noWrap w:val="0"/>
            <w:vAlign w:val="top"/>
          </w:tcPr>
          <w:p w14:paraId="70676390">
            <w:pPr>
              <w:rPr>
                <w:rFonts w:ascii="宋体" w:hAnsi="宋体" w:eastAsia="宋体"/>
                <w:sz w:val="24"/>
                <w:highlight w:val="none"/>
              </w:rPr>
            </w:pPr>
          </w:p>
        </w:tc>
        <w:tc>
          <w:tcPr>
            <w:tcW w:w="551" w:type="pct"/>
            <w:noWrap w:val="0"/>
            <w:vAlign w:val="top"/>
          </w:tcPr>
          <w:p w14:paraId="64042928">
            <w:pPr>
              <w:rPr>
                <w:rFonts w:ascii="宋体" w:hAnsi="宋体" w:eastAsia="宋体"/>
                <w:sz w:val="24"/>
                <w:highlight w:val="none"/>
              </w:rPr>
            </w:pPr>
          </w:p>
        </w:tc>
        <w:tc>
          <w:tcPr>
            <w:tcW w:w="393" w:type="pct"/>
            <w:noWrap w:val="0"/>
            <w:vAlign w:val="top"/>
          </w:tcPr>
          <w:p w14:paraId="5E08F09A">
            <w:pPr>
              <w:rPr>
                <w:rFonts w:ascii="宋体" w:hAnsi="宋体" w:eastAsia="宋体"/>
                <w:sz w:val="24"/>
                <w:highlight w:val="none"/>
              </w:rPr>
            </w:pPr>
          </w:p>
        </w:tc>
      </w:tr>
      <w:tr w14:paraId="4213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75" w:type="pct"/>
            <w:noWrap w:val="0"/>
            <w:vAlign w:val="top"/>
          </w:tcPr>
          <w:p w14:paraId="4E5E7185">
            <w:pPr>
              <w:jc w:val="center"/>
              <w:rPr>
                <w:rFonts w:ascii="宋体" w:hAnsi="宋体" w:eastAsia="宋体"/>
                <w:sz w:val="24"/>
                <w:highlight w:val="none"/>
              </w:rPr>
            </w:pPr>
            <w:r>
              <w:rPr>
                <w:rFonts w:hint="eastAsia" w:ascii="宋体" w:hAnsi="宋体" w:eastAsia="宋体"/>
                <w:sz w:val="24"/>
                <w:highlight w:val="none"/>
              </w:rPr>
              <w:t>3</w:t>
            </w:r>
          </w:p>
        </w:tc>
        <w:tc>
          <w:tcPr>
            <w:tcW w:w="694" w:type="pct"/>
            <w:noWrap w:val="0"/>
            <w:vAlign w:val="top"/>
          </w:tcPr>
          <w:p w14:paraId="49DD4F43">
            <w:pPr>
              <w:rPr>
                <w:rFonts w:ascii="宋体" w:hAnsi="宋体" w:eastAsia="宋体"/>
                <w:sz w:val="24"/>
                <w:highlight w:val="none"/>
              </w:rPr>
            </w:pPr>
          </w:p>
        </w:tc>
        <w:tc>
          <w:tcPr>
            <w:tcW w:w="773" w:type="pct"/>
            <w:noWrap w:val="0"/>
            <w:vAlign w:val="top"/>
          </w:tcPr>
          <w:p w14:paraId="743D4408">
            <w:pPr>
              <w:rPr>
                <w:rFonts w:ascii="宋体" w:hAnsi="宋体" w:eastAsia="宋体"/>
                <w:sz w:val="24"/>
                <w:highlight w:val="none"/>
              </w:rPr>
            </w:pPr>
          </w:p>
        </w:tc>
        <w:tc>
          <w:tcPr>
            <w:tcW w:w="773" w:type="pct"/>
            <w:noWrap w:val="0"/>
            <w:vAlign w:val="top"/>
          </w:tcPr>
          <w:p w14:paraId="64048113">
            <w:pPr>
              <w:rPr>
                <w:rFonts w:ascii="宋体" w:hAnsi="宋体" w:eastAsia="宋体"/>
                <w:sz w:val="24"/>
                <w:highlight w:val="none"/>
              </w:rPr>
            </w:pPr>
          </w:p>
        </w:tc>
        <w:tc>
          <w:tcPr>
            <w:tcW w:w="394" w:type="pct"/>
            <w:noWrap w:val="0"/>
            <w:vAlign w:val="top"/>
          </w:tcPr>
          <w:p w14:paraId="118AC153">
            <w:pPr>
              <w:rPr>
                <w:rFonts w:ascii="宋体" w:hAnsi="宋体" w:eastAsia="宋体"/>
                <w:sz w:val="24"/>
                <w:highlight w:val="none"/>
              </w:rPr>
            </w:pPr>
          </w:p>
        </w:tc>
        <w:tc>
          <w:tcPr>
            <w:tcW w:w="394" w:type="pct"/>
            <w:noWrap w:val="0"/>
            <w:vAlign w:val="top"/>
          </w:tcPr>
          <w:p w14:paraId="4EF5BC6A">
            <w:pPr>
              <w:rPr>
                <w:rFonts w:ascii="宋体" w:hAnsi="宋体" w:eastAsia="宋体"/>
                <w:sz w:val="24"/>
                <w:highlight w:val="none"/>
              </w:rPr>
            </w:pPr>
          </w:p>
        </w:tc>
        <w:tc>
          <w:tcPr>
            <w:tcW w:w="551" w:type="pct"/>
            <w:noWrap w:val="0"/>
            <w:vAlign w:val="top"/>
          </w:tcPr>
          <w:p w14:paraId="6F441AA2">
            <w:pPr>
              <w:rPr>
                <w:rFonts w:ascii="宋体" w:hAnsi="宋体" w:eastAsia="宋体"/>
                <w:sz w:val="24"/>
                <w:highlight w:val="none"/>
              </w:rPr>
            </w:pPr>
          </w:p>
        </w:tc>
        <w:tc>
          <w:tcPr>
            <w:tcW w:w="551" w:type="pct"/>
            <w:noWrap w:val="0"/>
            <w:vAlign w:val="top"/>
          </w:tcPr>
          <w:p w14:paraId="00FF73D7">
            <w:pPr>
              <w:rPr>
                <w:rFonts w:ascii="宋体" w:hAnsi="宋体" w:eastAsia="宋体"/>
                <w:sz w:val="24"/>
                <w:highlight w:val="none"/>
              </w:rPr>
            </w:pPr>
          </w:p>
        </w:tc>
        <w:tc>
          <w:tcPr>
            <w:tcW w:w="393" w:type="pct"/>
            <w:noWrap w:val="0"/>
            <w:vAlign w:val="top"/>
          </w:tcPr>
          <w:p w14:paraId="359953BF">
            <w:pPr>
              <w:rPr>
                <w:rFonts w:ascii="宋体" w:hAnsi="宋体" w:eastAsia="宋体"/>
                <w:sz w:val="24"/>
                <w:highlight w:val="none"/>
              </w:rPr>
            </w:pPr>
          </w:p>
        </w:tc>
      </w:tr>
      <w:tr w14:paraId="4EE7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75" w:type="pct"/>
            <w:noWrap w:val="0"/>
            <w:vAlign w:val="top"/>
          </w:tcPr>
          <w:p w14:paraId="52CB1EDE">
            <w:pPr>
              <w:jc w:val="center"/>
              <w:rPr>
                <w:rFonts w:ascii="宋体" w:hAnsi="宋体" w:eastAsia="宋体"/>
                <w:sz w:val="24"/>
                <w:highlight w:val="none"/>
              </w:rPr>
            </w:pPr>
            <w:r>
              <w:rPr>
                <w:rFonts w:hint="eastAsia" w:ascii="宋体" w:hAnsi="宋体" w:eastAsia="宋体"/>
                <w:sz w:val="24"/>
                <w:highlight w:val="none"/>
              </w:rPr>
              <w:t>…</w:t>
            </w:r>
          </w:p>
        </w:tc>
        <w:tc>
          <w:tcPr>
            <w:tcW w:w="694" w:type="pct"/>
            <w:noWrap w:val="0"/>
            <w:vAlign w:val="top"/>
          </w:tcPr>
          <w:p w14:paraId="0C63CBEF">
            <w:pPr>
              <w:rPr>
                <w:rFonts w:ascii="宋体" w:hAnsi="宋体" w:eastAsia="宋体"/>
                <w:sz w:val="24"/>
                <w:highlight w:val="none"/>
              </w:rPr>
            </w:pPr>
          </w:p>
        </w:tc>
        <w:tc>
          <w:tcPr>
            <w:tcW w:w="773" w:type="pct"/>
            <w:noWrap w:val="0"/>
            <w:vAlign w:val="top"/>
          </w:tcPr>
          <w:p w14:paraId="3A73F6A2">
            <w:pPr>
              <w:rPr>
                <w:rFonts w:ascii="宋体" w:hAnsi="宋体" w:eastAsia="宋体"/>
                <w:sz w:val="24"/>
                <w:highlight w:val="none"/>
              </w:rPr>
            </w:pPr>
          </w:p>
        </w:tc>
        <w:tc>
          <w:tcPr>
            <w:tcW w:w="773" w:type="pct"/>
            <w:noWrap w:val="0"/>
            <w:vAlign w:val="top"/>
          </w:tcPr>
          <w:p w14:paraId="654BAC9A">
            <w:pPr>
              <w:rPr>
                <w:rFonts w:ascii="宋体" w:hAnsi="宋体" w:eastAsia="宋体"/>
                <w:sz w:val="24"/>
                <w:highlight w:val="none"/>
              </w:rPr>
            </w:pPr>
          </w:p>
        </w:tc>
        <w:tc>
          <w:tcPr>
            <w:tcW w:w="394" w:type="pct"/>
            <w:noWrap w:val="0"/>
            <w:vAlign w:val="top"/>
          </w:tcPr>
          <w:p w14:paraId="4CCF5CEB">
            <w:pPr>
              <w:rPr>
                <w:rFonts w:ascii="宋体" w:hAnsi="宋体" w:eastAsia="宋体"/>
                <w:sz w:val="24"/>
                <w:highlight w:val="none"/>
              </w:rPr>
            </w:pPr>
          </w:p>
        </w:tc>
        <w:tc>
          <w:tcPr>
            <w:tcW w:w="394" w:type="pct"/>
            <w:noWrap w:val="0"/>
            <w:vAlign w:val="top"/>
          </w:tcPr>
          <w:p w14:paraId="08F16F79">
            <w:pPr>
              <w:rPr>
                <w:rFonts w:ascii="宋体" w:hAnsi="宋体" w:eastAsia="宋体"/>
                <w:sz w:val="24"/>
                <w:highlight w:val="none"/>
              </w:rPr>
            </w:pPr>
          </w:p>
        </w:tc>
        <w:tc>
          <w:tcPr>
            <w:tcW w:w="551" w:type="pct"/>
            <w:noWrap w:val="0"/>
            <w:vAlign w:val="top"/>
          </w:tcPr>
          <w:p w14:paraId="4C95E421">
            <w:pPr>
              <w:rPr>
                <w:rFonts w:ascii="宋体" w:hAnsi="宋体" w:eastAsia="宋体"/>
                <w:sz w:val="24"/>
                <w:highlight w:val="none"/>
              </w:rPr>
            </w:pPr>
          </w:p>
        </w:tc>
        <w:tc>
          <w:tcPr>
            <w:tcW w:w="551" w:type="pct"/>
            <w:noWrap w:val="0"/>
            <w:vAlign w:val="top"/>
          </w:tcPr>
          <w:p w14:paraId="722C3B5D">
            <w:pPr>
              <w:rPr>
                <w:rFonts w:ascii="宋体" w:hAnsi="宋体" w:eastAsia="宋体"/>
                <w:sz w:val="24"/>
                <w:highlight w:val="none"/>
              </w:rPr>
            </w:pPr>
          </w:p>
        </w:tc>
        <w:tc>
          <w:tcPr>
            <w:tcW w:w="393" w:type="pct"/>
            <w:noWrap w:val="0"/>
            <w:vAlign w:val="top"/>
          </w:tcPr>
          <w:p w14:paraId="4AE967FC">
            <w:pPr>
              <w:rPr>
                <w:rFonts w:ascii="宋体" w:hAnsi="宋体" w:eastAsia="宋体"/>
                <w:sz w:val="24"/>
                <w:highlight w:val="none"/>
              </w:rPr>
            </w:pPr>
          </w:p>
        </w:tc>
      </w:tr>
      <w:tr w14:paraId="4752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5" w:type="pct"/>
            <w:gridSpan w:val="7"/>
            <w:noWrap w:val="0"/>
            <w:vAlign w:val="center"/>
          </w:tcPr>
          <w:p w14:paraId="0A4342D5">
            <w:pPr>
              <w:jc w:val="center"/>
              <w:rPr>
                <w:rFonts w:ascii="宋体" w:hAnsi="宋体" w:eastAsia="宋体"/>
                <w:sz w:val="24"/>
                <w:highlight w:val="none"/>
              </w:rPr>
            </w:pPr>
            <w:r>
              <w:rPr>
                <w:rFonts w:hint="eastAsia" w:ascii="宋体" w:hAnsi="宋体" w:eastAsia="宋体"/>
                <w:b/>
                <w:sz w:val="24"/>
                <w:highlight w:val="none"/>
              </w:rPr>
              <w:t>合计</w:t>
            </w:r>
            <w:r>
              <w:rPr>
                <w:rFonts w:hint="eastAsia" w:ascii="宋体" w:hAnsi="宋体" w:eastAsia="宋体"/>
                <w:b/>
                <w:sz w:val="24"/>
                <w:highlight w:val="none"/>
                <w:lang w:val="en-US" w:eastAsia="zh-CN"/>
              </w:rPr>
              <w:t>金额</w:t>
            </w:r>
            <w:r>
              <w:rPr>
                <w:rFonts w:hint="eastAsia" w:ascii="宋体" w:hAnsi="宋体" w:eastAsia="宋体"/>
                <w:b/>
                <w:sz w:val="24"/>
                <w:highlight w:val="none"/>
              </w:rPr>
              <w:t>（元）</w:t>
            </w:r>
          </w:p>
        </w:tc>
        <w:tc>
          <w:tcPr>
            <w:tcW w:w="944" w:type="pct"/>
            <w:gridSpan w:val="2"/>
            <w:noWrap w:val="0"/>
            <w:vAlign w:val="top"/>
          </w:tcPr>
          <w:p w14:paraId="731E722E">
            <w:pPr>
              <w:rPr>
                <w:rFonts w:ascii="宋体" w:hAnsi="宋体" w:eastAsia="宋体"/>
                <w:sz w:val="24"/>
                <w:highlight w:val="none"/>
              </w:rPr>
            </w:pPr>
          </w:p>
        </w:tc>
      </w:tr>
    </w:tbl>
    <w:p w14:paraId="4CEF2AEB">
      <w:pPr>
        <w:pStyle w:val="134"/>
        <w:jc w:val="both"/>
        <w:rPr>
          <w:rFonts w:hint="eastAsia" w:ascii="宋体" w:hAnsi="宋体" w:eastAsia="宋体"/>
          <w:b/>
          <w:bCs/>
          <w:highlight w:val="none"/>
          <w:lang w:val="en-US" w:eastAsia="zh-CN"/>
        </w:rPr>
      </w:pPr>
    </w:p>
    <w:p w14:paraId="6926DCF5">
      <w:pPr>
        <w:pStyle w:val="14"/>
        <w:rPr>
          <w:rFonts w:hAnsi="宋体" w:cs="宋体"/>
          <w:color w:val="auto"/>
          <w:highlight w:val="none"/>
        </w:rPr>
      </w:pPr>
    </w:p>
    <w:p w14:paraId="6AAE77EF">
      <w:pPr>
        <w:keepNext w:val="0"/>
        <w:keepLines w:val="0"/>
        <w:pageBreakBefore w:val="0"/>
        <w:widowControl w:val="0"/>
        <w:kinsoku/>
        <w:wordWrap/>
        <w:overflowPunct/>
        <w:topLinePunct w:val="0"/>
        <w:bidi w:val="0"/>
        <w:adjustRightInd w:val="0"/>
        <w:snapToGrid/>
        <w:spacing w:line="440" w:lineRule="exact"/>
        <w:ind w:firstLine="5280" w:firstLineChars="2200"/>
        <w:textAlignment w:val="auto"/>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34A64594">
      <w:pPr>
        <w:pStyle w:val="14"/>
        <w:keepNext w:val="0"/>
        <w:keepLines w:val="0"/>
        <w:pageBreakBefore w:val="0"/>
        <w:widowControl w:val="0"/>
        <w:kinsoku/>
        <w:wordWrap/>
        <w:overflowPunct/>
        <w:topLinePunct w:val="0"/>
        <w:bidi w:val="0"/>
        <w:adjustRightInd w:val="0"/>
        <w:snapToGrid/>
        <w:spacing w:line="440" w:lineRule="exact"/>
        <w:ind w:firstLine="5280" w:firstLineChars="2200"/>
        <w:textAlignment w:val="auto"/>
        <w:rPr>
          <w:rFonts w:hAnsi="宋体" w:cs="宋体"/>
          <w:color w:val="auto"/>
          <w:highlight w:val="non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67066829">
      <w:pPr>
        <w:pStyle w:val="14"/>
        <w:rPr>
          <w:rFonts w:hAnsi="宋体" w:cs="宋体"/>
          <w:color w:val="auto"/>
          <w:highlight w:val="none"/>
        </w:rPr>
      </w:pPr>
    </w:p>
    <w:p w14:paraId="27AF0D8E">
      <w:pPr>
        <w:pStyle w:val="14"/>
        <w:rPr>
          <w:rFonts w:hAnsi="宋体" w:cs="宋体"/>
          <w:color w:val="auto"/>
          <w:highlight w:val="none"/>
        </w:rPr>
      </w:pPr>
    </w:p>
    <w:p w14:paraId="052B0EC2">
      <w:pPr>
        <w:spacing w:line="360" w:lineRule="auto"/>
        <w:rPr>
          <w:rFonts w:hint="eastAsia" w:asciiTheme="minorEastAsia" w:hAnsiTheme="minorEastAsia" w:eastAsiaTheme="minorEastAsia"/>
          <w:b/>
          <w:bCs/>
          <w:sz w:val="21"/>
          <w:szCs w:val="21"/>
          <w:highlight w:val="none"/>
          <w:lang w:eastAsia="zh-CN"/>
        </w:rPr>
      </w:pPr>
      <w:r>
        <w:rPr>
          <w:rFonts w:hint="eastAsia" w:asciiTheme="minorEastAsia" w:hAnsiTheme="minorEastAsia" w:eastAsiaTheme="minorEastAsia"/>
          <w:b/>
          <w:bCs/>
          <w:sz w:val="21"/>
          <w:szCs w:val="21"/>
          <w:highlight w:val="none"/>
          <w:lang w:eastAsia="zh-CN"/>
        </w:rPr>
        <w:t>注：</w:t>
      </w:r>
    </w:p>
    <w:p w14:paraId="165D26D6">
      <w:pPr>
        <w:spacing w:line="360" w:lineRule="auto"/>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1.表1-2-1</w:t>
      </w:r>
      <w:r>
        <w:rPr>
          <w:rFonts w:hint="eastAsia" w:asciiTheme="minorEastAsia" w:hAnsiTheme="minorEastAsia" w:eastAsiaTheme="minorEastAsia"/>
          <w:sz w:val="21"/>
          <w:szCs w:val="21"/>
          <w:highlight w:val="none"/>
        </w:rPr>
        <w:t>中须明确列出所投产品的货物名称、品牌、型号规格、原产地及生产厂商，否则可能导致</w:t>
      </w:r>
      <w:r>
        <w:rPr>
          <w:rFonts w:hint="eastAsia" w:asciiTheme="minorEastAsia" w:hAnsiTheme="minorEastAsia" w:eastAsiaTheme="minorEastAsia"/>
          <w:b/>
          <w:bCs/>
          <w:sz w:val="21"/>
          <w:szCs w:val="21"/>
          <w:highlight w:val="none"/>
          <w:lang w:val="en-US" w:eastAsia="zh-CN"/>
        </w:rPr>
        <w:t>响应</w:t>
      </w:r>
      <w:r>
        <w:rPr>
          <w:rFonts w:hint="eastAsia" w:asciiTheme="minorEastAsia" w:hAnsiTheme="minorEastAsia" w:eastAsiaTheme="minorEastAsia"/>
          <w:b/>
          <w:bCs/>
          <w:sz w:val="21"/>
          <w:szCs w:val="21"/>
          <w:highlight w:val="none"/>
        </w:rPr>
        <w:t>无效</w:t>
      </w:r>
      <w:r>
        <w:rPr>
          <w:rFonts w:hint="eastAsia" w:asciiTheme="minorEastAsia" w:hAnsiTheme="minorEastAsia" w:eastAsiaTheme="minorEastAsia"/>
          <w:b/>
          <w:bCs/>
          <w:sz w:val="21"/>
          <w:szCs w:val="21"/>
          <w:highlight w:val="none"/>
          <w:lang w:eastAsia="zh-CN"/>
        </w:rPr>
        <w:t>。</w:t>
      </w:r>
    </w:p>
    <w:p w14:paraId="3965B980">
      <w:pPr>
        <w:spacing w:line="360" w:lineRule="auto"/>
        <w:rPr>
          <w:rFonts w:hint="eastAsia"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2.上述报价为供应商完成本项目内容的全部费用（总报价为表1-2-1和表1-2-2合计金额之和），</w:t>
      </w:r>
      <w:r>
        <w:rPr>
          <w:rFonts w:hint="eastAsia" w:asciiTheme="minorEastAsia" w:hAnsiTheme="minorEastAsia" w:eastAsiaTheme="minorEastAsia"/>
          <w:sz w:val="21"/>
          <w:szCs w:val="21"/>
          <w:highlight w:val="none"/>
        </w:rPr>
        <w:t>如有漏项或缺项，</w:t>
      </w:r>
      <w:r>
        <w:rPr>
          <w:rFonts w:hint="eastAsia" w:asciiTheme="minorEastAsia" w:hAnsiTheme="minorEastAsia" w:eastAsiaTheme="minorEastAsia"/>
          <w:sz w:val="21"/>
          <w:szCs w:val="21"/>
          <w:highlight w:val="none"/>
          <w:lang w:val="en-US" w:eastAsia="zh-CN"/>
        </w:rPr>
        <w:t>自行</w:t>
      </w:r>
      <w:r>
        <w:rPr>
          <w:rFonts w:hint="eastAsia" w:asciiTheme="minorEastAsia" w:hAnsiTheme="minorEastAsia" w:eastAsiaTheme="minorEastAsia"/>
          <w:sz w:val="21"/>
          <w:szCs w:val="21"/>
          <w:highlight w:val="none"/>
        </w:rPr>
        <w:t>承担全部责任。</w:t>
      </w:r>
    </w:p>
    <w:p w14:paraId="4F41F4F2">
      <w:pPr>
        <w:pStyle w:val="14"/>
        <w:ind w:firstLine="0"/>
        <w:rPr>
          <w:rFonts w:hAnsi="宋体" w:cs="宋体"/>
          <w:color w:val="auto"/>
          <w:highlight w:val="none"/>
        </w:rPr>
      </w:pPr>
    </w:p>
    <w:p w14:paraId="4454CF91">
      <w:pPr>
        <w:spacing w:line="360" w:lineRule="auto"/>
        <w:rPr>
          <w:rFonts w:ascii="宋体" w:cs="宋体"/>
          <w:color w:val="auto"/>
          <w:szCs w:val="21"/>
          <w:highlight w:val="none"/>
        </w:rPr>
      </w:pPr>
    </w:p>
    <w:p w14:paraId="1D81879D">
      <w:pPr>
        <w:spacing w:line="360" w:lineRule="auto"/>
        <w:rPr>
          <w:rFonts w:ascii="宋体" w:cs="宋体"/>
          <w:color w:val="auto"/>
          <w:szCs w:val="21"/>
          <w:highlight w:val="none"/>
        </w:rPr>
      </w:pPr>
    </w:p>
    <w:bookmarkEnd w:id="77"/>
    <w:bookmarkEnd w:id="78"/>
    <w:p w14:paraId="68C8E93B">
      <w:pPr>
        <w:pStyle w:val="6"/>
        <w:numPr>
          <w:ilvl w:val="0"/>
          <w:numId w:val="0"/>
        </w:numPr>
        <w:shd w:val="clear" w:color="auto" w:fill="FFFFFF"/>
        <w:tabs>
          <w:tab w:val="left" w:pos="2730"/>
        </w:tabs>
        <w:spacing w:after="0" w:afterAutospacing="0"/>
        <w:jc w:val="both"/>
        <w:rPr>
          <w:rFonts w:hint="eastAsia" w:asciiTheme="majorEastAsia" w:hAnsiTheme="majorEastAsia" w:eastAsiaTheme="majorEastAsia" w:cstheme="majorEastAsia"/>
          <w:color w:val="auto"/>
          <w:sz w:val="28"/>
          <w:szCs w:val="28"/>
          <w:highlight w:val="none"/>
          <w:lang w:eastAsia="zh-CN"/>
        </w:rPr>
      </w:pPr>
      <w:bookmarkStart w:id="80" w:name="_Toc13918"/>
      <w:bookmarkStart w:id="81" w:name="_Toc127"/>
    </w:p>
    <w:p w14:paraId="73A7A683">
      <w:pPr>
        <w:rPr>
          <w:rFonts w:hint="eastAsia" w:asciiTheme="majorEastAsia" w:hAnsiTheme="majorEastAsia" w:eastAsiaTheme="majorEastAsia" w:cstheme="majorEastAsia"/>
          <w:color w:val="auto"/>
          <w:sz w:val="28"/>
          <w:szCs w:val="28"/>
          <w:highlight w:val="none"/>
          <w:lang w:eastAsia="zh-CN"/>
        </w:rPr>
      </w:pPr>
    </w:p>
    <w:p w14:paraId="1883592B">
      <w:pPr>
        <w:pStyle w:val="2"/>
        <w:rPr>
          <w:rFonts w:hint="eastAsia" w:asciiTheme="majorEastAsia" w:hAnsiTheme="majorEastAsia" w:eastAsiaTheme="majorEastAsia" w:cstheme="majorEastAsia"/>
          <w:color w:val="auto"/>
          <w:sz w:val="28"/>
          <w:szCs w:val="28"/>
          <w:highlight w:val="none"/>
          <w:lang w:eastAsia="zh-CN"/>
        </w:rPr>
      </w:pPr>
    </w:p>
    <w:p w14:paraId="646B98C9">
      <w:pPr>
        <w:pStyle w:val="2"/>
        <w:rPr>
          <w:rFonts w:hint="eastAsia" w:asciiTheme="majorEastAsia" w:hAnsiTheme="majorEastAsia" w:eastAsiaTheme="majorEastAsia" w:cstheme="majorEastAsia"/>
          <w:color w:val="auto"/>
          <w:sz w:val="28"/>
          <w:szCs w:val="28"/>
          <w:highlight w:val="none"/>
          <w:lang w:eastAsia="zh-CN"/>
        </w:rPr>
      </w:pPr>
    </w:p>
    <w:p w14:paraId="0DA2C8BA">
      <w:pPr>
        <w:rPr>
          <w:rFonts w:hint="eastAsia" w:asciiTheme="majorEastAsia" w:hAnsiTheme="majorEastAsia" w:eastAsiaTheme="majorEastAsia" w:cstheme="majorEastAsia"/>
          <w:color w:val="auto"/>
          <w:sz w:val="28"/>
          <w:szCs w:val="28"/>
          <w:highlight w:val="none"/>
          <w:lang w:eastAsia="zh-CN"/>
        </w:rPr>
      </w:pPr>
    </w:p>
    <w:p w14:paraId="5719B9E0">
      <w:pPr>
        <w:pStyle w:val="6"/>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eastAsia="zh-CN"/>
        </w:rPr>
        <w:t>二、最后承诺报价表</w:t>
      </w:r>
      <w:bookmarkEnd w:id="80"/>
      <w:bookmarkEnd w:id="81"/>
    </w:p>
    <w:p w14:paraId="52D91834">
      <w:pPr>
        <w:snapToGrid w:val="0"/>
        <w:spacing w:beforeAutospacing="0" w:line="360" w:lineRule="auto"/>
        <w:jc w:val="left"/>
        <w:rPr>
          <w:rFonts w:hint="eastAsia" w:ascii="宋体" w:hAnsi="宋体" w:eastAsia="宋体"/>
          <w:b/>
          <w:color w:val="auto"/>
          <w:sz w:val="24"/>
          <w:szCs w:val="28"/>
          <w:highlight w:val="none"/>
        </w:rPr>
      </w:pPr>
    </w:p>
    <w:p w14:paraId="60F1B11B">
      <w:pPr>
        <w:snapToGrid w:val="0"/>
        <w:spacing w:line="360" w:lineRule="auto"/>
        <w:jc w:val="left"/>
        <w:rPr>
          <w:rFonts w:hint="default" w:ascii="宋体" w:hAnsi="宋体" w:eastAsia="宋体"/>
          <w:b/>
          <w:color w:val="auto"/>
          <w:sz w:val="24"/>
          <w:szCs w:val="28"/>
          <w:highlight w:val="none"/>
          <w:lang w:val="en-US" w:eastAsia="zh-CN"/>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lang w:val="en-US" w:eastAsia="zh-CN"/>
        </w:rPr>
        <w:t xml:space="preserve">             </w:t>
      </w:r>
    </w:p>
    <w:p w14:paraId="00A73032">
      <w:pPr>
        <w:snapToGrid w:val="0"/>
        <w:spacing w:afterAutospacing="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lang w:val="en-US" w:eastAsia="zh-CN"/>
        </w:rPr>
        <w:t xml:space="preserve">             </w:t>
      </w:r>
    </w:p>
    <w:p w14:paraId="724A1CD0">
      <w:pPr>
        <w:pStyle w:val="3"/>
        <w:jc w:val="right"/>
        <w:rPr>
          <w:rFonts w:hint="default"/>
          <w:u w:val="single"/>
          <w:lang w:val="en-US" w:eastAsia="zh-CN"/>
        </w:rPr>
      </w:pPr>
      <w:r>
        <w:rPr>
          <w:rFonts w:hint="eastAsia" w:ascii="宋体" w:hAnsi="宋体"/>
          <w:b/>
          <w:color w:val="auto"/>
          <w:sz w:val="24"/>
          <w:szCs w:val="28"/>
          <w:highlight w:val="none"/>
          <w:u w:val="none"/>
          <w:lang w:val="en-US" w:eastAsia="zh-CN"/>
        </w:rPr>
        <w:t>单位：</w:t>
      </w:r>
      <w:r>
        <w:rPr>
          <w:rFonts w:hint="eastAsia" w:ascii="宋体" w:hAnsi="宋体"/>
          <w:b/>
          <w:color w:val="auto"/>
          <w:sz w:val="24"/>
          <w:szCs w:val="28"/>
          <w:highlight w:val="none"/>
          <w:u w:val="single"/>
          <w:lang w:val="en-US" w:eastAsia="zh-CN"/>
        </w:rPr>
        <w:t xml:space="preserve"> 元  </w:t>
      </w:r>
    </w:p>
    <w:tbl>
      <w:tblPr>
        <w:tblStyle w:val="40"/>
        <w:tblW w:w="50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6"/>
        <w:gridCol w:w="6403"/>
      </w:tblGrid>
      <w:tr w14:paraId="313AC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3770A3C3">
            <w:pPr>
              <w:spacing w:beforeAutospacing="0"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33C7EB48">
            <w:pPr>
              <w:spacing w:line="360" w:lineRule="auto"/>
              <w:rPr>
                <w:rFonts w:ascii="宋体" w:hAnsi="宋体" w:eastAsia="宋体"/>
                <w:b/>
                <w:color w:val="auto"/>
                <w:sz w:val="24"/>
                <w:highlight w:val="none"/>
              </w:rPr>
            </w:pPr>
          </w:p>
        </w:tc>
      </w:tr>
      <w:tr w14:paraId="6A1C3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442" w:type="pct"/>
            <w:tcBorders>
              <w:top w:val="single" w:color="auto" w:sz="4" w:space="0"/>
              <w:left w:val="single" w:color="auto" w:sz="4" w:space="0"/>
              <w:bottom w:val="single" w:color="auto" w:sz="4" w:space="0"/>
              <w:right w:val="single" w:color="auto" w:sz="4" w:space="0"/>
            </w:tcBorders>
            <w:vAlign w:val="center"/>
          </w:tcPr>
          <w:p w14:paraId="44CE87F0">
            <w:pPr>
              <w:spacing w:line="360" w:lineRule="exact"/>
              <w:jc w:val="center"/>
              <w:rPr>
                <w:rFonts w:ascii="宋体" w:hAnsi="宋体" w:eastAsia="宋体"/>
                <w:b/>
                <w:color w:val="auto"/>
                <w:sz w:val="24"/>
                <w:highlight w:val="none"/>
              </w:rPr>
            </w:pPr>
            <w:r>
              <w:rPr>
                <w:rFonts w:hint="eastAsia" w:ascii="宋体" w:hAnsi="宋体" w:eastAsia="宋体"/>
                <w:b/>
                <w:bCs/>
                <w:color w:val="auto"/>
                <w:sz w:val="24"/>
                <w:szCs w:val="28"/>
                <w:highlight w:val="none"/>
              </w:rPr>
              <w:t>谈判</w:t>
            </w:r>
            <w:r>
              <w:rPr>
                <w:rFonts w:hint="eastAsia" w:ascii="宋体" w:hAnsi="宋体" w:eastAsia="宋体"/>
                <w:b/>
                <w:color w:val="auto"/>
                <w:sz w:val="24"/>
                <w:highlight w:val="none"/>
              </w:rPr>
              <w:t>范围</w:t>
            </w:r>
          </w:p>
        </w:tc>
        <w:tc>
          <w:tcPr>
            <w:tcW w:w="3557" w:type="pct"/>
            <w:tcBorders>
              <w:left w:val="single" w:color="auto" w:sz="4" w:space="0"/>
            </w:tcBorders>
            <w:vAlign w:val="center"/>
          </w:tcPr>
          <w:p w14:paraId="060C5A37">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5EAC4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jc w:val="center"/>
        </w:trPr>
        <w:tc>
          <w:tcPr>
            <w:tcW w:w="1442" w:type="pct"/>
            <w:tcBorders>
              <w:top w:val="single" w:color="auto" w:sz="4" w:space="0"/>
            </w:tcBorders>
            <w:vAlign w:val="center"/>
          </w:tcPr>
          <w:p w14:paraId="023808AC">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最后报价</w:t>
            </w:r>
          </w:p>
          <w:p w14:paraId="57EDDC6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6807D58E">
            <w:pPr>
              <w:snapToGrid w:val="0"/>
              <w:spacing w:line="360" w:lineRule="auto"/>
              <w:jc w:val="left"/>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25B5F87D">
            <w:pPr>
              <w:snapToGrid w:val="0"/>
              <w:spacing w:line="360" w:lineRule="auto"/>
              <w:rPr>
                <w:rFonts w:ascii="宋体" w:hAnsi="宋体" w:eastAsia="宋体"/>
                <w:b/>
                <w:color w:val="auto"/>
                <w:sz w:val="24"/>
                <w:highlight w:val="non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tc>
      </w:tr>
      <w:tr w14:paraId="4890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8" w:hRule="atLeast"/>
          <w:jc w:val="center"/>
        </w:trPr>
        <w:tc>
          <w:tcPr>
            <w:tcW w:w="1442" w:type="pct"/>
            <w:vAlign w:val="center"/>
          </w:tcPr>
          <w:p w14:paraId="21DE904E">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28CA26D8">
            <w:pPr>
              <w:spacing w:line="360" w:lineRule="auto"/>
              <w:rPr>
                <w:rFonts w:ascii="宋体" w:hAnsi="宋体" w:eastAsia="宋体"/>
                <w:b/>
                <w:color w:val="auto"/>
                <w:sz w:val="24"/>
                <w:highlight w:val="none"/>
              </w:rPr>
            </w:pPr>
          </w:p>
        </w:tc>
      </w:tr>
    </w:tbl>
    <w:p w14:paraId="0109F2DC">
      <w:pPr>
        <w:spacing w:line="360" w:lineRule="auto"/>
        <w:ind w:firstLine="482" w:firstLineChars="200"/>
        <w:rPr>
          <w:rFonts w:hint="eastAsia" w:ascii="宋体" w:hAnsi="宋体"/>
          <w:b/>
          <w:sz w:val="24"/>
        </w:rPr>
      </w:pPr>
    </w:p>
    <w:p w14:paraId="39F6FA75">
      <w:pPr>
        <w:spacing w:line="360" w:lineRule="auto"/>
        <w:ind w:firstLine="4320" w:firstLineChars="1800"/>
        <w:jc w:val="left"/>
        <w:rPr>
          <w:rFonts w:ascii="宋体" w:hAnsi="宋体" w:eastAsia="宋体"/>
          <w:color w:val="auto"/>
          <w:sz w:val="24"/>
          <w:highlight w:val="none"/>
        </w:rPr>
      </w:pPr>
      <w:bookmarkStart w:id="82" w:name="_Toc19122"/>
      <w:bookmarkStart w:id="83" w:name="_Toc24283"/>
      <w:r>
        <w:rPr>
          <w:rFonts w:hint="eastAsia" w:ascii="宋体" w:hAnsi="宋体" w:eastAsia="宋体"/>
          <w:color w:val="auto"/>
          <w:sz w:val="24"/>
          <w:highlight w:val="none"/>
        </w:rPr>
        <w:t>供应商公章或授权代表签字：</w:t>
      </w:r>
    </w:p>
    <w:p w14:paraId="68C1EE00">
      <w:pPr>
        <w:spacing w:line="360" w:lineRule="auto"/>
        <w:ind w:firstLine="4440" w:firstLineChars="1850"/>
        <w:jc w:val="left"/>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6B5ACC65">
      <w:pPr>
        <w:spacing w:line="360" w:lineRule="auto"/>
        <w:ind w:firstLine="4200" w:firstLineChars="1750"/>
        <w:jc w:val="left"/>
        <w:rPr>
          <w:rFonts w:ascii="宋体" w:hAnsi="宋体" w:eastAsia="宋体"/>
          <w:color w:val="auto"/>
          <w:sz w:val="24"/>
          <w:highlight w:val="none"/>
        </w:rPr>
      </w:pPr>
    </w:p>
    <w:p w14:paraId="51BE6AEB">
      <w:pPr>
        <w:spacing w:line="360" w:lineRule="auto"/>
        <w:rPr>
          <w:rFonts w:hint="eastAsia" w:eastAsia="宋体" w:asciiTheme="minorEastAsia" w:hAnsiTheme="minorEastAsia"/>
          <w:color w:val="auto"/>
          <w:sz w:val="24"/>
          <w:highlight w:val="none"/>
          <w:lang w:eastAsia="zh-CN"/>
        </w:rPr>
      </w:pPr>
      <w:r>
        <w:rPr>
          <w:rFonts w:hint="eastAsia" w:asciiTheme="minorEastAsia" w:hAnsiTheme="minorEastAsia" w:eastAsiaTheme="minorEastAsia"/>
          <w:b/>
          <w:color w:val="auto"/>
          <w:sz w:val="24"/>
          <w:highlight w:val="none"/>
        </w:rPr>
        <w:t>注：1.</w:t>
      </w:r>
      <w:r>
        <w:rPr>
          <w:rFonts w:hint="eastAsia" w:ascii="宋体" w:hAnsi="宋体" w:eastAsia="宋体"/>
          <w:b/>
          <w:bCs/>
          <w:color w:val="auto"/>
          <w:sz w:val="24"/>
          <w:highlight w:val="none"/>
        </w:rPr>
        <w:t>由供应商在接到报价通知后依据谈判情况填写,并在规定时间内提交</w:t>
      </w:r>
      <w:r>
        <w:rPr>
          <w:rFonts w:hint="eastAsia" w:ascii="宋体" w:hAnsi="宋体" w:eastAsia="宋体"/>
          <w:b/>
          <w:bCs/>
          <w:color w:val="auto"/>
          <w:sz w:val="24"/>
          <w:highlight w:val="none"/>
          <w:lang w:eastAsia="zh-CN"/>
        </w:rPr>
        <w:t>；</w:t>
      </w:r>
    </w:p>
    <w:p w14:paraId="23F51445">
      <w:pPr>
        <w:numPr>
          <w:ilvl w:val="0"/>
          <w:numId w:val="0"/>
        </w:numPr>
        <w:spacing w:line="360" w:lineRule="auto"/>
        <w:ind w:firstLine="482" w:firstLineChars="200"/>
        <w:rPr>
          <w:rFonts w:hint="eastAsia" w:asciiTheme="minorEastAsia" w:hAnsiTheme="minorEastAsia" w:eastAsiaTheme="minorEastAsia"/>
          <w:b/>
          <w:bCs/>
          <w:color w:val="auto"/>
          <w:sz w:val="24"/>
          <w:highlight w:val="none"/>
          <w:lang w:eastAsia="zh-CN"/>
        </w:rPr>
      </w:pPr>
      <w:r>
        <w:rPr>
          <w:rFonts w:hint="eastAsia" w:cs="Times New Roman" w:asciiTheme="minorEastAsia" w:hAnsiTheme="minorEastAsia" w:eastAsiaTheme="minorEastAsia"/>
          <w:b/>
          <w:bCs/>
          <w:color w:val="auto"/>
          <w:sz w:val="24"/>
          <w:lang w:val="en-US" w:eastAsia="zh-CN" w:bidi="ar-SA"/>
        </w:rPr>
        <w:t>2.</w:t>
      </w:r>
      <w:r>
        <w:rPr>
          <w:rFonts w:hint="eastAsia" w:asciiTheme="minorEastAsia" w:hAnsiTheme="minorEastAsia" w:eastAsiaTheme="minorEastAsia"/>
          <w:b/>
          <w:bCs/>
          <w:color w:val="auto"/>
          <w:sz w:val="24"/>
          <w:highlight w:val="none"/>
        </w:rPr>
        <w:t>表中大写</w:t>
      </w:r>
      <w:r>
        <w:rPr>
          <w:rFonts w:hint="eastAsia" w:ascii="宋体" w:hAnsi="宋体"/>
          <w:b/>
          <w:bCs/>
          <w:color w:val="auto"/>
          <w:sz w:val="24"/>
          <w:szCs w:val="28"/>
          <w:highlight w:val="none"/>
          <w:lang w:val="en-US" w:eastAsia="zh-CN"/>
        </w:rPr>
        <w:t>金额</w:t>
      </w:r>
      <w:r>
        <w:rPr>
          <w:rFonts w:hint="eastAsia" w:asciiTheme="minorEastAsia" w:hAnsiTheme="minorEastAsia" w:eastAsiaTheme="minorEastAsia"/>
          <w:b/>
          <w:bCs/>
          <w:color w:val="auto"/>
          <w:sz w:val="24"/>
          <w:highlight w:val="none"/>
        </w:rPr>
        <w:t>与小写</w:t>
      </w:r>
      <w:r>
        <w:rPr>
          <w:rFonts w:hint="eastAsia" w:ascii="宋体" w:hAnsi="宋体"/>
          <w:b/>
          <w:bCs/>
          <w:color w:val="auto"/>
          <w:sz w:val="24"/>
          <w:szCs w:val="28"/>
          <w:highlight w:val="none"/>
          <w:lang w:val="en-US" w:eastAsia="zh-CN"/>
        </w:rPr>
        <w:t>金额</w:t>
      </w:r>
      <w:r>
        <w:rPr>
          <w:rFonts w:hint="eastAsia" w:asciiTheme="minorEastAsia" w:hAnsiTheme="minorEastAsia" w:eastAsiaTheme="minorEastAsia"/>
          <w:b/>
          <w:bCs/>
          <w:color w:val="auto"/>
          <w:sz w:val="24"/>
          <w:highlight w:val="none"/>
        </w:rPr>
        <w:t>不一致的，以大写</w:t>
      </w:r>
      <w:r>
        <w:rPr>
          <w:rFonts w:hint="eastAsia" w:asciiTheme="minorEastAsia" w:hAnsiTheme="minorEastAsia" w:eastAsiaTheme="minorEastAsia"/>
          <w:b/>
          <w:bCs/>
          <w:color w:val="auto"/>
          <w:sz w:val="24"/>
          <w:highlight w:val="none"/>
          <w:lang w:val="en-US" w:eastAsia="zh-CN"/>
        </w:rPr>
        <w:t>金额</w:t>
      </w:r>
      <w:r>
        <w:rPr>
          <w:rFonts w:hint="eastAsia" w:asciiTheme="minorEastAsia" w:hAnsiTheme="minorEastAsia" w:eastAsiaTheme="minorEastAsia"/>
          <w:b/>
          <w:bCs/>
          <w:color w:val="auto"/>
          <w:sz w:val="24"/>
          <w:highlight w:val="none"/>
        </w:rPr>
        <w:t>为准</w:t>
      </w:r>
      <w:r>
        <w:rPr>
          <w:rFonts w:hint="eastAsia" w:asciiTheme="minorEastAsia" w:hAnsiTheme="minorEastAsia" w:eastAsiaTheme="minorEastAsia"/>
          <w:b/>
          <w:bCs/>
          <w:color w:val="auto"/>
          <w:sz w:val="24"/>
          <w:highlight w:val="none"/>
          <w:lang w:eastAsia="zh-CN"/>
        </w:rPr>
        <w:t>；</w:t>
      </w:r>
    </w:p>
    <w:p w14:paraId="193F273F">
      <w:pPr>
        <w:spacing w:line="360" w:lineRule="auto"/>
        <w:ind w:firstLine="482" w:firstLineChars="200"/>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3.若有分项报价，则分项报价按总报价的同等比例下浮；</w:t>
      </w:r>
    </w:p>
    <w:p w14:paraId="27C12FA1">
      <w:pPr>
        <w:spacing w:line="360" w:lineRule="auto"/>
        <w:ind w:firstLine="482" w:firstLineChars="200"/>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4.最后报价保留两位小数，小数点后第三位四舍五入。</w:t>
      </w:r>
    </w:p>
    <w:p w14:paraId="1F507C49">
      <w:pPr>
        <w:spacing w:line="360" w:lineRule="auto"/>
        <w:ind w:firstLine="482" w:firstLineChars="200"/>
        <w:rPr>
          <w:rFonts w:hint="eastAsia" w:ascii="宋体" w:eastAsia="宋体"/>
          <w:color w:val="auto"/>
          <w:szCs w:val="21"/>
          <w:highlight w:val="none"/>
          <w:lang w:eastAsia="zh-CN"/>
        </w:rPr>
      </w:pPr>
      <w:r>
        <w:rPr>
          <w:rFonts w:hint="eastAsia" w:ascii="宋体" w:hAnsi="宋体" w:eastAsia="宋体" w:cs="Times New Roman"/>
          <w:b/>
          <w:bCs/>
          <w:color w:val="auto"/>
          <w:sz w:val="24"/>
          <w:highlight w:val="none"/>
          <w:lang w:val="en-US" w:eastAsia="zh-CN"/>
        </w:rPr>
        <w:t>5.</w:t>
      </w:r>
      <w:r>
        <w:rPr>
          <w:rFonts w:hint="eastAsia" w:ascii="宋体" w:hAnsi="宋体" w:eastAsia="宋体" w:cs="Times New Roman"/>
          <w:b/>
          <w:bCs/>
          <w:color w:val="auto"/>
          <w:sz w:val="24"/>
          <w:highlight w:val="none"/>
        </w:rPr>
        <w:t>此表请各供应商多准备几份，并加盖供应商公章，以</w:t>
      </w:r>
      <w:r>
        <w:rPr>
          <w:rFonts w:hint="eastAsia" w:ascii="宋体" w:hAnsi="宋体"/>
          <w:b/>
          <w:sz w:val="24"/>
        </w:rPr>
        <w:t>便在</w:t>
      </w:r>
      <w:r>
        <w:rPr>
          <w:rFonts w:hint="eastAsia" w:ascii="宋体" w:hAnsi="宋体"/>
          <w:b/>
          <w:sz w:val="24"/>
          <w:lang w:val="en-US" w:eastAsia="zh-CN"/>
        </w:rPr>
        <w:t>谈判</w:t>
      </w:r>
      <w:r>
        <w:rPr>
          <w:rFonts w:hint="eastAsia" w:ascii="宋体" w:hAnsi="宋体"/>
          <w:b/>
          <w:sz w:val="24"/>
        </w:rPr>
        <w:t>时报价使用。（此表由供应商</w:t>
      </w:r>
      <w:r>
        <w:rPr>
          <w:rFonts w:hint="eastAsia" w:ascii="宋体" w:hAnsi="宋体"/>
          <w:b/>
          <w:sz w:val="24"/>
          <w:lang w:val="en-US" w:eastAsia="zh-CN"/>
        </w:rPr>
        <w:t>谈判</w:t>
      </w:r>
      <w:r>
        <w:rPr>
          <w:rFonts w:hint="eastAsia" w:ascii="宋体" w:hAnsi="宋体"/>
          <w:b/>
          <w:sz w:val="24"/>
        </w:rPr>
        <w:t>现场递交）</w:t>
      </w:r>
      <w:r>
        <w:rPr>
          <w:rFonts w:hint="eastAsia" w:ascii="宋体" w:hAnsi="宋体"/>
          <w:b/>
          <w:sz w:val="24"/>
          <w:lang w:eastAsia="zh-CN"/>
        </w:rPr>
        <w:t>。</w:t>
      </w:r>
    </w:p>
    <w:p w14:paraId="69A2A1A5">
      <w:pPr>
        <w:pStyle w:val="6"/>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eastAsia="zh-CN"/>
        </w:rPr>
      </w:pPr>
    </w:p>
    <w:p w14:paraId="733E79BF">
      <w:pPr>
        <w:rPr>
          <w:rFonts w:hint="eastAsia"/>
          <w:lang w:eastAsia="zh-CN"/>
        </w:rPr>
      </w:pPr>
    </w:p>
    <w:p w14:paraId="1EB022C9">
      <w:pPr>
        <w:pStyle w:val="6"/>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eastAsia="zh-CN"/>
        </w:rPr>
        <w:t>三、谈判响应函</w:t>
      </w:r>
      <w:bookmarkEnd w:id="82"/>
      <w:bookmarkEnd w:id="83"/>
    </w:p>
    <w:p w14:paraId="349C4EF4">
      <w:pPr>
        <w:pStyle w:val="23"/>
        <w:spacing w:beforeAutospacing="0" w:line="360" w:lineRule="auto"/>
        <w:ind w:left="0" w:leftChars="0" w:firstLine="0" w:firstLineChars="0"/>
        <w:rPr>
          <w:rFonts w:hint="eastAsia" w:ascii="宋体" w:hAnsi="宋体" w:eastAsia="宋体"/>
          <w:b/>
          <w:bCs/>
          <w:color w:val="auto"/>
          <w:sz w:val="24"/>
          <w:highlight w:val="none"/>
          <w:lang w:eastAsia="zh-CN"/>
        </w:rPr>
      </w:pPr>
      <w:r>
        <w:rPr>
          <w:rFonts w:hint="eastAsia" w:ascii="宋体" w:hAnsi="宋体"/>
          <w:b/>
          <w:bCs/>
          <w:color w:val="auto"/>
          <w:sz w:val="24"/>
          <w:highlight w:val="none"/>
        </w:rPr>
        <w:t>致：</w:t>
      </w:r>
      <w:r>
        <w:rPr>
          <w:rFonts w:hint="eastAsia" w:ascii="宋体" w:hAnsi="宋体"/>
          <w:b/>
          <w:bCs/>
          <w:color w:val="auto"/>
          <w:sz w:val="24"/>
          <w:szCs w:val="24"/>
          <w:highlight w:val="none"/>
          <w:u w:val="single"/>
          <w:lang w:eastAsia="zh-CN"/>
        </w:rPr>
        <w:t>采购人</w:t>
      </w:r>
    </w:p>
    <w:p w14:paraId="5A4C3DF2">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84" w:name="_Hlk44287576"/>
      <w:r>
        <w:rPr>
          <w:rFonts w:hint="eastAsia" w:ascii="宋体" w:hAnsi="宋体" w:eastAsia="宋体"/>
          <w:color w:val="auto"/>
          <w:sz w:val="24"/>
          <w:highlight w:val="none"/>
        </w:rPr>
        <w:t>竞争性谈判公告和谈判邀请</w:t>
      </w:r>
      <w:bookmarkEnd w:id="84"/>
      <w:r>
        <w:rPr>
          <w:rFonts w:hint="eastAsia" w:ascii="宋体" w:hAnsi="宋体" w:eastAsia="宋体"/>
          <w:color w:val="auto"/>
          <w:sz w:val="24"/>
          <w:highlight w:val="none"/>
        </w:rPr>
        <w:t>，我方兹宣布同意如下：</w:t>
      </w:r>
    </w:p>
    <w:p w14:paraId="3DDDE64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rPr>
        <w:t>1.我方根据本次谈判文件的规定，严格履行合同的责任和义务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并保证于买方要求的日期内完成，并通过买方验收。</w:t>
      </w:r>
    </w:p>
    <w:p w14:paraId="59C215EA">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.我方已详细审核本次谈判文件，包括谈判文件附件</w:t>
      </w:r>
      <w:r>
        <w:rPr>
          <w:rFonts w:hint="eastAsia" w:ascii="宋体" w:hAnsi="宋体" w:eastAsia="宋体"/>
          <w:color w:val="auto"/>
          <w:sz w:val="24"/>
          <w:highlight w:val="none"/>
          <w:lang w:val="en-US" w:eastAsia="zh-CN"/>
        </w:rPr>
        <w:t>及更正公告</w:t>
      </w:r>
      <w:r>
        <w:rPr>
          <w:rFonts w:hint="eastAsia" w:ascii="宋体" w:hAnsi="宋体" w:eastAsia="宋体"/>
          <w:color w:val="auto"/>
          <w:sz w:val="24"/>
          <w:highlight w:val="none"/>
        </w:rPr>
        <w:t>（如有），我方正式认可并遵守本次谈判文件，并对谈判文件各项条款、规定及要求均无异议。</w:t>
      </w:r>
    </w:p>
    <w:p w14:paraId="3BD08BFB">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FEC3FD1">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有关的任何证据、数据或资料。</w:t>
      </w:r>
    </w:p>
    <w:p w14:paraId="72B4FC99">
      <w:pPr>
        <w:pStyle w:val="6"/>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1750CD75">
      <w:pPr>
        <w:spacing w:line="360" w:lineRule="auto"/>
        <w:ind w:firstLine="4320" w:firstLineChars="18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7B242CA5">
      <w:pPr>
        <w:spacing w:line="360" w:lineRule="auto"/>
        <w:ind w:firstLine="4320" w:firstLineChars="18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2B73AFE">
      <w:pPr>
        <w:pStyle w:val="6"/>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5D6870D9">
      <w:pPr>
        <w:pStyle w:val="6"/>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45BD3019">
      <w:pPr>
        <w:pStyle w:val="6"/>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3252ADD4">
      <w:pPr>
        <w:pStyle w:val="6"/>
        <w:numPr>
          <w:ilvl w:val="0"/>
          <w:numId w:val="0"/>
        </w:numPr>
        <w:shd w:val="clear" w:color="auto" w:fill="FFFFFF"/>
        <w:tabs>
          <w:tab w:val="left" w:pos="2730"/>
        </w:tabs>
        <w:jc w:val="center"/>
        <w:rPr>
          <w:rFonts w:hint="eastAsia" w:asciiTheme="majorEastAsia" w:hAnsiTheme="majorEastAsia" w:eastAsiaTheme="majorEastAsia" w:cstheme="majorEastAsia"/>
          <w:color w:val="auto"/>
          <w:sz w:val="28"/>
          <w:szCs w:val="28"/>
          <w:highlight w:val="none"/>
          <w:lang w:val="en-US" w:eastAsia="zh-CN"/>
        </w:rPr>
      </w:pPr>
    </w:p>
    <w:p w14:paraId="20DA9185">
      <w:pPr>
        <w:rPr>
          <w:rFonts w:hint="eastAsia" w:asciiTheme="majorEastAsia" w:hAnsiTheme="majorEastAsia" w:eastAsiaTheme="majorEastAsia" w:cstheme="majorEastAsia"/>
          <w:color w:val="auto"/>
          <w:sz w:val="28"/>
          <w:szCs w:val="28"/>
          <w:highlight w:val="none"/>
          <w:lang w:val="en-US" w:eastAsia="zh-CN"/>
        </w:rPr>
      </w:pPr>
    </w:p>
    <w:p w14:paraId="3AAF181B">
      <w:pPr>
        <w:pStyle w:val="3"/>
        <w:rPr>
          <w:rFonts w:hint="eastAsia"/>
          <w:lang w:val="en-US" w:eastAsia="zh-CN"/>
        </w:rPr>
      </w:pPr>
    </w:p>
    <w:p w14:paraId="08FB8371">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85" w:name="_Toc25337"/>
    </w:p>
    <w:p w14:paraId="6E1E6CC2">
      <w:pPr>
        <w:pStyle w:val="6"/>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eastAsia="zh-CN"/>
        </w:rPr>
      </w:pPr>
      <w:r>
        <w:rPr>
          <w:rFonts w:hint="eastAsia" w:asciiTheme="majorEastAsia" w:hAnsiTheme="majorEastAsia" w:eastAsiaTheme="majorEastAsia" w:cstheme="majorEastAsia"/>
          <w:color w:val="auto"/>
          <w:sz w:val="28"/>
          <w:szCs w:val="28"/>
          <w:highlight w:val="none"/>
          <w:lang w:val="en-US" w:eastAsia="zh-CN"/>
        </w:rPr>
        <w:t>四、供应商资格声明书</w:t>
      </w:r>
      <w:bookmarkEnd w:id="85"/>
      <w:r>
        <w:rPr>
          <w:rFonts w:hint="eastAsia" w:asciiTheme="majorEastAsia" w:hAnsiTheme="majorEastAsia" w:eastAsiaTheme="majorEastAsia" w:cstheme="majorEastAsia"/>
          <w:color w:val="auto"/>
          <w:sz w:val="28"/>
          <w:szCs w:val="28"/>
          <w:highlight w:val="none"/>
          <w:lang w:val="en-US" w:eastAsia="zh-CN"/>
        </w:rPr>
        <w:t xml:space="preserve"> </w:t>
      </w:r>
    </w:p>
    <w:p w14:paraId="20B4AF61">
      <w:pPr>
        <w:pStyle w:val="23"/>
        <w:spacing w:beforeAutospacing="0" w:line="360" w:lineRule="auto"/>
        <w:ind w:left="0" w:leftChars="0" w:firstLine="0" w:firstLineChars="0"/>
        <w:rPr>
          <w:rFonts w:hint="eastAsia" w:ascii="宋体" w:hAnsi="宋体"/>
          <w:b/>
          <w:bCs/>
          <w:color w:val="auto"/>
          <w:sz w:val="24"/>
          <w:highlight w:val="none"/>
          <w:lang w:eastAsia="zh-CN"/>
        </w:rPr>
      </w:pPr>
      <w:r>
        <w:rPr>
          <w:rFonts w:hint="eastAsia" w:ascii="宋体" w:hAnsi="宋体"/>
          <w:b/>
          <w:bCs/>
          <w:color w:val="auto"/>
          <w:sz w:val="24"/>
          <w:highlight w:val="none"/>
        </w:rPr>
        <w:t>致：</w:t>
      </w:r>
      <w:r>
        <w:rPr>
          <w:rFonts w:hint="eastAsia" w:ascii="宋体" w:hAnsi="宋体"/>
          <w:b/>
          <w:bCs/>
          <w:color w:val="auto"/>
          <w:sz w:val="24"/>
          <w:highlight w:val="none"/>
          <w:u w:val="single"/>
          <w:lang w:eastAsia="zh-CN"/>
        </w:rPr>
        <w:t>采购人</w:t>
      </w:r>
    </w:p>
    <w:p w14:paraId="19AC55C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在参与本次项目谈判中，我单位承诺：</w:t>
      </w:r>
    </w:p>
    <w:p w14:paraId="710E22B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1D7B55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525888C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058893D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5F6134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683A0EB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4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9"/>
        <w:gridCol w:w="4608"/>
        <w:gridCol w:w="2945"/>
      </w:tblGrid>
      <w:tr w14:paraId="4299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1AA1C5D6">
            <w:pPr>
              <w:keepNext w:val="0"/>
              <w:keepLines w:val="0"/>
              <w:pageBreakBefore w:val="0"/>
              <w:widowControl/>
              <w:suppressLineNumbers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2608" w:type="pct"/>
            <w:vAlign w:val="center"/>
          </w:tcPr>
          <w:p w14:paraId="0DABA545">
            <w:pPr>
              <w:pStyle w:val="3"/>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1667" w:type="pct"/>
            <w:vAlign w:val="center"/>
          </w:tcPr>
          <w:p w14:paraId="16CB7642">
            <w:pPr>
              <w:pStyle w:val="3"/>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6BA1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0684862B">
            <w:pPr>
              <w:pStyle w:val="3"/>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2608" w:type="pct"/>
            <w:vAlign w:val="center"/>
          </w:tcPr>
          <w:p w14:paraId="05FC1AC4">
            <w:pPr>
              <w:pStyle w:val="3"/>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1A8592C6">
            <w:pPr>
              <w:pStyle w:val="3"/>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4132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62D303A4">
            <w:pPr>
              <w:pStyle w:val="3"/>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2608" w:type="pct"/>
            <w:vAlign w:val="center"/>
          </w:tcPr>
          <w:p w14:paraId="538DA7A5">
            <w:pPr>
              <w:pStyle w:val="3"/>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16AB6B6B">
            <w:pPr>
              <w:pStyle w:val="3"/>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0D12272D">
      <w:pPr>
        <w:pStyle w:val="6"/>
        <w:numPr>
          <w:ilvl w:val="0"/>
          <w:numId w:val="0"/>
        </w:numPr>
        <w:shd w:val="clear" w:color="auto" w:fill="FFFFFF"/>
        <w:tabs>
          <w:tab w:val="left" w:pos="2730"/>
        </w:tabs>
        <w:jc w:val="center"/>
        <w:rPr>
          <w:rFonts w:hint="eastAsia" w:asciiTheme="majorEastAsia" w:hAnsiTheme="majorEastAsia" w:eastAsiaTheme="majorEastAsia" w:cstheme="majorEastAsia"/>
          <w:b w:val="0"/>
          <w:bCs w:val="0"/>
          <w:color w:val="auto"/>
          <w:sz w:val="28"/>
          <w:szCs w:val="28"/>
          <w:highlight w:val="none"/>
          <w:lang w:val="en-US" w:eastAsia="zh-CN"/>
        </w:rPr>
      </w:pPr>
      <w:r>
        <w:rPr>
          <w:rFonts w:hint="eastAsia" w:ascii="宋体" w:hAnsi="宋体" w:eastAsia="宋体"/>
          <w:b w:val="0"/>
          <w:bCs w:val="0"/>
          <w:color w:val="auto"/>
          <w:sz w:val="24"/>
          <w:highlight w:val="none"/>
        </w:rPr>
        <w:t>本单位对</w:t>
      </w:r>
      <w:r>
        <w:rPr>
          <w:rFonts w:hint="eastAsia" w:asciiTheme="minorEastAsia" w:hAnsiTheme="minorEastAsia" w:eastAsiaTheme="minorEastAsia"/>
          <w:b w:val="0"/>
          <w:bCs w:val="0"/>
          <w:color w:val="auto"/>
          <w:sz w:val="24"/>
          <w:highlight w:val="none"/>
        </w:rPr>
        <w:t>上述</w:t>
      </w:r>
      <w:r>
        <w:rPr>
          <w:rFonts w:hint="eastAsia" w:ascii="宋体" w:hAnsi="宋体" w:eastAsia="宋体"/>
          <w:b w:val="0"/>
          <w:bCs w:val="0"/>
          <w:color w:val="auto"/>
          <w:sz w:val="24"/>
          <w:highlight w:val="none"/>
        </w:rPr>
        <w:t>声明的真实性负责。如有虚假，将依法承担相应责任。</w:t>
      </w:r>
    </w:p>
    <w:p w14:paraId="034B10EE">
      <w:pPr>
        <w:spacing w:line="360" w:lineRule="auto"/>
        <w:ind w:firstLine="4800" w:firstLineChars="2000"/>
        <w:rPr>
          <w:rFonts w:hint="eastAsia" w:ascii="宋体" w:hAnsi="宋体" w:eastAsia="宋体"/>
          <w:color w:val="auto"/>
          <w:sz w:val="24"/>
          <w:highlight w:val="none"/>
          <w:lang w:val="en-US" w:eastAsia="zh-CN"/>
        </w:rPr>
      </w:pPr>
    </w:p>
    <w:p w14:paraId="4F41F7C4">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30F3585">
      <w:pPr>
        <w:spacing w:line="360" w:lineRule="auto"/>
        <w:ind w:firstLine="4800" w:firstLineChars="2000"/>
        <w:rPr>
          <w:rFonts w:hint="eastAsia" w:ascii="宋体" w:hAnsi="宋体" w:eastAsia="宋体"/>
          <w:color w:val="auto"/>
          <w:sz w:val="24"/>
          <w:highlight w:val="none"/>
          <w:u w:val="single"/>
          <w:lang w:val="en-US" w:eastAsia="zh-CN"/>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w:t>
      </w:r>
    </w:p>
    <w:p w14:paraId="4E9CD122">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86" w:name="_Toc15728"/>
    </w:p>
    <w:p w14:paraId="470FDA1A">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63C8C2F2">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0752CCFE">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0BD5C47B">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6110CE10">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43C2AD1A">
      <w:pPr>
        <w:spacing w:line="360" w:lineRule="auto"/>
        <w:jc w:val="center"/>
        <w:outlineLvl w:val="1"/>
        <w:rPr>
          <w:rFonts w:hint="eastAsia" w:asciiTheme="minorEastAsia" w:hAnsiTheme="minorEastAsia" w:eastAsiaTheme="minorEastAsia"/>
          <w:b/>
          <w:color w:val="auto"/>
          <w:sz w:val="24"/>
          <w:highlight w:val="none"/>
          <w:lang w:val="en-US" w:eastAsia="zh-CN"/>
        </w:rPr>
      </w:pPr>
    </w:p>
    <w:p w14:paraId="70DC9F5B">
      <w:pPr>
        <w:spacing w:line="360" w:lineRule="auto"/>
        <w:jc w:val="both"/>
        <w:outlineLvl w:val="1"/>
        <w:rPr>
          <w:rFonts w:hint="eastAsia" w:asciiTheme="minorEastAsia" w:hAnsiTheme="minorEastAsia" w:eastAsiaTheme="minorEastAsia"/>
          <w:b/>
          <w:color w:val="auto"/>
          <w:sz w:val="24"/>
          <w:highlight w:val="none"/>
          <w:lang w:val="en-US" w:eastAsia="zh-CN"/>
        </w:rPr>
      </w:pPr>
    </w:p>
    <w:p w14:paraId="4F14ACD3">
      <w:pPr>
        <w:pStyle w:val="6"/>
        <w:numPr>
          <w:ilvl w:val="0"/>
          <w:numId w:val="0"/>
        </w:numPr>
        <w:shd w:val="clear" w:color="auto" w:fill="FFFFFF"/>
        <w:tabs>
          <w:tab w:val="left" w:pos="2730"/>
        </w:tabs>
        <w:spacing w:after="0" w:afterAutospacing="0"/>
        <w:jc w:val="center"/>
        <w:rPr>
          <w:rFonts w:hAnsi="宋体" w:eastAsia="宋体"/>
          <w:color w:val="auto"/>
          <w:sz w:val="24"/>
          <w:szCs w:val="28"/>
          <w:highlight w:val="none"/>
        </w:rPr>
      </w:pPr>
      <w:r>
        <w:rPr>
          <w:rFonts w:hint="eastAsia" w:asciiTheme="majorEastAsia" w:hAnsiTheme="majorEastAsia" w:eastAsiaTheme="majorEastAsia" w:cstheme="majorEastAsia"/>
          <w:color w:val="auto"/>
          <w:sz w:val="28"/>
          <w:szCs w:val="28"/>
          <w:highlight w:val="none"/>
          <w:lang w:val="en-US" w:eastAsia="zh-CN"/>
        </w:rPr>
        <w:t>五、授权书</w:t>
      </w:r>
      <w:bookmarkEnd w:id="86"/>
    </w:p>
    <w:p w14:paraId="4ED97A1D">
      <w:pPr>
        <w:pStyle w:val="21"/>
        <w:keepNext w:val="0"/>
        <w:keepLines w:val="0"/>
        <w:pageBreakBefore w:val="0"/>
        <w:widowControl w:val="0"/>
        <w:kinsoku/>
        <w:wordWrap/>
        <w:overflowPunct/>
        <w:topLinePunct w:val="0"/>
        <w:autoSpaceDE/>
        <w:autoSpaceDN/>
        <w:bidi w:val="0"/>
        <w:adjustRightInd w:val="0"/>
        <w:snapToGrid w:val="0"/>
        <w:spacing w:beforeAutospacing="0" w:line="560" w:lineRule="exact"/>
        <w:ind w:firstLine="480" w:firstLineChars="200"/>
        <w:jc w:val="left"/>
        <w:textAlignment w:val="baseline"/>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谈判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14:paraId="406C355A">
      <w:pPr>
        <w:pStyle w:val="21"/>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left"/>
        <w:textAlignment w:val="baseline"/>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553EA66A">
      <w:pPr>
        <w:pStyle w:val="21"/>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left"/>
        <w:textAlignment w:val="baseline"/>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0DA5B72F">
      <w:pPr>
        <w:pStyle w:val="21"/>
        <w:snapToGrid w:val="0"/>
        <w:spacing w:line="360" w:lineRule="auto"/>
        <w:ind w:firstLine="480" w:firstLineChars="200"/>
        <w:jc w:val="left"/>
        <w:rPr>
          <w:rFonts w:hAnsi="宋体" w:eastAsia="宋体"/>
          <w:color w:val="auto"/>
          <w:sz w:val="24"/>
          <w:highlight w:val="none"/>
        </w:rPr>
      </w:pPr>
    </w:p>
    <w:p w14:paraId="6BA4092A">
      <w:pPr>
        <w:pStyle w:val="21"/>
        <w:snapToGrid w:val="0"/>
        <w:spacing w:line="360" w:lineRule="auto"/>
        <w:ind w:firstLine="480" w:firstLineChars="200"/>
        <w:jc w:val="left"/>
        <w:rPr>
          <w:rFonts w:hAnsi="宋体" w:eastAsia="宋体"/>
          <w:color w:val="auto"/>
          <w:sz w:val="24"/>
          <w:highlight w:val="none"/>
        </w:rPr>
      </w:pPr>
    </w:p>
    <w:p w14:paraId="5B267070">
      <w:pPr>
        <w:pStyle w:val="21"/>
        <w:snapToGrid w:val="0"/>
        <w:spacing w:line="360" w:lineRule="auto"/>
        <w:jc w:val="left"/>
        <w:rPr>
          <w:rFonts w:hAnsi="宋体" w:eastAsia="宋体"/>
          <w:color w:val="auto"/>
          <w:sz w:val="24"/>
          <w:highlight w:val="none"/>
        </w:rPr>
      </w:pPr>
    </w:p>
    <w:p w14:paraId="15517265">
      <w:pPr>
        <w:pStyle w:val="21"/>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6C2F07F9">
      <w:pPr>
        <w:pStyle w:val="21"/>
        <w:snapToGrid w:val="0"/>
        <w:spacing w:line="360" w:lineRule="auto"/>
        <w:ind w:firstLine="480" w:firstLineChars="200"/>
        <w:jc w:val="left"/>
        <w:rPr>
          <w:rFonts w:hAnsi="宋体" w:eastAsia="宋体"/>
          <w:color w:val="auto"/>
          <w:sz w:val="24"/>
          <w:szCs w:val="28"/>
          <w:highlight w:val="none"/>
        </w:rPr>
      </w:pPr>
    </w:p>
    <w:p w14:paraId="15E1664B">
      <w:pPr>
        <w:spacing w:line="360" w:lineRule="auto"/>
        <w:ind w:firstLine="360" w:firstLineChars="150"/>
        <w:rPr>
          <w:rFonts w:hint="eastAsia"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2D87654A">
      <w:pPr>
        <w:pStyle w:val="3"/>
        <w:rPr>
          <w:rFonts w:hint="eastAsia" w:ascii="宋体" w:hAnsi="宋体" w:eastAsia="宋体"/>
          <w:color w:val="auto"/>
          <w:sz w:val="24"/>
          <w:szCs w:val="28"/>
          <w:highlight w:val="none"/>
        </w:rPr>
      </w:pPr>
    </w:p>
    <w:p w14:paraId="52F33077">
      <w:pPr>
        <w:spacing w:line="360" w:lineRule="auto"/>
        <w:ind w:firstLine="5280" w:firstLineChars="22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B628FD8">
      <w:pPr>
        <w:spacing w:line="360" w:lineRule="auto"/>
        <w:ind w:firstLine="5280" w:firstLineChars="2200"/>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7103EC7">
      <w:pPr>
        <w:pStyle w:val="3"/>
        <w:rPr>
          <w:rFonts w:hint="eastAsia" w:ascii="宋体" w:hAnsi="宋体" w:eastAsia="宋体"/>
          <w:color w:val="auto"/>
          <w:sz w:val="24"/>
          <w:szCs w:val="28"/>
          <w:highlight w:val="none"/>
        </w:rPr>
      </w:pPr>
    </w:p>
    <w:p w14:paraId="34211D56">
      <w:pPr>
        <w:pStyle w:val="3"/>
        <w:rPr>
          <w:rFonts w:hint="eastAsia" w:ascii="宋体" w:hAnsi="宋体" w:eastAsia="宋体"/>
          <w:color w:val="auto"/>
          <w:sz w:val="24"/>
          <w:szCs w:val="28"/>
          <w:highlight w:val="none"/>
        </w:rPr>
      </w:pPr>
    </w:p>
    <w:p w14:paraId="62B29EEE">
      <w:pPr>
        <w:pStyle w:val="2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600B62F5">
      <w:pPr>
        <w:pStyle w:val="2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5B31333C">
      <w:pPr>
        <w:pStyle w:val="21"/>
        <w:snapToGrid w:val="0"/>
        <w:spacing w:line="360" w:lineRule="auto"/>
        <w:jc w:val="left"/>
        <w:rPr>
          <w:rFonts w:hint="eastAsia" w:ascii="宋体" w:hAnsi="宋体" w:eastAsia="宋体"/>
          <w:color w:val="auto"/>
          <w:sz w:val="24"/>
          <w:szCs w:val="28"/>
          <w:highlight w:val="none"/>
        </w:rPr>
      </w:pPr>
      <w:r>
        <w:rPr>
          <w:rFonts w:hint="eastAsia" w:hAnsi="宋体" w:eastAsia="宋体"/>
          <w:color w:val="auto"/>
          <w:sz w:val="24"/>
          <w:szCs w:val="28"/>
          <w:highlight w:val="none"/>
        </w:rPr>
        <w:t>2.法定代表人参加谈判的无需提供授权书，仅提供身份证明扫描件。</w:t>
      </w:r>
    </w:p>
    <w:p w14:paraId="5CACD51A">
      <w:pPr>
        <w:pStyle w:val="6"/>
        <w:numPr>
          <w:ilvl w:val="0"/>
          <w:numId w:val="0"/>
        </w:numPr>
        <w:shd w:val="clear" w:color="auto" w:fill="FFFFFF"/>
        <w:tabs>
          <w:tab w:val="left" w:pos="2730"/>
        </w:tabs>
        <w:jc w:val="both"/>
        <w:rPr>
          <w:rFonts w:hint="eastAsia" w:asciiTheme="majorEastAsia" w:hAnsiTheme="majorEastAsia" w:eastAsiaTheme="majorEastAsia" w:cstheme="majorEastAsia"/>
          <w:color w:val="auto"/>
          <w:sz w:val="28"/>
          <w:szCs w:val="28"/>
          <w:highlight w:val="none"/>
          <w:lang w:val="en-US" w:eastAsia="zh-CN"/>
        </w:rPr>
      </w:pPr>
    </w:p>
    <w:p w14:paraId="479FB996">
      <w:pPr>
        <w:rPr>
          <w:rFonts w:hint="eastAsia" w:asciiTheme="majorEastAsia" w:hAnsiTheme="majorEastAsia" w:eastAsiaTheme="majorEastAsia" w:cstheme="majorEastAsia"/>
          <w:color w:val="auto"/>
          <w:sz w:val="28"/>
          <w:szCs w:val="28"/>
          <w:highlight w:val="none"/>
          <w:lang w:val="en-US" w:eastAsia="zh-CN"/>
        </w:rPr>
      </w:pPr>
    </w:p>
    <w:p w14:paraId="6B436E49">
      <w:pPr>
        <w:pStyle w:val="3"/>
        <w:rPr>
          <w:rFonts w:hint="eastAsia"/>
          <w:lang w:val="en-US" w:eastAsia="zh-CN"/>
        </w:rPr>
      </w:pPr>
    </w:p>
    <w:p w14:paraId="032A22B4">
      <w:pPr>
        <w:pStyle w:val="6"/>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六、谈判响应表</w:t>
      </w:r>
    </w:p>
    <w:bookmarkEnd w:id="79"/>
    <w:p w14:paraId="7E1F6F17">
      <w:pPr>
        <w:spacing w:beforeAutospacing="0" w:line="360" w:lineRule="auto"/>
        <w:ind w:firstLine="240" w:firstLineChars="100"/>
        <w:rPr>
          <w:rFonts w:ascii="宋体" w:hAnsi="宋体"/>
          <w:color w:val="auto"/>
          <w:sz w:val="24"/>
          <w:szCs w:val="24"/>
          <w:highlight w:val="none"/>
        </w:rPr>
      </w:pPr>
      <w:bookmarkStart w:id="87" w:name="_Toc15038"/>
      <w:bookmarkStart w:id="88" w:name="_Toc54941345"/>
      <w:bookmarkStart w:id="89" w:name="_Toc476584436"/>
      <w:r>
        <w:rPr>
          <w:rFonts w:hint="eastAsia" w:ascii="宋体" w:hAnsi="宋体"/>
          <w:color w:val="auto"/>
          <w:sz w:val="24"/>
          <w:szCs w:val="24"/>
          <w:highlight w:val="none"/>
          <w:lang w:val="en-US" w:eastAsia="zh-CN"/>
        </w:rPr>
        <w:t>6.1</w:t>
      </w:r>
      <w:r>
        <w:rPr>
          <w:rFonts w:hint="eastAsia" w:ascii="宋体" w:hAnsi="宋体"/>
          <w:color w:val="auto"/>
          <w:sz w:val="24"/>
          <w:szCs w:val="24"/>
          <w:highlight w:val="none"/>
        </w:rPr>
        <w:t>商务要求响应表：</w:t>
      </w:r>
    </w:p>
    <w:tbl>
      <w:tblPr>
        <w:tblStyle w:val="40"/>
        <w:tblW w:w="91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2494"/>
        <w:gridCol w:w="2215"/>
        <w:gridCol w:w="2347"/>
        <w:gridCol w:w="1235"/>
      </w:tblGrid>
      <w:tr w14:paraId="3949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54" w:type="dxa"/>
            <w:vAlign w:val="center"/>
          </w:tcPr>
          <w:p w14:paraId="74363F25">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bookmarkStart w:id="117" w:name="_GoBack"/>
            <w:bookmarkEnd w:id="117"/>
          </w:p>
        </w:tc>
        <w:tc>
          <w:tcPr>
            <w:tcW w:w="2494" w:type="dxa"/>
            <w:vAlign w:val="center"/>
          </w:tcPr>
          <w:p w14:paraId="29E0391C">
            <w:pPr>
              <w:pStyle w:val="2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B23ADF5">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214DA450">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6B73FEE">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DC0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54" w:type="dxa"/>
            <w:vAlign w:val="center"/>
          </w:tcPr>
          <w:p w14:paraId="31F63CA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2494" w:type="dxa"/>
            <w:vAlign w:val="center"/>
          </w:tcPr>
          <w:p w14:paraId="6485BBE1">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84ACF3F">
            <w:pPr>
              <w:jc w:val="center"/>
              <w:rPr>
                <w:rFonts w:asciiTheme="minorEastAsia" w:hAnsiTheme="minorEastAsia" w:eastAsiaTheme="minorEastAsia"/>
                <w:color w:val="auto"/>
                <w:sz w:val="24"/>
                <w:highlight w:val="none"/>
              </w:rPr>
            </w:pPr>
          </w:p>
        </w:tc>
        <w:tc>
          <w:tcPr>
            <w:tcW w:w="2347" w:type="dxa"/>
            <w:vAlign w:val="center"/>
          </w:tcPr>
          <w:p w14:paraId="76BFA689">
            <w:pPr>
              <w:jc w:val="center"/>
              <w:rPr>
                <w:rFonts w:asciiTheme="minorEastAsia" w:hAnsiTheme="minorEastAsia" w:eastAsiaTheme="minorEastAsia"/>
                <w:color w:val="auto"/>
                <w:sz w:val="24"/>
                <w:highlight w:val="none"/>
              </w:rPr>
            </w:pPr>
          </w:p>
        </w:tc>
        <w:tc>
          <w:tcPr>
            <w:tcW w:w="1235" w:type="dxa"/>
            <w:vAlign w:val="center"/>
          </w:tcPr>
          <w:p w14:paraId="5D94BD00">
            <w:pPr>
              <w:jc w:val="center"/>
              <w:rPr>
                <w:rFonts w:asciiTheme="minorEastAsia" w:hAnsiTheme="minorEastAsia" w:eastAsiaTheme="minorEastAsia"/>
                <w:color w:val="auto"/>
                <w:sz w:val="24"/>
                <w:highlight w:val="none"/>
              </w:rPr>
            </w:pPr>
          </w:p>
        </w:tc>
      </w:tr>
      <w:tr w14:paraId="378D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54" w:type="dxa"/>
            <w:vAlign w:val="center"/>
          </w:tcPr>
          <w:p w14:paraId="180A2FD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2494" w:type="dxa"/>
            <w:vAlign w:val="center"/>
          </w:tcPr>
          <w:p w14:paraId="717D47B4">
            <w:pPr>
              <w:jc w:val="center"/>
              <w:rPr>
                <w:rFonts w:ascii="宋体" w:hAnsi="宋体"/>
                <w:color w:val="auto"/>
                <w:sz w:val="24"/>
                <w:highlight w:val="none"/>
              </w:rPr>
            </w:pPr>
            <w:r>
              <w:rPr>
                <w:rFonts w:hint="eastAsia" w:ascii="宋体" w:hAnsi="宋体"/>
                <w:color w:val="auto"/>
                <w:sz w:val="24"/>
                <w:highlight w:val="none"/>
              </w:rPr>
              <w:t>供货及安装地点</w:t>
            </w:r>
          </w:p>
        </w:tc>
        <w:tc>
          <w:tcPr>
            <w:tcW w:w="2215" w:type="dxa"/>
            <w:vAlign w:val="center"/>
          </w:tcPr>
          <w:p w14:paraId="265BB816">
            <w:pPr>
              <w:jc w:val="center"/>
              <w:rPr>
                <w:rFonts w:asciiTheme="minorEastAsia" w:hAnsiTheme="minorEastAsia" w:eastAsiaTheme="minorEastAsia"/>
                <w:color w:val="auto"/>
                <w:sz w:val="24"/>
                <w:highlight w:val="none"/>
              </w:rPr>
            </w:pPr>
          </w:p>
        </w:tc>
        <w:tc>
          <w:tcPr>
            <w:tcW w:w="2347" w:type="dxa"/>
            <w:vAlign w:val="center"/>
          </w:tcPr>
          <w:p w14:paraId="150AD2EC">
            <w:pPr>
              <w:jc w:val="center"/>
              <w:rPr>
                <w:rFonts w:asciiTheme="minorEastAsia" w:hAnsiTheme="minorEastAsia" w:eastAsiaTheme="minorEastAsia"/>
                <w:color w:val="auto"/>
                <w:sz w:val="24"/>
                <w:highlight w:val="none"/>
              </w:rPr>
            </w:pPr>
          </w:p>
        </w:tc>
        <w:tc>
          <w:tcPr>
            <w:tcW w:w="1235" w:type="dxa"/>
            <w:vAlign w:val="center"/>
          </w:tcPr>
          <w:p w14:paraId="54A8D46F">
            <w:pPr>
              <w:jc w:val="center"/>
              <w:rPr>
                <w:rFonts w:asciiTheme="minorEastAsia" w:hAnsiTheme="minorEastAsia" w:eastAsiaTheme="minorEastAsia"/>
                <w:color w:val="auto"/>
                <w:sz w:val="24"/>
                <w:highlight w:val="none"/>
              </w:rPr>
            </w:pPr>
          </w:p>
        </w:tc>
      </w:tr>
      <w:tr w14:paraId="2B25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54" w:type="dxa"/>
            <w:vAlign w:val="center"/>
          </w:tcPr>
          <w:p w14:paraId="2D32E6E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2494" w:type="dxa"/>
            <w:vAlign w:val="center"/>
          </w:tcPr>
          <w:p w14:paraId="466F9136">
            <w:pPr>
              <w:jc w:val="center"/>
              <w:rPr>
                <w:rFonts w:ascii="宋体" w:hAnsi="宋体"/>
                <w:color w:val="auto"/>
                <w:sz w:val="24"/>
                <w:highlight w:val="none"/>
              </w:rPr>
            </w:pPr>
            <w:r>
              <w:rPr>
                <w:rFonts w:hint="eastAsia" w:ascii="宋体" w:hAnsi="宋体"/>
                <w:color w:val="auto"/>
                <w:sz w:val="24"/>
                <w:highlight w:val="none"/>
              </w:rPr>
              <w:t>供货及安装期限</w:t>
            </w:r>
          </w:p>
        </w:tc>
        <w:tc>
          <w:tcPr>
            <w:tcW w:w="2215" w:type="dxa"/>
            <w:vAlign w:val="center"/>
          </w:tcPr>
          <w:p w14:paraId="013CC97F">
            <w:pPr>
              <w:jc w:val="center"/>
              <w:rPr>
                <w:rFonts w:asciiTheme="minorEastAsia" w:hAnsiTheme="minorEastAsia" w:eastAsiaTheme="minorEastAsia"/>
                <w:color w:val="auto"/>
                <w:sz w:val="24"/>
                <w:highlight w:val="none"/>
              </w:rPr>
            </w:pPr>
          </w:p>
        </w:tc>
        <w:tc>
          <w:tcPr>
            <w:tcW w:w="2347" w:type="dxa"/>
            <w:vAlign w:val="center"/>
          </w:tcPr>
          <w:p w14:paraId="7165A197">
            <w:pPr>
              <w:pStyle w:val="134"/>
              <w:jc w:val="center"/>
              <w:rPr>
                <w:rFonts w:asciiTheme="minorEastAsia" w:hAnsiTheme="minorEastAsia" w:eastAsiaTheme="minorEastAsia"/>
                <w:color w:val="auto"/>
                <w:highlight w:val="none"/>
              </w:rPr>
            </w:pPr>
          </w:p>
        </w:tc>
        <w:tc>
          <w:tcPr>
            <w:tcW w:w="1235" w:type="dxa"/>
            <w:vAlign w:val="center"/>
          </w:tcPr>
          <w:p w14:paraId="1D060889">
            <w:pPr>
              <w:jc w:val="center"/>
              <w:rPr>
                <w:rFonts w:asciiTheme="minorEastAsia" w:hAnsiTheme="minorEastAsia" w:eastAsiaTheme="minorEastAsia"/>
                <w:color w:val="auto"/>
                <w:sz w:val="24"/>
                <w:highlight w:val="none"/>
              </w:rPr>
            </w:pPr>
          </w:p>
        </w:tc>
      </w:tr>
      <w:tr w14:paraId="764A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54" w:type="dxa"/>
            <w:vAlign w:val="center"/>
          </w:tcPr>
          <w:p w14:paraId="6447345B">
            <w:pPr>
              <w:jc w:val="center"/>
              <w:rPr>
                <w:rFonts w:asciiTheme="minorEastAsia" w:hAnsiTheme="minorEastAsia" w:eastAsiaTheme="minorEastAsia"/>
                <w:color w:val="auto"/>
                <w:sz w:val="24"/>
                <w:highlight w:val="none"/>
              </w:rPr>
            </w:pPr>
            <w:r>
              <w:rPr>
                <w:rFonts w:hint="default" w:asciiTheme="minorEastAsia" w:hAnsiTheme="minorEastAsia" w:eastAsiaTheme="minorEastAsia"/>
                <w:color w:val="auto"/>
                <w:sz w:val="24"/>
                <w:highlight w:val="none"/>
                <w:lang w:val="en-US"/>
              </w:rPr>
              <w:t>4</w:t>
            </w:r>
          </w:p>
        </w:tc>
        <w:tc>
          <w:tcPr>
            <w:tcW w:w="2494" w:type="dxa"/>
            <w:vAlign w:val="center"/>
          </w:tcPr>
          <w:p w14:paraId="386125B9">
            <w:pPr>
              <w:jc w:val="center"/>
              <w:rPr>
                <w:rFonts w:ascii="宋体" w:hAnsi="宋体"/>
                <w:color w:val="auto"/>
                <w:sz w:val="24"/>
                <w:highlight w:val="none"/>
              </w:rPr>
            </w:pPr>
            <w:r>
              <w:rPr>
                <w:rFonts w:hint="eastAsia" w:ascii="宋体" w:hAnsi="宋体" w:eastAsia="宋体"/>
                <w:b w:val="0"/>
                <w:color w:val="auto"/>
                <w:sz w:val="24"/>
                <w:highlight w:val="none"/>
              </w:rPr>
              <w:t>免费</w:t>
            </w:r>
            <w:r>
              <w:rPr>
                <w:rFonts w:hint="eastAsia" w:ascii="宋体" w:hAnsi="宋体"/>
                <w:b w:val="0"/>
                <w:color w:val="auto"/>
                <w:sz w:val="24"/>
                <w:highlight w:val="none"/>
                <w:lang w:val="en-US" w:eastAsia="zh-CN"/>
              </w:rPr>
              <w:t>维护升级服务期</w:t>
            </w:r>
          </w:p>
        </w:tc>
        <w:tc>
          <w:tcPr>
            <w:tcW w:w="2215" w:type="dxa"/>
            <w:vAlign w:val="center"/>
          </w:tcPr>
          <w:p w14:paraId="6BD9B566">
            <w:pPr>
              <w:jc w:val="center"/>
              <w:rPr>
                <w:rFonts w:asciiTheme="minorEastAsia" w:hAnsiTheme="minorEastAsia" w:eastAsiaTheme="minorEastAsia"/>
                <w:color w:val="auto"/>
                <w:sz w:val="24"/>
                <w:highlight w:val="none"/>
              </w:rPr>
            </w:pPr>
          </w:p>
        </w:tc>
        <w:tc>
          <w:tcPr>
            <w:tcW w:w="2347" w:type="dxa"/>
            <w:vAlign w:val="center"/>
          </w:tcPr>
          <w:p w14:paraId="082119E2">
            <w:pPr>
              <w:pStyle w:val="134"/>
              <w:jc w:val="center"/>
              <w:rPr>
                <w:rFonts w:asciiTheme="minorEastAsia" w:hAnsiTheme="minorEastAsia" w:eastAsiaTheme="minorEastAsia"/>
                <w:color w:val="auto"/>
                <w:sz w:val="24"/>
                <w:highlight w:val="none"/>
              </w:rPr>
            </w:pPr>
          </w:p>
        </w:tc>
        <w:tc>
          <w:tcPr>
            <w:tcW w:w="1235" w:type="dxa"/>
            <w:vAlign w:val="center"/>
          </w:tcPr>
          <w:p w14:paraId="1D5AA989">
            <w:pPr>
              <w:jc w:val="center"/>
              <w:rPr>
                <w:rFonts w:asciiTheme="minorEastAsia" w:hAnsiTheme="minorEastAsia" w:eastAsiaTheme="minorEastAsia"/>
                <w:color w:val="auto"/>
                <w:sz w:val="24"/>
                <w:highlight w:val="none"/>
              </w:rPr>
            </w:pPr>
          </w:p>
        </w:tc>
      </w:tr>
    </w:tbl>
    <w:p w14:paraId="10AC87D9">
      <w:pPr>
        <w:spacing w:line="360" w:lineRule="auto"/>
        <w:ind w:firstLine="240" w:firstLineChars="100"/>
        <w:rPr>
          <w:rFonts w:hint="eastAsia" w:ascii="宋体" w:hAnsi="宋体"/>
          <w:color w:val="auto"/>
          <w:sz w:val="24"/>
          <w:szCs w:val="24"/>
          <w:highlight w:val="none"/>
          <w:lang w:val="en-US" w:eastAsia="zh-CN"/>
        </w:rPr>
      </w:pPr>
    </w:p>
    <w:p w14:paraId="0BB850B3">
      <w:pPr>
        <w:spacing w:line="360" w:lineRule="auto"/>
        <w:ind w:firstLine="240" w:firstLineChars="100"/>
        <w:rPr>
          <w:rFonts w:hint="eastAsia" w:ascii="宋体" w:hAnsi="宋体"/>
          <w:color w:val="auto"/>
          <w:sz w:val="24"/>
          <w:szCs w:val="24"/>
          <w:highlight w:val="none"/>
          <w:lang w:val="en-US" w:eastAsia="zh-CN"/>
        </w:rPr>
      </w:pPr>
    </w:p>
    <w:p w14:paraId="0C697D04">
      <w:pPr>
        <w:spacing w:line="360" w:lineRule="auto"/>
        <w:ind w:firstLine="240" w:firstLineChars="100"/>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6.2技术要求响应表：</w:t>
      </w:r>
    </w:p>
    <w:tbl>
      <w:tblPr>
        <w:tblStyle w:val="4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1617"/>
        <w:gridCol w:w="2968"/>
        <w:gridCol w:w="2572"/>
        <w:gridCol w:w="887"/>
      </w:tblGrid>
      <w:tr w14:paraId="0543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0909315F">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915" w:type="pct"/>
            <w:vAlign w:val="center"/>
          </w:tcPr>
          <w:p w14:paraId="1B90F53D">
            <w:pPr>
              <w:pStyle w:val="2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1680" w:type="pct"/>
            <w:vAlign w:val="center"/>
          </w:tcPr>
          <w:p w14:paraId="4A2ACFAA">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谈判文件规定的技术参数要求</w:t>
            </w:r>
          </w:p>
        </w:tc>
        <w:tc>
          <w:tcPr>
            <w:tcW w:w="1456" w:type="pct"/>
            <w:vAlign w:val="center"/>
          </w:tcPr>
          <w:p w14:paraId="1C358722">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502" w:type="pct"/>
            <w:vAlign w:val="center"/>
          </w:tcPr>
          <w:p w14:paraId="6F05FF1D">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289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7F961A6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915" w:type="pct"/>
            <w:vAlign w:val="center"/>
          </w:tcPr>
          <w:p w14:paraId="5FD00424">
            <w:pPr>
              <w:jc w:val="center"/>
              <w:rPr>
                <w:rFonts w:asciiTheme="minorEastAsia" w:hAnsiTheme="minorEastAsia" w:eastAsiaTheme="minorEastAsia"/>
                <w:color w:val="auto"/>
                <w:sz w:val="24"/>
                <w:highlight w:val="none"/>
              </w:rPr>
            </w:pPr>
          </w:p>
        </w:tc>
        <w:tc>
          <w:tcPr>
            <w:tcW w:w="1680" w:type="pct"/>
            <w:vAlign w:val="center"/>
          </w:tcPr>
          <w:p w14:paraId="204CC9F3">
            <w:pPr>
              <w:jc w:val="center"/>
              <w:rPr>
                <w:rFonts w:asciiTheme="minorEastAsia" w:hAnsiTheme="minorEastAsia" w:eastAsiaTheme="minorEastAsia"/>
                <w:color w:val="auto"/>
                <w:sz w:val="24"/>
                <w:highlight w:val="none"/>
              </w:rPr>
            </w:pPr>
          </w:p>
        </w:tc>
        <w:tc>
          <w:tcPr>
            <w:tcW w:w="1456" w:type="pct"/>
            <w:vAlign w:val="center"/>
          </w:tcPr>
          <w:p w14:paraId="65B22140">
            <w:pPr>
              <w:jc w:val="center"/>
              <w:rPr>
                <w:rFonts w:asciiTheme="minorEastAsia" w:hAnsiTheme="minorEastAsia" w:eastAsiaTheme="minorEastAsia"/>
                <w:color w:val="auto"/>
                <w:sz w:val="24"/>
                <w:highlight w:val="none"/>
              </w:rPr>
            </w:pPr>
          </w:p>
        </w:tc>
        <w:tc>
          <w:tcPr>
            <w:tcW w:w="502" w:type="pct"/>
            <w:vAlign w:val="center"/>
          </w:tcPr>
          <w:p w14:paraId="33BE3A42">
            <w:pPr>
              <w:jc w:val="center"/>
              <w:rPr>
                <w:rFonts w:asciiTheme="minorEastAsia" w:hAnsiTheme="minorEastAsia" w:eastAsiaTheme="minorEastAsia"/>
                <w:color w:val="auto"/>
                <w:sz w:val="24"/>
                <w:highlight w:val="none"/>
              </w:rPr>
            </w:pPr>
          </w:p>
        </w:tc>
      </w:tr>
      <w:tr w14:paraId="6EE1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5883500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915" w:type="pct"/>
            <w:vAlign w:val="center"/>
          </w:tcPr>
          <w:p w14:paraId="51F7F34F">
            <w:pPr>
              <w:jc w:val="center"/>
              <w:rPr>
                <w:rFonts w:asciiTheme="minorEastAsia" w:hAnsiTheme="minorEastAsia" w:eastAsiaTheme="minorEastAsia"/>
                <w:color w:val="auto"/>
                <w:sz w:val="24"/>
                <w:highlight w:val="none"/>
              </w:rPr>
            </w:pPr>
          </w:p>
        </w:tc>
        <w:tc>
          <w:tcPr>
            <w:tcW w:w="1680" w:type="pct"/>
            <w:vAlign w:val="center"/>
          </w:tcPr>
          <w:p w14:paraId="75D37818">
            <w:pPr>
              <w:jc w:val="center"/>
              <w:rPr>
                <w:rFonts w:asciiTheme="minorEastAsia" w:hAnsiTheme="minorEastAsia" w:eastAsiaTheme="minorEastAsia"/>
                <w:color w:val="auto"/>
                <w:sz w:val="24"/>
                <w:highlight w:val="none"/>
              </w:rPr>
            </w:pPr>
          </w:p>
        </w:tc>
        <w:tc>
          <w:tcPr>
            <w:tcW w:w="1456" w:type="pct"/>
            <w:vAlign w:val="center"/>
          </w:tcPr>
          <w:p w14:paraId="182DA822">
            <w:pPr>
              <w:jc w:val="center"/>
              <w:rPr>
                <w:rFonts w:asciiTheme="minorEastAsia" w:hAnsiTheme="minorEastAsia" w:eastAsiaTheme="minorEastAsia"/>
                <w:color w:val="auto"/>
                <w:sz w:val="24"/>
                <w:highlight w:val="none"/>
              </w:rPr>
            </w:pPr>
          </w:p>
        </w:tc>
        <w:tc>
          <w:tcPr>
            <w:tcW w:w="502" w:type="pct"/>
            <w:vAlign w:val="center"/>
          </w:tcPr>
          <w:p w14:paraId="30226CCD">
            <w:pPr>
              <w:jc w:val="center"/>
              <w:rPr>
                <w:rFonts w:asciiTheme="minorEastAsia" w:hAnsiTheme="minorEastAsia" w:eastAsiaTheme="minorEastAsia"/>
                <w:color w:val="auto"/>
                <w:sz w:val="24"/>
                <w:highlight w:val="none"/>
              </w:rPr>
            </w:pPr>
          </w:p>
        </w:tc>
      </w:tr>
      <w:tr w14:paraId="1D89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E8E1A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915" w:type="pct"/>
            <w:vAlign w:val="center"/>
          </w:tcPr>
          <w:p w14:paraId="3B9D5C81">
            <w:pPr>
              <w:jc w:val="center"/>
              <w:rPr>
                <w:rFonts w:asciiTheme="minorEastAsia" w:hAnsiTheme="minorEastAsia" w:eastAsiaTheme="minorEastAsia"/>
                <w:color w:val="auto"/>
                <w:sz w:val="24"/>
                <w:highlight w:val="none"/>
              </w:rPr>
            </w:pPr>
          </w:p>
        </w:tc>
        <w:tc>
          <w:tcPr>
            <w:tcW w:w="1680" w:type="pct"/>
            <w:vAlign w:val="center"/>
          </w:tcPr>
          <w:p w14:paraId="23ACC471">
            <w:pPr>
              <w:jc w:val="center"/>
              <w:rPr>
                <w:rFonts w:asciiTheme="minorEastAsia" w:hAnsiTheme="minorEastAsia" w:eastAsiaTheme="minorEastAsia"/>
                <w:color w:val="auto"/>
                <w:sz w:val="24"/>
                <w:highlight w:val="none"/>
              </w:rPr>
            </w:pPr>
          </w:p>
        </w:tc>
        <w:tc>
          <w:tcPr>
            <w:tcW w:w="1456" w:type="pct"/>
            <w:vAlign w:val="center"/>
          </w:tcPr>
          <w:p w14:paraId="3AD370F2">
            <w:pPr>
              <w:pStyle w:val="134"/>
              <w:jc w:val="center"/>
              <w:rPr>
                <w:rFonts w:asciiTheme="minorEastAsia" w:hAnsiTheme="minorEastAsia" w:eastAsiaTheme="minorEastAsia"/>
                <w:color w:val="auto"/>
                <w:highlight w:val="none"/>
              </w:rPr>
            </w:pPr>
          </w:p>
        </w:tc>
        <w:tc>
          <w:tcPr>
            <w:tcW w:w="502" w:type="pct"/>
            <w:vAlign w:val="center"/>
          </w:tcPr>
          <w:p w14:paraId="133B7808">
            <w:pPr>
              <w:jc w:val="center"/>
              <w:rPr>
                <w:rFonts w:asciiTheme="minorEastAsia" w:hAnsiTheme="minorEastAsia" w:eastAsiaTheme="minorEastAsia"/>
                <w:color w:val="auto"/>
                <w:sz w:val="24"/>
                <w:highlight w:val="none"/>
              </w:rPr>
            </w:pPr>
          </w:p>
        </w:tc>
      </w:tr>
      <w:tr w14:paraId="318D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02B0937">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915" w:type="pct"/>
            <w:vAlign w:val="center"/>
          </w:tcPr>
          <w:p w14:paraId="5A40E795">
            <w:pPr>
              <w:jc w:val="center"/>
              <w:rPr>
                <w:rFonts w:asciiTheme="minorEastAsia" w:hAnsiTheme="minorEastAsia" w:eastAsiaTheme="minorEastAsia"/>
                <w:color w:val="auto"/>
                <w:sz w:val="24"/>
                <w:highlight w:val="none"/>
              </w:rPr>
            </w:pPr>
          </w:p>
        </w:tc>
        <w:tc>
          <w:tcPr>
            <w:tcW w:w="1680" w:type="pct"/>
            <w:vAlign w:val="center"/>
          </w:tcPr>
          <w:p w14:paraId="4BE5CC14">
            <w:pPr>
              <w:jc w:val="center"/>
              <w:rPr>
                <w:rFonts w:asciiTheme="minorEastAsia" w:hAnsiTheme="minorEastAsia" w:eastAsiaTheme="minorEastAsia"/>
                <w:color w:val="auto"/>
                <w:sz w:val="24"/>
                <w:highlight w:val="none"/>
              </w:rPr>
            </w:pPr>
          </w:p>
        </w:tc>
        <w:tc>
          <w:tcPr>
            <w:tcW w:w="1456" w:type="pct"/>
            <w:vAlign w:val="center"/>
          </w:tcPr>
          <w:p w14:paraId="5DC6F3AD">
            <w:pPr>
              <w:pStyle w:val="134"/>
              <w:jc w:val="center"/>
              <w:rPr>
                <w:rFonts w:asciiTheme="minorEastAsia" w:hAnsiTheme="minorEastAsia" w:eastAsiaTheme="minorEastAsia"/>
                <w:color w:val="auto"/>
                <w:highlight w:val="none"/>
              </w:rPr>
            </w:pPr>
          </w:p>
        </w:tc>
        <w:tc>
          <w:tcPr>
            <w:tcW w:w="502" w:type="pct"/>
            <w:vAlign w:val="center"/>
          </w:tcPr>
          <w:p w14:paraId="31766E88">
            <w:pPr>
              <w:jc w:val="center"/>
              <w:rPr>
                <w:rFonts w:asciiTheme="minorEastAsia" w:hAnsiTheme="minorEastAsia" w:eastAsiaTheme="minorEastAsia"/>
                <w:color w:val="auto"/>
                <w:sz w:val="24"/>
                <w:highlight w:val="none"/>
              </w:rPr>
            </w:pPr>
          </w:p>
        </w:tc>
      </w:tr>
      <w:tr w14:paraId="2F11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1E51DE7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915" w:type="pct"/>
            <w:vAlign w:val="center"/>
          </w:tcPr>
          <w:p w14:paraId="5BF40265">
            <w:pPr>
              <w:jc w:val="center"/>
              <w:rPr>
                <w:rFonts w:asciiTheme="minorEastAsia" w:hAnsiTheme="minorEastAsia" w:eastAsiaTheme="minorEastAsia"/>
                <w:color w:val="auto"/>
                <w:sz w:val="24"/>
                <w:highlight w:val="none"/>
              </w:rPr>
            </w:pPr>
          </w:p>
        </w:tc>
        <w:tc>
          <w:tcPr>
            <w:tcW w:w="1680" w:type="pct"/>
            <w:vAlign w:val="center"/>
          </w:tcPr>
          <w:p w14:paraId="05A94FF2">
            <w:pPr>
              <w:jc w:val="center"/>
              <w:rPr>
                <w:rFonts w:asciiTheme="minorEastAsia" w:hAnsiTheme="minorEastAsia" w:eastAsiaTheme="minorEastAsia"/>
                <w:color w:val="auto"/>
                <w:sz w:val="24"/>
                <w:highlight w:val="none"/>
              </w:rPr>
            </w:pPr>
          </w:p>
        </w:tc>
        <w:tc>
          <w:tcPr>
            <w:tcW w:w="1456" w:type="pct"/>
            <w:vAlign w:val="center"/>
          </w:tcPr>
          <w:p w14:paraId="6CE5989E">
            <w:pPr>
              <w:jc w:val="center"/>
              <w:rPr>
                <w:rFonts w:asciiTheme="minorEastAsia" w:hAnsiTheme="minorEastAsia" w:eastAsiaTheme="minorEastAsia"/>
                <w:color w:val="auto"/>
                <w:sz w:val="24"/>
                <w:highlight w:val="none"/>
              </w:rPr>
            </w:pPr>
          </w:p>
        </w:tc>
        <w:tc>
          <w:tcPr>
            <w:tcW w:w="502" w:type="pct"/>
            <w:vAlign w:val="center"/>
          </w:tcPr>
          <w:p w14:paraId="292D550E">
            <w:pPr>
              <w:jc w:val="center"/>
              <w:rPr>
                <w:rFonts w:asciiTheme="minorEastAsia" w:hAnsiTheme="minorEastAsia" w:eastAsiaTheme="minorEastAsia"/>
                <w:color w:val="auto"/>
                <w:sz w:val="24"/>
                <w:highlight w:val="none"/>
              </w:rPr>
            </w:pPr>
          </w:p>
        </w:tc>
      </w:tr>
    </w:tbl>
    <w:p w14:paraId="299C92FF">
      <w:pPr>
        <w:tabs>
          <w:tab w:val="left" w:pos="1815"/>
        </w:tabs>
        <w:spacing w:line="360" w:lineRule="auto"/>
        <w:rPr>
          <w:rFonts w:ascii="宋体" w:hAnsi="宋体" w:cs="Arial"/>
          <w:b/>
          <w:color w:val="auto"/>
          <w:szCs w:val="21"/>
          <w:highlight w:val="none"/>
        </w:rPr>
      </w:pPr>
    </w:p>
    <w:p w14:paraId="2CC41C37">
      <w:pPr>
        <w:tabs>
          <w:tab w:val="left" w:pos="1815"/>
        </w:tabs>
        <w:spacing w:line="360" w:lineRule="auto"/>
        <w:rPr>
          <w:rFonts w:ascii="宋体" w:hAnsi="宋体" w:cs="Arial"/>
          <w:b/>
          <w:color w:val="auto"/>
          <w:szCs w:val="21"/>
          <w:highlight w:val="none"/>
        </w:rPr>
      </w:pPr>
      <w:r>
        <w:rPr>
          <w:rFonts w:ascii="宋体" w:hAnsi="宋体" w:cs="Arial"/>
          <w:b/>
          <w:color w:val="auto"/>
          <w:szCs w:val="21"/>
          <w:highlight w:val="none"/>
        </w:rPr>
        <w:t>注：</w:t>
      </w:r>
    </w:p>
    <w:p w14:paraId="0FF5BDF8">
      <w:pPr>
        <w:tabs>
          <w:tab w:val="left" w:pos="1815"/>
        </w:tabs>
        <w:spacing w:line="360" w:lineRule="auto"/>
        <w:rPr>
          <w:rFonts w:ascii="宋体" w:hAnsi="宋体" w:cs="Arial"/>
          <w:color w:val="auto"/>
          <w:szCs w:val="21"/>
          <w:highlight w:val="none"/>
        </w:rPr>
      </w:pPr>
      <w:r>
        <w:rPr>
          <w:rFonts w:ascii="宋体" w:hAnsi="宋体" w:cs="Arial"/>
          <w:color w:val="auto"/>
          <w:szCs w:val="21"/>
          <w:highlight w:val="none"/>
        </w:rPr>
        <w:t>1</w:t>
      </w:r>
      <w:r>
        <w:rPr>
          <w:rFonts w:hint="eastAsia" w:ascii="宋体" w:hAnsi="宋体" w:cs="Arial"/>
          <w:color w:val="auto"/>
          <w:szCs w:val="21"/>
          <w:highlight w:val="none"/>
          <w:lang w:val="en-US" w:eastAsia="zh-CN"/>
        </w:rPr>
        <w:t>.</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1E01B11C">
      <w:pPr>
        <w:numPr>
          <w:ilvl w:val="0"/>
          <w:numId w:val="0"/>
        </w:numPr>
        <w:tabs>
          <w:tab w:val="left" w:pos="1815"/>
        </w:tabs>
        <w:spacing w:afterAutospacing="0" w:line="360" w:lineRule="auto"/>
        <w:rPr>
          <w:rFonts w:ascii="宋体" w:hAnsi="宋体" w:cs="Arial"/>
          <w:color w:val="auto"/>
          <w:szCs w:val="21"/>
          <w:highlight w:val="none"/>
        </w:rPr>
      </w:pPr>
      <w:r>
        <w:rPr>
          <w:rFonts w:hint="eastAsia" w:ascii="宋体" w:hAnsi="宋体" w:cs="Arial"/>
          <w:color w:val="auto"/>
          <w:sz w:val="21"/>
          <w:szCs w:val="21"/>
          <w:lang w:val="en-US" w:eastAsia="zh-CN" w:bidi="ar-SA"/>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65367641">
      <w:pPr>
        <w:pStyle w:val="6"/>
        <w:tabs>
          <w:tab w:val="left" w:pos="2730"/>
        </w:tabs>
        <w:spacing w:before="0" w:beforeAutospacing="0"/>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3.响应人应按照谈判文件要求提供证明材料。若响应人提供了谈判文件未要求的证明材料，谈判小组将不予评审。</w:t>
      </w:r>
    </w:p>
    <w:p w14:paraId="394EEEB0">
      <w:pPr>
        <w:spacing w:line="360" w:lineRule="auto"/>
        <w:ind w:firstLine="3561" w:firstLineChars="1696"/>
        <w:rPr>
          <w:rFonts w:ascii="宋体" w:hAnsi="宋体"/>
          <w:color w:val="auto"/>
          <w:szCs w:val="21"/>
          <w:highlight w:val="none"/>
        </w:rPr>
      </w:pPr>
    </w:p>
    <w:p w14:paraId="626AFEA4">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bookmarkEnd w:id="87"/>
    <w:bookmarkEnd w:id="88"/>
    <w:bookmarkEnd w:id="89"/>
    <w:p w14:paraId="545CF7A0">
      <w:pPr>
        <w:spacing w:line="360" w:lineRule="auto"/>
        <w:ind w:firstLine="4800" w:firstLineChars="2000"/>
        <w:jc w:val="both"/>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13E0982">
      <w:pPr>
        <w:spacing w:line="360" w:lineRule="auto"/>
        <w:ind w:firstLine="4800" w:firstLineChars="2000"/>
        <w:jc w:val="both"/>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E36EDC6">
      <w:pPr>
        <w:pStyle w:val="3"/>
        <w:rPr>
          <w:rFonts w:hint="eastAsia"/>
          <w:lang w:val="en-US" w:eastAsia="zh-CN"/>
        </w:rPr>
      </w:pPr>
    </w:p>
    <w:p w14:paraId="37380186">
      <w:pPr>
        <w:pStyle w:val="6"/>
        <w:numPr>
          <w:ilvl w:val="0"/>
          <w:numId w:val="0"/>
        </w:numPr>
        <w:shd w:val="clear" w:color="auto" w:fill="FFFFFF"/>
        <w:tabs>
          <w:tab w:val="left" w:pos="2730"/>
        </w:tabs>
        <w:spacing w:before="0" w:beforeAutospacing="0"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七、供货及技术方案</w:t>
      </w:r>
    </w:p>
    <w:p w14:paraId="01B3AE3C">
      <w:pPr>
        <w:spacing w:beforeAutospacing="0" w:line="360" w:lineRule="auto"/>
        <w:ind w:firstLine="435"/>
        <w:jc w:val="center"/>
        <w:rPr>
          <w:color w:val="auto"/>
          <w:sz w:val="24"/>
          <w:szCs w:val="22"/>
          <w:highlight w:val="none"/>
        </w:rPr>
      </w:pPr>
      <w:r>
        <w:rPr>
          <w:rFonts w:hint="eastAsia"/>
          <w:color w:val="auto"/>
          <w:sz w:val="24"/>
          <w:szCs w:val="22"/>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514299F6">
      <w:pPr>
        <w:pStyle w:val="6"/>
        <w:numPr>
          <w:ilvl w:val="0"/>
          <w:numId w:val="0"/>
        </w:numPr>
        <w:shd w:val="clear" w:color="auto" w:fill="FFFFFF"/>
        <w:tabs>
          <w:tab w:val="left" w:pos="2730"/>
        </w:tabs>
        <w:spacing w:after="0" w:afterAutospacing="0"/>
        <w:jc w:val="center"/>
        <w:rPr>
          <w:rFonts w:asciiTheme="minorEastAsia" w:hAnsiTheme="minorEastAsia" w:eastAsiaTheme="minorEastAsia"/>
          <w:b/>
          <w:bCs/>
          <w:color w:val="auto"/>
          <w:sz w:val="24"/>
          <w:highlight w:val="none"/>
        </w:rPr>
      </w:pPr>
      <w:r>
        <w:rPr>
          <w:rFonts w:hint="eastAsia" w:asciiTheme="majorEastAsia" w:hAnsiTheme="majorEastAsia" w:eastAsiaTheme="majorEastAsia" w:cstheme="majorEastAsia"/>
          <w:color w:val="auto"/>
          <w:sz w:val="28"/>
          <w:szCs w:val="28"/>
          <w:highlight w:val="none"/>
          <w:lang w:val="en-US" w:eastAsia="zh-CN"/>
        </w:rPr>
        <w:t>八、诚信履约承诺函</w:t>
      </w:r>
    </w:p>
    <w:p w14:paraId="514FE3D6">
      <w:pPr>
        <w:spacing w:beforeAutospacing="0"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single"/>
          <w:lang w:eastAsia="zh-CN"/>
        </w:rPr>
        <w:t>采购人</w:t>
      </w:r>
    </w:p>
    <w:p w14:paraId="79B8C35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7117FE65">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CE697F3">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4BBF9860">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5A21CD1E">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52BF17EA">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4BA5C395">
      <w:pPr>
        <w:pStyle w:val="6"/>
        <w:keepNext/>
        <w:keepLines/>
        <w:pageBreakBefore w:val="0"/>
        <w:widowControl w:val="0"/>
        <w:tabs>
          <w:tab w:val="left" w:pos="2730"/>
        </w:tabs>
        <w:kinsoku/>
        <w:wordWrap/>
        <w:overflowPunct/>
        <w:topLinePunct w:val="0"/>
        <w:autoSpaceDE/>
        <w:autoSpaceDN/>
        <w:bidi w:val="0"/>
        <w:adjustRightInd w:val="0"/>
        <w:snapToGrid/>
        <w:spacing w:line="56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D0E9EB9">
      <w:pPr>
        <w:spacing w:line="360" w:lineRule="auto"/>
        <w:ind w:firstLine="4800" w:firstLineChars="20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1E90B1C4">
      <w:pPr>
        <w:spacing w:line="360" w:lineRule="auto"/>
        <w:ind w:firstLine="4800" w:firstLineChars="20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p>
    <w:p w14:paraId="61C253E6">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5C1B8C5E">
      <w:pPr>
        <w:spacing w:line="360" w:lineRule="auto"/>
        <w:ind w:firstLine="4200" w:firstLineChars="1500"/>
        <w:rPr>
          <w:rFonts w:hint="eastAsia" w:ascii="宋体" w:hAnsi="宋体" w:eastAsia="宋体" w:cs="宋体"/>
          <w:b/>
          <w:color w:val="auto"/>
          <w:kern w:val="2"/>
          <w:sz w:val="28"/>
          <w:szCs w:val="28"/>
          <w:highlight w:val="none"/>
          <w:shd w:val="clear" w:color="auto" w:fill="FFFFFF"/>
          <w:lang w:val="en-US" w:eastAsia="zh-CN" w:bidi="ar-SA"/>
        </w:rPr>
      </w:pPr>
      <w:bookmarkStart w:id="90" w:name="_Toc7076"/>
      <w:r>
        <w:rPr>
          <w:rFonts w:hint="eastAsia" w:hAnsi="宋体"/>
          <w:color w:val="auto"/>
          <w:sz w:val="28"/>
          <w:szCs w:val="28"/>
          <w:highlight w:val="none"/>
          <w:lang w:val="en-US" w:eastAsia="zh-CN"/>
        </w:rPr>
        <w:br w:type="page"/>
      </w:r>
      <w:bookmarkEnd w:id="90"/>
      <w:bookmarkStart w:id="91" w:name="_Toc26186"/>
      <w:bookmarkStart w:id="92" w:name="_Toc22272"/>
    </w:p>
    <w:p w14:paraId="35B1ECF8">
      <w:pPr>
        <w:pStyle w:val="6"/>
        <w:numPr>
          <w:ilvl w:val="0"/>
          <w:numId w:val="0"/>
        </w:numPr>
        <w:shd w:val="clear" w:color="auto" w:fill="FFFFFF"/>
        <w:tabs>
          <w:tab w:val="left" w:pos="2730"/>
        </w:tabs>
        <w:spacing w:after="0" w:afterAutospacing="0"/>
        <w:jc w:val="center"/>
        <w:rPr>
          <w:rFonts w:hint="eastAsia"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lang w:val="en-US" w:eastAsia="zh-CN"/>
        </w:rPr>
        <w:t>九、其他相关证明</w:t>
      </w:r>
      <w:bookmarkEnd w:id="91"/>
      <w:bookmarkEnd w:id="92"/>
      <w:r>
        <w:rPr>
          <w:rFonts w:hint="eastAsia" w:asciiTheme="majorEastAsia" w:hAnsiTheme="majorEastAsia" w:eastAsiaTheme="majorEastAsia" w:cstheme="majorEastAsia"/>
          <w:color w:val="auto"/>
          <w:sz w:val="28"/>
          <w:szCs w:val="28"/>
          <w:highlight w:val="none"/>
          <w:lang w:val="en-US" w:eastAsia="zh-CN"/>
        </w:rPr>
        <w:t>资料</w:t>
      </w:r>
    </w:p>
    <w:p w14:paraId="2B6A1546">
      <w:pPr>
        <w:tabs>
          <w:tab w:val="left" w:pos="4620"/>
        </w:tabs>
        <w:spacing w:beforeAutospacing="0" w:line="360" w:lineRule="auto"/>
        <w:jc w:val="center"/>
        <w:rPr>
          <w:rFonts w:hint="eastAsia" w:ascii="宋体" w:hAnsi="宋体" w:eastAsia="宋体"/>
          <w:color w:val="auto"/>
          <w:sz w:val="24"/>
          <w:highlight w:val="none"/>
        </w:rPr>
      </w:pPr>
      <w:r>
        <w:rPr>
          <w:rFonts w:hint="eastAsia" w:ascii="宋体" w:hAnsi="宋体" w:eastAsia="宋体"/>
          <w:color w:val="auto"/>
          <w:sz w:val="24"/>
          <w:highlight w:val="none"/>
        </w:rPr>
        <w:t>提供符合谈判邀请、采购需求及评审方法和标准规定的相关证明文件。</w:t>
      </w:r>
    </w:p>
    <w:p w14:paraId="7EFCFA49">
      <w:pPr>
        <w:tabs>
          <w:tab w:val="left" w:pos="4620"/>
        </w:tabs>
        <w:spacing w:beforeAutospacing="0" w:line="360" w:lineRule="auto"/>
        <w:jc w:val="center"/>
        <w:rPr>
          <w:rFonts w:hint="eastAsia" w:ascii="宋体" w:hAnsi="宋体" w:eastAsia="宋体"/>
          <w:color w:val="auto"/>
          <w:sz w:val="24"/>
          <w:highlight w:val="none"/>
        </w:rPr>
      </w:pPr>
    </w:p>
    <w:p w14:paraId="2EF1AB32">
      <w:pPr>
        <w:tabs>
          <w:tab w:val="left" w:pos="4620"/>
        </w:tabs>
        <w:spacing w:beforeAutospacing="0" w:line="360" w:lineRule="auto"/>
        <w:ind w:firstLine="482" w:firstLineChars="200"/>
        <w:jc w:val="both"/>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30577D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供应商在响应文件制作时可在此栏内上传谈判文件要求的证明资料，如营业执照、证书</w:t>
      </w:r>
      <w:r>
        <w:rPr>
          <w:rFonts w:asciiTheme="minorEastAsia" w:hAnsiTheme="minorEastAsia" w:eastAsiaTheme="minorEastAsia"/>
          <w:color w:val="auto"/>
          <w:sz w:val="24"/>
          <w:highlight w:val="none"/>
        </w:rPr>
        <w:t>等。</w:t>
      </w:r>
      <w:bookmarkStart w:id="93" w:name="_Toc2700"/>
      <w:bookmarkStart w:id="94" w:name="_Toc32741"/>
      <w:bookmarkStart w:id="95" w:name="_Toc12703"/>
      <w:bookmarkStart w:id="96" w:name="_Toc8573"/>
    </w:p>
    <w:p w14:paraId="072A3098">
      <w:pPr>
        <w:pStyle w:val="56"/>
        <w:rPr>
          <w:rFonts w:asciiTheme="minorEastAsia" w:hAnsiTheme="minorEastAsia" w:eastAsiaTheme="minorEastAsia"/>
          <w:color w:val="auto"/>
          <w:sz w:val="24"/>
          <w:highlight w:val="none"/>
        </w:rPr>
      </w:pPr>
    </w:p>
    <w:p w14:paraId="225D349B">
      <w:pPr>
        <w:pStyle w:val="56"/>
        <w:rPr>
          <w:rFonts w:asciiTheme="minorEastAsia" w:hAnsiTheme="minorEastAsia" w:eastAsiaTheme="minorEastAsia"/>
          <w:color w:val="auto"/>
          <w:sz w:val="24"/>
          <w:highlight w:val="none"/>
        </w:rPr>
      </w:pPr>
    </w:p>
    <w:p w14:paraId="44EB2A1C">
      <w:pPr>
        <w:pStyle w:val="56"/>
        <w:rPr>
          <w:rFonts w:asciiTheme="minorEastAsia" w:hAnsiTheme="minorEastAsia" w:eastAsiaTheme="minorEastAsia"/>
          <w:color w:val="auto"/>
          <w:sz w:val="24"/>
          <w:highlight w:val="none"/>
        </w:rPr>
      </w:pPr>
    </w:p>
    <w:p w14:paraId="1A169C2C">
      <w:pPr>
        <w:pStyle w:val="56"/>
        <w:rPr>
          <w:rFonts w:asciiTheme="minorEastAsia" w:hAnsiTheme="minorEastAsia" w:eastAsiaTheme="minorEastAsia"/>
          <w:color w:val="auto"/>
          <w:sz w:val="24"/>
          <w:highlight w:val="none"/>
        </w:rPr>
      </w:pPr>
    </w:p>
    <w:p w14:paraId="189B1BD8">
      <w:pPr>
        <w:pStyle w:val="56"/>
        <w:rPr>
          <w:rFonts w:asciiTheme="minorEastAsia" w:hAnsiTheme="minorEastAsia" w:eastAsiaTheme="minorEastAsia"/>
          <w:color w:val="auto"/>
          <w:sz w:val="24"/>
          <w:highlight w:val="none"/>
        </w:rPr>
      </w:pPr>
    </w:p>
    <w:p w14:paraId="7921BF83">
      <w:pPr>
        <w:pStyle w:val="56"/>
        <w:rPr>
          <w:rFonts w:asciiTheme="minorEastAsia" w:hAnsiTheme="minorEastAsia" w:eastAsiaTheme="minorEastAsia"/>
          <w:color w:val="auto"/>
          <w:sz w:val="24"/>
          <w:highlight w:val="none"/>
        </w:rPr>
      </w:pPr>
    </w:p>
    <w:p w14:paraId="117FE88B">
      <w:pPr>
        <w:pStyle w:val="56"/>
        <w:rPr>
          <w:rFonts w:asciiTheme="minorEastAsia" w:hAnsiTheme="minorEastAsia" w:eastAsiaTheme="minorEastAsia"/>
          <w:color w:val="auto"/>
          <w:sz w:val="24"/>
          <w:highlight w:val="none"/>
        </w:rPr>
      </w:pPr>
    </w:p>
    <w:p w14:paraId="1A431FD9">
      <w:pPr>
        <w:pStyle w:val="56"/>
        <w:rPr>
          <w:rFonts w:asciiTheme="minorEastAsia" w:hAnsiTheme="minorEastAsia" w:eastAsiaTheme="minorEastAsia"/>
          <w:color w:val="auto"/>
          <w:sz w:val="24"/>
          <w:highlight w:val="none"/>
        </w:rPr>
      </w:pPr>
    </w:p>
    <w:p w14:paraId="1993E30F">
      <w:pPr>
        <w:pStyle w:val="56"/>
        <w:rPr>
          <w:rFonts w:asciiTheme="minorEastAsia" w:hAnsiTheme="minorEastAsia" w:eastAsiaTheme="minorEastAsia"/>
          <w:color w:val="auto"/>
          <w:sz w:val="24"/>
          <w:highlight w:val="none"/>
        </w:rPr>
      </w:pPr>
    </w:p>
    <w:p w14:paraId="0FA32D08">
      <w:pPr>
        <w:pStyle w:val="56"/>
        <w:rPr>
          <w:rFonts w:asciiTheme="minorEastAsia" w:hAnsiTheme="minorEastAsia" w:eastAsiaTheme="minorEastAsia"/>
          <w:color w:val="auto"/>
          <w:sz w:val="24"/>
          <w:highlight w:val="none"/>
        </w:rPr>
      </w:pPr>
    </w:p>
    <w:p w14:paraId="3F419A2C">
      <w:pPr>
        <w:pStyle w:val="56"/>
        <w:rPr>
          <w:rFonts w:asciiTheme="minorEastAsia" w:hAnsiTheme="minorEastAsia" w:eastAsiaTheme="minorEastAsia"/>
          <w:color w:val="auto"/>
          <w:sz w:val="24"/>
          <w:highlight w:val="none"/>
        </w:rPr>
      </w:pPr>
    </w:p>
    <w:p w14:paraId="3AB69978">
      <w:pPr>
        <w:pStyle w:val="56"/>
        <w:rPr>
          <w:rFonts w:asciiTheme="minorEastAsia" w:hAnsiTheme="minorEastAsia" w:eastAsiaTheme="minorEastAsia"/>
          <w:color w:val="auto"/>
          <w:sz w:val="24"/>
          <w:highlight w:val="none"/>
        </w:rPr>
      </w:pPr>
    </w:p>
    <w:p w14:paraId="5DC460C9">
      <w:pPr>
        <w:pStyle w:val="56"/>
        <w:rPr>
          <w:rFonts w:asciiTheme="minorEastAsia" w:hAnsiTheme="minorEastAsia" w:eastAsiaTheme="minorEastAsia"/>
          <w:color w:val="auto"/>
          <w:sz w:val="24"/>
          <w:highlight w:val="none"/>
        </w:rPr>
      </w:pPr>
    </w:p>
    <w:p w14:paraId="6982F915">
      <w:pPr>
        <w:pStyle w:val="56"/>
        <w:rPr>
          <w:rFonts w:hint="eastAsia" w:asciiTheme="minorEastAsia" w:hAnsiTheme="minorEastAsia" w:eastAsiaTheme="minorEastAsia"/>
          <w:color w:val="auto"/>
          <w:sz w:val="24"/>
          <w:highlight w:val="none"/>
          <w:lang w:val="en-US" w:eastAsia="zh-CN"/>
        </w:rPr>
      </w:pPr>
    </w:p>
    <w:bookmarkEnd w:id="93"/>
    <w:bookmarkEnd w:id="94"/>
    <w:bookmarkEnd w:id="95"/>
    <w:bookmarkEnd w:id="96"/>
    <w:p w14:paraId="44E204E2">
      <w:pPr>
        <w:spacing w:line="360" w:lineRule="auto"/>
        <w:jc w:val="center"/>
        <w:outlineLvl w:val="0"/>
        <w:rPr>
          <w:rFonts w:hint="eastAsia" w:ascii="宋体" w:hAnsi="宋体" w:eastAsia="宋体"/>
          <w:b/>
          <w:bCs/>
          <w:color w:val="auto"/>
          <w:sz w:val="28"/>
          <w:highlight w:val="none"/>
        </w:rPr>
      </w:pPr>
      <w:bookmarkStart w:id="97" w:name="_Toc60608832"/>
      <w:bookmarkStart w:id="98" w:name="_Toc10319"/>
      <w:bookmarkStart w:id="99" w:name="_Toc11034"/>
    </w:p>
    <w:p w14:paraId="1813F29B">
      <w:pPr>
        <w:spacing w:line="360" w:lineRule="auto"/>
        <w:jc w:val="center"/>
        <w:outlineLvl w:val="0"/>
        <w:rPr>
          <w:rFonts w:ascii="宋体" w:hAnsi="宋体" w:eastAsia="宋体"/>
          <w:b/>
          <w:bCs/>
          <w:color w:val="auto"/>
          <w:sz w:val="28"/>
          <w:highlight w:val="none"/>
        </w:rPr>
      </w:pPr>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章</w:t>
      </w:r>
      <w:r>
        <w:rPr>
          <w:rFonts w:hint="eastAsia"/>
          <w:b/>
          <w:bCs/>
          <w:color w:val="auto"/>
          <w:sz w:val="28"/>
          <w:highlight w:val="none"/>
        </w:rPr>
        <w:t xml:space="preserve">  </w:t>
      </w:r>
      <w:bookmarkEnd w:id="97"/>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98"/>
      <w:bookmarkEnd w:id="99"/>
    </w:p>
    <w:p w14:paraId="52C2F990">
      <w:pPr>
        <w:spacing w:line="360" w:lineRule="auto"/>
        <w:jc w:val="center"/>
        <w:outlineLvl w:val="1"/>
        <w:rPr>
          <w:rFonts w:ascii="仿宋" w:hAnsi="仿宋" w:eastAsia="仿宋" w:cs="仿宋"/>
          <w:b/>
          <w:bCs/>
          <w:color w:val="auto"/>
          <w:sz w:val="32"/>
          <w:szCs w:val="44"/>
          <w:highlight w:val="none"/>
        </w:rPr>
      </w:pPr>
      <w:bookmarkStart w:id="100" w:name="_Toc12954"/>
      <w:r>
        <w:rPr>
          <w:rFonts w:hint="eastAsia" w:ascii="仿宋" w:hAnsi="仿宋" w:eastAsia="仿宋" w:cs="仿宋"/>
          <w:b/>
          <w:bCs/>
          <w:color w:val="auto"/>
          <w:sz w:val="32"/>
          <w:szCs w:val="44"/>
          <w:highlight w:val="none"/>
        </w:rPr>
        <w:t>询问函范本</w:t>
      </w:r>
      <w:bookmarkEnd w:id="100"/>
    </w:p>
    <w:p w14:paraId="7B2BEF5B">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（如为对采购文件或采购程序的询问或疑问，请按询问函范本进行提交）</w:t>
      </w:r>
    </w:p>
    <w:p w14:paraId="44C84209">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3CC1BCB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0E169F4">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1" w:name="_Toc23584"/>
      <w:bookmarkStart w:id="102" w:name="_Toc29009"/>
      <w:r>
        <w:rPr>
          <w:rFonts w:hint="eastAsia" w:cs="仿宋" w:asciiTheme="minorEastAsia" w:hAnsiTheme="minorEastAsia" w:eastAsiaTheme="minorEastAsia"/>
          <w:color w:val="auto"/>
          <w:sz w:val="24"/>
          <w:szCs w:val="24"/>
          <w:highlight w:val="none"/>
        </w:rPr>
        <w:t>一、(事项一)</w:t>
      </w:r>
      <w:bookmarkEnd w:id="101"/>
      <w:bookmarkEnd w:id="102"/>
    </w:p>
    <w:p w14:paraId="1206791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1622C8F9">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7398E78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12683B2">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3" w:name="_Toc18220"/>
      <w:bookmarkStart w:id="104" w:name="_Toc16254"/>
      <w:r>
        <w:rPr>
          <w:rFonts w:hint="eastAsia" w:cs="仿宋" w:asciiTheme="minorEastAsia" w:hAnsiTheme="minorEastAsia" w:eastAsiaTheme="minorEastAsia"/>
          <w:color w:val="auto"/>
          <w:sz w:val="24"/>
          <w:szCs w:val="24"/>
          <w:highlight w:val="none"/>
        </w:rPr>
        <w:t>二、(事项二)</w:t>
      </w:r>
      <w:bookmarkEnd w:id="103"/>
      <w:bookmarkEnd w:id="104"/>
    </w:p>
    <w:p w14:paraId="2A89469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16A2789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6D8D8A9E">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2336C1B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7185F720">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7F9D099C">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0A80391F">
      <w:pPr>
        <w:jc w:val="center"/>
        <w:outlineLvl w:val="1"/>
        <w:rPr>
          <w:rFonts w:ascii="仿宋" w:hAnsi="仿宋" w:eastAsia="仿宋" w:cs="仿宋"/>
          <w:b/>
          <w:bCs/>
          <w:color w:val="auto"/>
          <w:sz w:val="32"/>
          <w:szCs w:val="44"/>
          <w:highlight w:val="none"/>
        </w:rPr>
      </w:pPr>
      <w:bookmarkStart w:id="105" w:name="_Toc18073"/>
      <w:bookmarkStart w:id="106" w:name="_Toc6176"/>
      <w:r>
        <w:rPr>
          <w:rFonts w:hint="eastAsia" w:ascii="仿宋" w:hAnsi="仿宋" w:eastAsia="仿宋" w:cs="仿宋"/>
          <w:b/>
          <w:bCs/>
          <w:color w:val="auto"/>
          <w:sz w:val="32"/>
          <w:szCs w:val="44"/>
          <w:highlight w:val="none"/>
        </w:rPr>
        <w:t>质疑函范本</w:t>
      </w:r>
      <w:bookmarkEnd w:id="105"/>
      <w:bookmarkEnd w:id="106"/>
    </w:p>
    <w:p w14:paraId="61F0E2E6">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107" w:name="_Toc17682"/>
      <w:bookmarkStart w:id="108" w:name="_Toc21548"/>
      <w:r>
        <w:rPr>
          <w:rFonts w:hint="eastAsia" w:cs="仿宋" w:asciiTheme="minorEastAsia" w:hAnsiTheme="minorEastAsia" w:eastAsiaTheme="minorEastAsia"/>
          <w:b/>
          <w:bCs/>
          <w:color w:val="auto"/>
          <w:sz w:val="24"/>
          <w:szCs w:val="24"/>
          <w:highlight w:val="none"/>
        </w:rPr>
        <w:t>一、质疑供应商基本信息</w:t>
      </w:r>
      <w:bookmarkEnd w:id="107"/>
      <w:bookmarkEnd w:id="108"/>
    </w:p>
    <w:p w14:paraId="2AF0DBA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26FAFC7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0D963E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26C6871B">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0DCAEE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50B7C2E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0AE9B0A6">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09" w:name="_Toc9149"/>
      <w:bookmarkStart w:id="110" w:name="_Toc5180"/>
      <w:r>
        <w:rPr>
          <w:rFonts w:hint="eastAsia" w:cs="仿宋" w:asciiTheme="minorEastAsia" w:hAnsiTheme="minorEastAsia" w:eastAsiaTheme="minorEastAsia"/>
          <w:b/>
          <w:bCs/>
          <w:color w:val="auto"/>
          <w:sz w:val="24"/>
          <w:szCs w:val="24"/>
          <w:highlight w:val="none"/>
        </w:rPr>
        <w:t>二、质疑项目基本情况</w:t>
      </w:r>
      <w:bookmarkEnd w:id="109"/>
      <w:bookmarkEnd w:id="110"/>
    </w:p>
    <w:p w14:paraId="1FB9750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BBDA0A6">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018043D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46A10C5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78B7566F">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1" w:name="_Toc29996"/>
      <w:bookmarkStart w:id="112" w:name="_Toc14494"/>
      <w:r>
        <w:rPr>
          <w:rFonts w:hint="eastAsia" w:cs="仿宋" w:asciiTheme="minorEastAsia" w:hAnsiTheme="minorEastAsia" w:eastAsiaTheme="minorEastAsia"/>
          <w:b/>
          <w:bCs/>
          <w:color w:val="auto"/>
          <w:sz w:val="24"/>
          <w:szCs w:val="24"/>
          <w:highlight w:val="none"/>
        </w:rPr>
        <w:t>三、质疑事项具体内容</w:t>
      </w:r>
      <w:bookmarkEnd w:id="111"/>
      <w:bookmarkEnd w:id="112"/>
    </w:p>
    <w:p w14:paraId="474E60C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50A7D28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41AA091">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179BF0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6E76952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1F7C1F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EFF7F0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CEBB415">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3" w:name="_Toc7296"/>
      <w:bookmarkStart w:id="114" w:name="_Toc814"/>
      <w:r>
        <w:rPr>
          <w:rFonts w:hint="eastAsia" w:cs="仿宋" w:asciiTheme="minorEastAsia" w:hAnsiTheme="minorEastAsia" w:eastAsiaTheme="minorEastAsia"/>
          <w:b/>
          <w:bCs/>
          <w:color w:val="auto"/>
          <w:sz w:val="24"/>
          <w:szCs w:val="24"/>
          <w:highlight w:val="none"/>
        </w:rPr>
        <w:t>四、与质疑事项相关的质疑请求</w:t>
      </w:r>
      <w:bookmarkEnd w:id="113"/>
      <w:bookmarkEnd w:id="114"/>
    </w:p>
    <w:p w14:paraId="1919D2F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27867F59">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5F5DFEE">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5BDEF8E">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21544C37">
      <w:pPr>
        <w:outlineLvl w:val="0"/>
        <w:rPr>
          <w:rFonts w:asciiTheme="minorEastAsia" w:hAnsiTheme="minorEastAsia" w:eastAsiaTheme="minorEastAsia"/>
          <w:b/>
          <w:color w:val="auto"/>
          <w:sz w:val="28"/>
          <w:szCs w:val="32"/>
          <w:highlight w:val="none"/>
        </w:rPr>
      </w:pPr>
      <w:bookmarkStart w:id="115" w:name="_Toc26567"/>
      <w:bookmarkStart w:id="116" w:name="_Toc3093"/>
      <w:r>
        <w:rPr>
          <w:rFonts w:hint="eastAsia" w:asciiTheme="minorEastAsia" w:hAnsiTheme="minorEastAsia" w:eastAsiaTheme="minorEastAsia"/>
          <w:b/>
          <w:color w:val="auto"/>
          <w:sz w:val="28"/>
          <w:szCs w:val="32"/>
          <w:highlight w:val="none"/>
        </w:rPr>
        <w:t>质疑函制作说明：</w:t>
      </w:r>
      <w:bookmarkEnd w:id="115"/>
      <w:bookmarkEnd w:id="116"/>
    </w:p>
    <w:p w14:paraId="3B9146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7C2A09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8D585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D4234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50E2EC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3F2CCB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D7C5E41">
      <w:pPr>
        <w:jc w:val="center"/>
        <w:rPr>
          <w:rFonts w:hint="eastAsia" w:ascii="宋体" w:hAnsi="宋体" w:cs="宋体"/>
          <w:b/>
          <w:color w:val="auto"/>
          <w:sz w:val="32"/>
          <w:szCs w:val="32"/>
          <w:highlight w:val="none"/>
        </w:rPr>
      </w:pPr>
    </w:p>
    <w:p w14:paraId="6BC2BD45">
      <w:pPr>
        <w:pStyle w:val="3"/>
        <w:rPr>
          <w:rFonts w:hint="eastAsia" w:ascii="宋体" w:hAnsi="宋体" w:cs="宋体"/>
          <w:b/>
          <w:color w:val="auto"/>
          <w:sz w:val="32"/>
          <w:szCs w:val="32"/>
          <w:highlight w:val="none"/>
        </w:rPr>
      </w:pPr>
    </w:p>
    <w:p w14:paraId="4F12268E">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sectPr>
      <w:footerReference r:id="rId12" w:type="default"/>
      <w:pgSz w:w="11906" w:h="16838"/>
      <w:pgMar w:top="1440" w:right="1486" w:bottom="1440" w:left="1800" w:header="454" w:footer="68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5AA5C">
    <w:pPr>
      <w:pStyle w:val="2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61825">
    <w:pPr>
      <w:pStyle w:val="26"/>
      <w:jc w:val="center"/>
      <w:rPr>
        <w:rFonts w:ascii="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313A">
    <w:pPr>
      <w:pStyle w:val="26"/>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1AE09C">
                          <w:pPr>
                            <w:pStyle w:val="2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41AE09C">
                    <w:pPr>
                      <w:pStyle w:val="2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6F743">
    <w:pPr>
      <w:pStyle w:val="2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09D355">
                          <w:pPr>
                            <w:pStyle w:val="26"/>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F09D355">
                    <w:pPr>
                      <w:pStyle w:val="26"/>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6"/>
      <w:jc w:val="center"/>
      <w:rPr>
        <w:rFonts w:hint="default" w:eastAsiaTheme="minorEastAsia"/>
        <w:sz w:val="17"/>
        <w:szCs w:val="17"/>
        <w:lang w:val="en-US" w:eastAsia="zh-CN"/>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B0354">
                          <w:pPr>
                            <w:pStyle w:val="26"/>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DAB0354">
                    <w:pPr>
                      <w:pStyle w:val="26"/>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840AA">
    <w:pPr>
      <w:pStyle w:val="28"/>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BEE6B">
    <w:pPr>
      <w:pStyle w:val="28"/>
      <w:pBdr>
        <w:bottom w:val="none" w:color="auto" w:sz="0" w:space="1"/>
      </w:pBdr>
      <w:jc w:val="both"/>
      <w:rPr>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BA161">
    <w:pPr>
      <w:pStyle w:val="28"/>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EFC674"/>
    <w:multiLevelType w:val="singleLevel"/>
    <w:tmpl w:val="FFEFC67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07"/>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1D7F"/>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233A"/>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3773C2D"/>
    <w:rsid w:val="056A611A"/>
    <w:rsid w:val="058C5C9F"/>
    <w:rsid w:val="07C80EFB"/>
    <w:rsid w:val="08251EAA"/>
    <w:rsid w:val="08602EE2"/>
    <w:rsid w:val="08916AB3"/>
    <w:rsid w:val="09084174"/>
    <w:rsid w:val="09287EA3"/>
    <w:rsid w:val="0A7A13B6"/>
    <w:rsid w:val="0A903CFA"/>
    <w:rsid w:val="0A91481A"/>
    <w:rsid w:val="0BD378F6"/>
    <w:rsid w:val="0CC021A1"/>
    <w:rsid w:val="0DEF71E2"/>
    <w:rsid w:val="10E24D87"/>
    <w:rsid w:val="119A1F8D"/>
    <w:rsid w:val="11BC1998"/>
    <w:rsid w:val="12E5150C"/>
    <w:rsid w:val="13524CBA"/>
    <w:rsid w:val="13750D6C"/>
    <w:rsid w:val="137A57A0"/>
    <w:rsid w:val="13C347B9"/>
    <w:rsid w:val="13C54541"/>
    <w:rsid w:val="14C60571"/>
    <w:rsid w:val="156A411C"/>
    <w:rsid w:val="16A92918"/>
    <w:rsid w:val="173B04EE"/>
    <w:rsid w:val="17D22769"/>
    <w:rsid w:val="18735030"/>
    <w:rsid w:val="18D92526"/>
    <w:rsid w:val="18FA2EDF"/>
    <w:rsid w:val="1A66331F"/>
    <w:rsid w:val="1AE70150"/>
    <w:rsid w:val="1AF95668"/>
    <w:rsid w:val="1C646257"/>
    <w:rsid w:val="1CE22479"/>
    <w:rsid w:val="1E0104DD"/>
    <w:rsid w:val="1EA4741C"/>
    <w:rsid w:val="20344F28"/>
    <w:rsid w:val="20346CD6"/>
    <w:rsid w:val="206770AC"/>
    <w:rsid w:val="21C24114"/>
    <w:rsid w:val="23241284"/>
    <w:rsid w:val="23284CA7"/>
    <w:rsid w:val="23530B29"/>
    <w:rsid w:val="26C863CA"/>
    <w:rsid w:val="282F3B79"/>
    <w:rsid w:val="283C571B"/>
    <w:rsid w:val="291E2007"/>
    <w:rsid w:val="29543F45"/>
    <w:rsid w:val="29CF3D8B"/>
    <w:rsid w:val="2B7C7113"/>
    <w:rsid w:val="2CD32C5A"/>
    <w:rsid w:val="30C62676"/>
    <w:rsid w:val="30D37E45"/>
    <w:rsid w:val="31BF072E"/>
    <w:rsid w:val="3251196A"/>
    <w:rsid w:val="340842AA"/>
    <w:rsid w:val="35DA59F3"/>
    <w:rsid w:val="36797FCD"/>
    <w:rsid w:val="36962041"/>
    <w:rsid w:val="36BE058F"/>
    <w:rsid w:val="36D93CDC"/>
    <w:rsid w:val="37321D6A"/>
    <w:rsid w:val="37736187"/>
    <w:rsid w:val="37903539"/>
    <w:rsid w:val="37A20571"/>
    <w:rsid w:val="388A16E7"/>
    <w:rsid w:val="38F3153C"/>
    <w:rsid w:val="39F03816"/>
    <w:rsid w:val="3A2A31CC"/>
    <w:rsid w:val="3B284AB3"/>
    <w:rsid w:val="3CC75F2B"/>
    <w:rsid w:val="3CF814E4"/>
    <w:rsid w:val="3D874491"/>
    <w:rsid w:val="3DD24BE8"/>
    <w:rsid w:val="3F5D7BA0"/>
    <w:rsid w:val="40694322"/>
    <w:rsid w:val="418A33DF"/>
    <w:rsid w:val="41A4094C"/>
    <w:rsid w:val="435C016E"/>
    <w:rsid w:val="43964717"/>
    <w:rsid w:val="43BE3353"/>
    <w:rsid w:val="43ED325B"/>
    <w:rsid w:val="443D4540"/>
    <w:rsid w:val="45553AE5"/>
    <w:rsid w:val="45732979"/>
    <w:rsid w:val="45974888"/>
    <w:rsid w:val="47470D57"/>
    <w:rsid w:val="47D26073"/>
    <w:rsid w:val="47E75CBA"/>
    <w:rsid w:val="481608EC"/>
    <w:rsid w:val="49E3541A"/>
    <w:rsid w:val="4A225C6E"/>
    <w:rsid w:val="4B700D53"/>
    <w:rsid w:val="4BDA12B0"/>
    <w:rsid w:val="4D317F5A"/>
    <w:rsid w:val="4D3A7115"/>
    <w:rsid w:val="4D677E3B"/>
    <w:rsid w:val="4E336C7E"/>
    <w:rsid w:val="51DD06CC"/>
    <w:rsid w:val="523429E2"/>
    <w:rsid w:val="536D2F2E"/>
    <w:rsid w:val="53F1220D"/>
    <w:rsid w:val="546D21DB"/>
    <w:rsid w:val="5658373F"/>
    <w:rsid w:val="566D6A2E"/>
    <w:rsid w:val="57346FE0"/>
    <w:rsid w:val="59157D59"/>
    <w:rsid w:val="591C7D2C"/>
    <w:rsid w:val="59B361F2"/>
    <w:rsid w:val="5A5F6122"/>
    <w:rsid w:val="5E677C9B"/>
    <w:rsid w:val="5EA70DDA"/>
    <w:rsid w:val="5FC52ECB"/>
    <w:rsid w:val="60C63B32"/>
    <w:rsid w:val="61616A4B"/>
    <w:rsid w:val="629038C3"/>
    <w:rsid w:val="62D324BB"/>
    <w:rsid w:val="642A69CF"/>
    <w:rsid w:val="65271F32"/>
    <w:rsid w:val="66091AE9"/>
    <w:rsid w:val="68AB6E74"/>
    <w:rsid w:val="69056267"/>
    <w:rsid w:val="6942558D"/>
    <w:rsid w:val="6A2133F4"/>
    <w:rsid w:val="6AC87D14"/>
    <w:rsid w:val="6B8B5E84"/>
    <w:rsid w:val="6BE0108D"/>
    <w:rsid w:val="6BF15048"/>
    <w:rsid w:val="6C320AC9"/>
    <w:rsid w:val="6C550632"/>
    <w:rsid w:val="6D263022"/>
    <w:rsid w:val="6F240401"/>
    <w:rsid w:val="6F6A75EB"/>
    <w:rsid w:val="73E01C2A"/>
    <w:rsid w:val="742915A0"/>
    <w:rsid w:val="744A3547"/>
    <w:rsid w:val="753153C9"/>
    <w:rsid w:val="76764668"/>
    <w:rsid w:val="76D11EE8"/>
    <w:rsid w:val="774C5829"/>
    <w:rsid w:val="77893908"/>
    <w:rsid w:val="77E56B80"/>
    <w:rsid w:val="78526EF9"/>
    <w:rsid w:val="78A3591C"/>
    <w:rsid w:val="790E7239"/>
    <w:rsid w:val="79312F28"/>
    <w:rsid w:val="79B11037"/>
    <w:rsid w:val="79FB4EC7"/>
    <w:rsid w:val="7B841A35"/>
    <w:rsid w:val="7C42088B"/>
    <w:rsid w:val="7CE63738"/>
    <w:rsid w:val="7D36737D"/>
    <w:rsid w:val="7D3D7B44"/>
    <w:rsid w:val="7E0155BF"/>
    <w:rsid w:val="7E835FD4"/>
    <w:rsid w:val="7EBE08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4">
    <w:name w:val="heading 1"/>
    <w:basedOn w:val="1"/>
    <w:next w:val="1"/>
    <w:link w:val="59"/>
    <w:qFormat/>
    <w:uiPriority w:val="9"/>
    <w:pPr>
      <w:keepNext/>
      <w:keepLines/>
      <w:spacing w:before="340" w:after="330" w:line="578" w:lineRule="atLeast"/>
      <w:jc w:val="center"/>
      <w:outlineLvl w:val="0"/>
    </w:pPr>
    <w:rPr>
      <w:rFonts w:eastAsia="微软雅黑"/>
      <w:b/>
      <w:bCs/>
      <w:kern w:val="44"/>
      <w:sz w:val="32"/>
      <w:szCs w:val="44"/>
    </w:rPr>
  </w:style>
  <w:style w:type="paragraph" w:styleId="5">
    <w:name w:val="heading 2"/>
    <w:basedOn w:val="1"/>
    <w:next w:val="1"/>
    <w:link w:val="6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6">
    <w:name w:val="heading 3"/>
    <w:basedOn w:val="1"/>
    <w:next w:val="1"/>
    <w:link w:val="6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7">
    <w:name w:val="heading 4"/>
    <w:basedOn w:val="1"/>
    <w:next w:val="1"/>
    <w:link w:val="6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8">
    <w:name w:val="heading 5"/>
    <w:basedOn w:val="1"/>
    <w:next w:val="1"/>
    <w:link w:val="6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9">
    <w:name w:val="heading 6"/>
    <w:basedOn w:val="1"/>
    <w:next w:val="1"/>
    <w:link w:val="6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0">
    <w:name w:val="heading 7"/>
    <w:basedOn w:val="1"/>
    <w:next w:val="1"/>
    <w:link w:val="6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1">
    <w:name w:val="heading 8"/>
    <w:basedOn w:val="1"/>
    <w:next w:val="1"/>
    <w:link w:val="6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2">
    <w:name w:val="heading 9"/>
    <w:basedOn w:val="1"/>
    <w:next w:val="1"/>
    <w:link w:val="6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95"/>
    <w:autoRedefine/>
    <w:unhideWhenUsed/>
    <w:qFormat/>
    <w:uiPriority w:val="99"/>
    <w:pPr>
      <w:ind w:firstLine="420" w:firstLineChars="100"/>
    </w:pPr>
  </w:style>
  <w:style w:type="paragraph" w:styleId="3">
    <w:name w:val="Body Text"/>
    <w:basedOn w:val="1"/>
    <w:link w:val="88"/>
    <w:autoRedefine/>
    <w:unhideWhenUsed/>
    <w:qFormat/>
    <w:uiPriority w:val="0"/>
    <w:pPr>
      <w:spacing w:after="120"/>
    </w:pPr>
  </w:style>
  <w:style w:type="paragraph" w:styleId="13">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4">
    <w:name w:val="Normal Indent"/>
    <w:basedOn w:val="1"/>
    <w:link w:val="8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5">
    <w:name w:val="annotation text"/>
    <w:basedOn w:val="1"/>
    <w:link w:val="125"/>
    <w:unhideWhenUsed/>
    <w:qFormat/>
    <w:uiPriority w:val="0"/>
    <w:pPr>
      <w:adjustRightInd/>
      <w:spacing w:line="500" w:lineRule="exact"/>
      <w:jc w:val="left"/>
    </w:pPr>
    <w:rPr>
      <w:sz w:val="20"/>
    </w:rPr>
  </w:style>
  <w:style w:type="paragraph" w:styleId="16">
    <w:name w:val="Body Text 3"/>
    <w:basedOn w:val="1"/>
    <w:link w:val="81"/>
    <w:semiHidden/>
    <w:unhideWhenUsed/>
    <w:qFormat/>
    <w:uiPriority w:val="99"/>
    <w:pPr>
      <w:spacing w:after="120"/>
    </w:pPr>
    <w:rPr>
      <w:sz w:val="16"/>
      <w:szCs w:val="16"/>
    </w:rPr>
  </w:style>
  <w:style w:type="paragraph" w:styleId="17">
    <w:name w:val="Body Text Indent"/>
    <w:basedOn w:val="1"/>
    <w:link w:val="71"/>
    <w:unhideWhenUsed/>
    <w:qFormat/>
    <w:uiPriority w:val="0"/>
    <w:pPr>
      <w:ind w:left="2730" w:hanging="2730" w:hangingChars="1365"/>
      <w:jc w:val="left"/>
    </w:pPr>
    <w:rPr>
      <w:sz w:val="20"/>
      <w:lang w:bidi="he-IL"/>
    </w:rPr>
  </w:style>
  <w:style w:type="paragraph" w:styleId="18">
    <w:name w:val="Block Text"/>
    <w:basedOn w:val="1"/>
    <w:autoRedefine/>
    <w:unhideWhenUsed/>
    <w:qFormat/>
    <w:uiPriority w:val="99"/>
    <w:pPr>
      <w:spacing w:after="120"/>
      <w:ind w:left="1440" w:leftChars="700" w:right="1440" w:rightChars="700"/>
    </w:pPr>
    <w:rPr>
      <w:szCs w:val="24"/>
    </w:rPr>
  </w:style>
  <w:style w:type="paragraph" w:styleId="19">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0">
    <w:name w:val="toc 3"/>
    <w:basedOn w:val="1"/>
    <w:next w:val="1"/>
    <w:autoRedefine/>
    <w:unhideWhenUsed/>
    <w:qFormat/>
    <w:uiPriority w:val="39"/>
    <w:pPr>
      <w:ind w:left="840" w:leftChars="400"/>
    </w:pPr>
  </w:style>
  <w:style w:type="paragraph" w:styleId="21">
    <w:name w:val="Plain Text"/>
    <w:basedOn w:val="1"/>
    <w:link w:val="126"/>
    <w:autoRedefine/>
    <w:qFormat/>
    <w:uiPriority w:val="0"/>
    <w:pPr>
      <w:textAlignment w:val="baseline"/>
    </w:pPr>
    <w:rPr>
      <w:rFonts w:ascii="宋体" w:hAnsi="Courier New"/>
    </w:rPr>
  </w:style>
  <w:style w:type="paragraph" w:styleId="22">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3">
    <w:name w:val="Date"/>
    <w:basedOn w:val="1"/>
    <w:next w:val="1"/>
    <w:link w:val="86"/>
    <w:autoRedefine/>
    <w:semiHidden/>
    <w:unhideWhenUsed/>
    <w:qFormat/>
    <w:uiPriority w:val="99"/>
    <w:pPr>
      <w:ind w:left="100" w:leftChars="2500"/>
    </w:pPr>
  </w:style>
  <w:style w:type="paragraph" w:styleId="24">
    <w:name w:val="Body Text Indent 2"/>
    <w:basedOn w:val="1"/>
    <w:link w:val="84"/>
    <w:autoRedefine/>
    <w:unhideWhenUsed/>
    <w:qFormat/>
    <w:uiPriority w:val="99"/>
    <w:pPr>
      <w:spacing w:after="120" w:line="480" w:lineRule="auto"/>
      <w:ind w:left="420" w:leftChars="200"/>
      <w:jc w:val="left"/>
    </w:pPr>
  </w:style>
  <w:style w:type="paragraph" w:styleId="25">
    <w:name w:val="Balloon Text"/>
    <w:basedOn w:val="1"/>
    <w:link w:val="7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6">
    <w:name w:val="footer"/>
    <w:basedOn w:val="1"/>
    <w:link w:val="6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7">
    <w:name w:val="envelope return"/>
    <w:basedOn w:val="1"/>
    <w:qFormat/>
    <w:uiPriority w:val="0"/>
    <w:pPr>
      <w:snapToGrid w:val="0"/>
    </w:pPr>
    <w:rPr>
      <w:rFonts w:ascii="Arial" w:hAnsi="Arial"/>
    </w:rPr>
  </w:style>
  <w:style w:type="paragraph" w:styleId="28">
    <w:name w:val="header"/>
    <w:basedOn w:val="1"/>
    <w:link w:val="6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36"/>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Body Text 2"/>
    <w:basedOn w:val="1"/>
    <w:qFormat/>
    <w:uiPriority w:val="0"/>
    <w:pPr>
      <w:widowControl/>
      <w:jc w:val="center"/>
    </w:pPr>
    <w:rPr>
      <w:rFonts w:ascii="楷体_GB2312" w:eastAsia="楷体_GB2312"/>
      <w:sz w:val="20"/>
    </w:rPr>
  </w:style>
  <w:style w:type="paragraph" w:styleId="36">
    <w:name w:val="Message Header"/>
    <w:basedOn w:val="1"/>
    <w:next w:val="21"/>
    <w:link w:val="12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2"/>
    <w:basedOn w:val="17"/>
    <w:next w:val="1"/>
    <w:link w:val="94"/>
    <w:unhideWhenUsed/>
    <w:qFormat/>
    <w:uiPriority w:val="0"/>
    <w:pPr>
      <w:adjustRightInd/>
      <w:spacing w:after="120" w:line="240" w:lineRule="auto"/>
      <w:ind w:left="420" w:leftChars="200" w:firstLine="420" w:firstLineChars="200"/>
      <w:jc w:val="both"/>
    </w:pPr>
    <w:rPr>
      <w:kern w:val="2"/>
      <w:sz w:val="21"/>
      <w:szCs w:val="24"/>
      <w:lang w:bidi="ar-SA"/>
    </w:r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TML Definition"/>
    <w:basedOn w:val="42"/>
    <w:semiHidden/>
    <w:unhideWhenUsed/>
    <w:qFormat/>
    <w:uiPriority w:val="99"/>
  </w:style>
  <w:style w:type="character" w:styleId="46">
    <w:name w:val="HTML Typewriter"/>
    <w:basedOn w:val="42"/>
    <w:semiHidden/>
    <w:unhideWhenUsed/>
    <w:qFormat/>
    <w:uiPriority w:val="99"/>
    <w:rPr>
      <w:rFonts w:hint="default" w:ascii="monospace" w:hAnsi="monospace" w:eastAsia="monospace" w:cs="monospace"/>
      <w:sz w:val="20"/>
    </w:rPr>
  </w:style>
  <w:style w:type="character" w:styleId="47">
    <w:name w:val="HTML Acronym"/>
    <w:basedOn w:val="42"/>
    <w:semiHidden/>
    <w:unhideWhenUsed/>
    <w:qFormat/>
    <w:uiPriority w:val="99"/>
  </w:style>
  <w:style w:type="character" w:styleId="48">
    <w:name w:val="HTML Variable"/>
    <w:basedOn w:val="42"/>
    <w:semiHidden/>
    <w:unhideWhenUsed/>
    <w:qFormat/>
    <w:uiPriority w:val="99"/>
  </w:style>
  <w:style w:type="character" w:styleId="49">
    <w:name w:val="Hyperlink"/>
    <w:basedOn w:val="42"/>
    <w:autoRedefine/>
    <w:unhideWhenUsed/>
    <w:qFormat/>
    <w:uiPriority w:val="99"/>
    <w:rPr>
      <w:color w:val="0000FF" w:themeColor="hyperlink"/>
      <w:u w:val="single"/>
      <w14:textFill>
        <w14:solidFill>
          <w14:schemeClr w14:val="hlink"/>
        </w14:solidFill>
      </w14:textFill>
    </w:rPr>
  </w:style>
  <w:style w:type="character" w:styleId="50">
    <w:name w:val="HTML Code"/>
    <w:basedOn w:val="42"/>
    <w:semiHidden/>
    <w:unhideWhenUsed/>
    <w:qFormat/>
    <w:uiPriority w:val="99"/>
    <w:rPr>
      <w:rFonts w:ascii="monospace" w:hAnsi="monospace" w:eastAsia="monospace" w:cs="monospace"/>
      <w:sz w:val="20"/>
    </w:rPr>
  </w:style>
  <w:style w:type="character" w:styleId="51">
    <w:name w:val="annotation reference"/>
    <w:autoRedefine/>
    <w:semiHidden/>
    <w:qFormat/>
    <w:uiPriority w:val="0"/>
    <w:rPr>
      <w:sz w:val="21"/>
      <w:szCs w:val="21"/>
    </w:rPr>
  </w:style>
  <w:style w:type="character" w:styleId="52">
    <w:name w:val="HTML Cite"/>
    <w:basedOn w:val="42"/>
    <w:semiHidden/>
    <w:unhideWhenUsed/>
    <w:qFormat/>
    <w:uiPriority w:val="99"/>
  </w:style>
  <w:style w:type="character" w:styleId="53">
    <w:name w:val="footnote reference"/>
    <w:autoRedefine/>
    <w:qFormat/>
    <w:uiPriority w:val="0"/>
    <w:rPr>
      <w:vertAlign w:val="superscript"/>
    </w:rPr>
  </w:style>
  <w:style w:type="character" w:styleId="54">
    <w:name w:val="HTML Keyboard"/>
    <w:basedOn w:val="42"/>
    <w:semiHidden/>
    <w:unhideWhenUsed/>
    <w:qFormat/>
    <w:uiPriority w:val="99"/>
    <w:rPr>
      <w:rFonts w:hint="default" w:ascii="monospace" w:hAnsi="monospace" w:eastAsia="monospace" w:cs="monospace"/>
      <w:sz w:val="20"/>
    </w:rPr>
  </w:style>
  <w:style w:type="character" w:styleId="55">
    <w:name w:val="HTML Sample"/>
    <w:basedOn w:val="42"/>
    <w:semiHidden/>
    <w:unhideWhenUsed/>
    <w:qFormat/>
    <w:uiPriority w:val="99"/>
    <w:rPr>
      <w:rFonts w:hint="default" w:ascii="monospace" w:hAnsi="monospace" w:eastAsia="monospace" w:cs="monospace"/>
    </w:rPr>
  </w:style>
  <w:style w:type="paragraph" w:customStyle="1" w:styleId="56">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57">
    <w:name w:val="*正文"/>
    <w:basedOn w:val="14"/>
    <w:qFormat/>
    <w:uiPriority w:val="0"/>
    <w:pPr>
      <w:ind w:firstLine="200"/>
    </w:pPr>
    <w:rPr>
      <w:rFonts w:ascii="宋体" w:hAnsi="宋体" w:eastAsia="宋体" w:cs="Times New Roman"/>
      <w:color w:val="000000"/>
    </w:rPr>
  </w:style>
  <w:style w:type="paragraph" w:customStyle="1" w:styleId="5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59">
    <w:name w:val="标题 1 字符"/>
    <w:basedOn w:val="42"/>
    <w:link w:val="4"/>
    <w:autoRedefine/>
    <w:qFormat/>
    <w:uiPriority w:val="9"/>
    <w:rPr>
      <w:rFonts w:ascii="Times New Roman" w:hAnsi="Times New Roman" w:eastAsia="微软雅黑" w:cs="Times New Roman"/>
      <w:b/>
      <w:bCs/>
      <w:kern w:val="44"/>
      <w:sz w:val="32"/>
      <w:szCs w:val="44"/>
    </w:rPr>
  </w:style>
  <w:style w:type="character" w:customStyle="1" w:styleId="60">
    <w:name w:val="标题 2 字符"/>
    <w:basedOn w:val="42"/>
    <w:link w:val="5"/>
    <w:autoRedefine/>
    <w:qFormat/>
    <w:uiPriority w:val="9"/>
    <w:rPr>
      <w:rFonts w:eastAsia="微软雅黑" w:asciiTheme="majorHAnsi" w:hAnsiTheme="majorHAnsi" w:cstheme="majorBidi"/>
      <w:b/>
      <w:bCs/>
      <w:kern w:val="0"/>
      <w:sz w:val="30"/>
      <w:szCs w:val="32"/>
    </w:rPr>
  </w:style>
  <w:style w:type="character" w:customStyle="1" w:styleId="61">
    <w:name w:val="标题 3 字符"/>
    <w:basedOn w:val="42"/>
    <w:link w:val="6"/>
    <w:autoRedefine/>
    <w:qFormat/>
    <w:uiPriority w:val="0"/>
    <w:rPr>
      <w:rFonts w:ascii="Times New Roman" w:hAnsi="Times New Roman" w:eastAsia="微软雅黑" w:cs="Times New Roman"/>
      <w:b/>
      <w:bCs/>
      <w:kern w:val="0"/>
      <w:sz w:val="28"/>
      <w:szCs w:val="32"/>
    </w:rPr>
  </w:style>
  <w:style w:type="character" w:customStyle="1" w:styleId="62">
    <w:name w:val="标题 4 字符"/>
    <w:basedOn w:val="42"/>
    <w:link w:val="7"/>
    <w:autoRedefine/>
    <w:qFormat/>
    <w:uiPriority w:val="9"/>
    <w:rPr>
      <w:rFonts w:eastAsia="微软雅黑" w:asciiTheme="majorHAnsi" w:hAnsiTheme="majorHAnsi" w:cstheme="majorBidi"/>
      <w:b/>
      <w:bCs/>
      <w:kern w:val="0"/>
      <w:sz w:val="24"/>
      <w:szCs w:val="28"/>
    </w:rPr>
  </w:style>
  <w:style w:type="character" w:customStyle="1" w:styleId="63">
    <w:name w:val="标题 5 字符"/>
    <w:basedOn w:val="42"/>
    <w:link w:val="8"/>
    <w:autoRedefine/>
    <w:qFormat/>
    <w:uiPriority w:val="9"/>
    <w:rPr>
      <w:rFonts w:ascii="Times New Roman" w:hAnsi="Times New Roman" w:eastAsia="宋体" w:cs="Times New Roman"/>
      <w:b/>
      <w:bCs/>
      <w:sz w:val="28"/>
      <w:szCs w:val="28"/>
    </w:rPr>
  </w:style>
  <w:style w:type="character" w:customStyle="1" w:styleId="64">
    <w:name w:val="标题 6 字符"/>
    <w:basedOn w:val="42"/>
    <w:link w:val="9"/>
    <w:autoRedefine/>
    <w:qFormat/>
    <w:uiPriority w:val="9"/>
    <w:rPr>
      <w:rFonts w:ascii="Arial" w:hAnsi="Arial" w:eastAsia="黑体" w:cs="Times New Roman"/>
      <w:b/>
      <w:bCs/>
      <w:sz w:val="24"/>
      <w:szCs w:val="24"/>
    </w:rPr>
  </w:style>
  <w:style w:type="character" w:customStyle="1" w:styleId="65">
    <w:name w:val="标题 7 字符"/>
    <w:basedOn w:val="42"/>
    <w:link w:val="10"/>
    <w:autoRedefine/>
    <w:qFormat/>
    <w:uiPriority w:val="0"/>
    <w:rPr>
      <w:rFonts w:ascii="Times New Roman" w:hAnsi="Times New Roman" w:eastAsia="宋体" w:cs="Times New Roman"/>
      <w:b/>
      <w:bCs/>
      <w:sz w:val="24"/>
      <w:szCs w:val="24"/>
    </w:rPr>
  </w:style>
  <w:style w:type="character" w:customStyle="1" w:styleId="66">
    <w:name w:val="标题 8 字符"/>
    <w:basedOn w:val="42"/>
    <w:link w:val="11"/>
    <w:autoRedefine/>
    <w:qFormat/>
    <w:uiPriority w:val="0"/>
    <w:rPr>
      <w:rFonts w:ascii="Arial" w:hAnsi="Arial" w:eastAsia="黑体" w:cs="Times New Roman"/>
      <w:sz w:val="24"/>
      <w:szCs w:val="24"/>
    </w:rPr>
  </w:style>
  <w:style w:type="character" w:customStyle="1" w:styleId="67">
    <w:name w:val="标题 9 字符"/>
    <w:basedOn w:val="42"/>
    <w:link w:val="12"/>
    <w:autoRedefine/>
    <w:qFormat/>
    <w:uiPriority w:val="9"/>
    <w:rPr>
      <w:rFonts w:ascii="Arial" w:hAnsi="Arial" w:eastAsia="黑体" w:cs="Times New Roman"/>
      <w:szCs w:val="21"/>
    </w:rPr>
  </w:style>
  <w:style w:type="character" w:customStyle="1" w:styleId="68">
    <w:name w:val="页眉 字符"/>
    <w:basedOn w:val="42"/>
    <w:link w:val="28"/>
    <w:autoRedefine/>
    <w:qFormat/>
    <w:uiPriority w:val="0"/>
    <w:rPr>
      <w:sz w:val="18"/>
      <w:szCs w:val="18"/>
    </w:rPr>
  </w:style>
  <w:style w:type="character" w:customStyle="1" w:styleId="69">
    <w:name w:val="页脚 字符"/>
    <w:basedOn w:val="42"/>
    <w:link w:val="26"/>
    <w:autoRedefine/>
    <w:qFormat/>
    <w:uiPriority w:val="0"/>
    <w:rPr>
      <w:sz w:val="18"/>
      <w:szCs w:val="18"/>
    </w:rPr>
  </w:style>
  <w:style w:type="character" w:customStyle="1" w:styleId="70">
    <w:name w:val="批注框文本 字符"/>
    <w:basedOn w:val="42"/>
    <w:link w:val="25"/>
    <w:autoRedefine/>
    <w:semiHidden/>
    <w:qFormat/>
    <w:uiPriority w:val="99"/>
    <w:rPr>
      <w:sz w:val="18"/>
      <w:szCs w:val="18"/>
    </w:rPr>
  </w:style>
  <w:style w:type="character" w:customStyle="1" w:styleId="71">
    <w:name w:val="正文文本缩进 字符"/>
    <w:basedOn w:val="42"/>
    <w:link w:val="17"/>
    <w:autoRedefine/>
    <w:qFormat/>
    <w:uiPriority w:val="0"/>
    <w:rPr>
      <w:rFonts w:ascii="Times New Roman" w:hAnsi="Times New Roman" w:eastAsia="宋体" w:cs="Times New Roman"/>
      <w:kern w:val="0"/>
      <w:sz w:val="20"/>
      <w:szCs w:val="20"/>
      <w:lang w:bidi="he-IL"/>
    </w:rPr>
  </w:style>
  <w:style w:type="paragraph" w:styleId="72">
    <w:name w:val="List Paragraph"/>
    <w:basedOn w:val="1"/>
    <w:link w:val="73"/>
    <w:autoRedefine/>
    <w:qFormat/>
    <w:uiPriority w:val="34"/>
    <w:pPr>
      <w:snapToGrid w:val="0"/>
      <w:spacing w:line="360" w:lineRule="auto"/>
      <w:jc w:val="left"/>
    </w:pPr>
    <w:rPr>
      <w:rFonts w:eastAsia="微软雅黑"/>
      <w:b/>
      <w:sz w:val="30"/>
    </w:rPr>
  </w:style>
  <w:style w:type="character" w:customStyle="1" w:styleId="73">
    <w:name w:val="列出段落 字符"/>
    <w:link w:val="72"/>
    <w:autoRedefine/>
    <w:qFormat/>
    <w:uiPriority w:val="34"/>
    <w:rPr>
      <w:rFonts w:ascii="Times New Roman" w:hAnsi="Times New Roman" w:eastAsia="微软雅黑" w:cs="Times New Roman"/>
      <w:b/>
      <w:kern w:val="0"/>
      <w:sz w:val="30"/>
      <w:szCs w:val="20"/>
    </w:rPr>
  </w:style>
  <w:style w:type="character" w:customStyle="1" w:styleId="74">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6">
    <w:name w:val="TOC 标题1"/>
    <w:basedOn w:val="4"/>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7">
    <w:name w:val="Body text|1_"/>
    <w:link w:val="78"/>
    <w:autoRedefine/>
    <w:qFormat/>
    <w:uiPriority w:val="0"/>
    <w:rPr>
      <w:rFonts w:ascii="宋体" w:hAnsi="宋体" w:cs="宋体"/>
      <w:sz w:val="28"/>
      <w:szCs w:val="28"/>
      <w:lang w:val="zh-TW" w:eastAsia="zh-TW" w:bidi="zh-TW"/>
    </w:rPr>
  </w:style>
  <w:style w:type="paragraph" w:customStyle="1" w:styleId="78">
    <w:name w:val="Body text|1"/>
    <w:basedOn w:val="1"/>
    <w:link w:val="7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9">
    <w:name w:val="Header or footer|1_"/>
    <w:link w:val="80"/>
    <w:autoRedefine/>
    <w:qFormat/>
    <w:uiPriority w:val="0"/>
    <w:rPr>
      <w:sz w:val="22"/>
      <w:lang w:val="zh-TW" w:eastAsia="zh-TW" w:bidi="zh-TW"/>
    </w:rPr>
  </w:style>
  <w:style w:type="paragraph" w:customStyle="1" w:styleId="80">
    <w:name w:val="Header or footer|1"/>
    <w:basedOn w:val="1"/>
    <w:link w:val="7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81">
    <w:name w:val="正文文本 3 字符"/>
    <w:basedOn w:val="42"/>
    <w:link w:val="16"/>
    <w:autoRedefine/>
    <w:semiHidden/>
    <w:qFormat/>
    <w:uiPriority w:val="99"/>
    <w:rPr>
      <w:rFonts w:ascii="Times New Roman" w:hAnsi="Times New Roman" w:eastAsia="宋体" w:cs="Times New Roman"/>
      <w:kern w:val="0"/>
      <w:sz w:val="16"/>
      <w:szCs w:val="16"/>
    </w:rPr>
  </w:style>
  <w:style w:type="character" w:customStyle="1" w:styleId="82">
    <w:name w:val="fontstyle01"/>
    <w:basedOn w:val="42"/>
    <w:autoRedefine/>
    <w:qFormat/>
    <w:uiPriority w:val="0"/>
    <w:rPr>
      <w:rFonts w:hint="eastAsia" w:ascii="宋体" w:hAnsi="宋体" w:eastAsia="宋体"/>
      <w:color w:val="000000"/>
      <w:sz w:val="44"/>
      <w:szCs w:val="44"/>
    </w:rPr>
  </w:style>
  <w:style w:type="character" w:customStyle="1" w:styleId="83">
    <w:name w:val="fontstyle21"/>
    <w:basedOn w:val="42"/>
    <w:autoRedefine/>
    <w:qFormat/>
    <w:uiPriority w:val="0"/>
    <w:rPr>
      <w:rFonts w:hint="default" w:ascii="Wingdings-Regular" w:hAnsi="Wingdings-Regular"/>
      <w:color w:val="000000"/>
      <w:sz w:val="22"/>
      <w:szCs w:val="22"/>
    </w:rPr>
  </w:style>
  <w:style w:type="character" w:customStyle="1" w:styleId="84">
    <w:name w:val="正文文本缩进 2 字符"/>
    <w:basedOn w:val="42"/>
    <w:link w:val="24"/>
    <w:autoRedefine/>
    <w:qFormat/>
    <w:uiPriority w:val="99"/>
    <w:rPr>
      <w:rFonts w:ascii="Times New Roman" w:hAnsi="Times New Roman" w:eastAsia="宋体" w:cs="Times New Roman"/>
      <w:kern w:val="0"/>
      <w:szCs w:val="20"/>
    </w:rPr>
  </w:style>
  <w:style w:type="character" w:customStyle="1" w:styleId="85">
    <w:name w:val="Unresolved Mention"/>
    <w:basedOn w:val="42"/>
    <w:autoRedefine/>
    <w:semiHidden/>
    <w:unhideWhenUsed/>
    <w:qFormat/>
    <w:uiPriority w:val="99"/>
    <w:rPr>
      <w:color w:val="605E5C"/>
      <w:shd w:val="clear" w:color="auto" w:fill="E1DFDD"/>
    </w:rPr>
  </w:style>
  <w:style w:type="character" w:customStyle="1" w:styleId="86">
    <w:name w:val="日期 字符"/>
    <w:basedOn w:val="42"/>
    <w:link w:val="23"/>
    <w:autoRedefine/>
    <w:semiHidden/>
    <w:qFormat/>
    <w:uiPriority w:val="99"/>
    <w:rPr>
      <w:rFonts w:ascii="Times New Roman" w:hAnsi="Times New Roman" w:eastAsia="宋体" w:cs="Times New Roman"/>
      <w:kern w:val="0"/>
      <w:szCs w:val="20"/>
    </w:rPr>
  </w:style>
  <w:style w:type="character" w:customStyle="1" w:styleId="87">
    <w:name w:val="正文缩进 字符"/>
    <w:link w:val="14"/>
    <w:autoRedefine/>
    <w:qFormat/>
    <w:uiPriority w:val="0"/>
    <w:rPr>
      <w:rFonts w:ascii="宋体"/>
      <w:sz w:val="24"/>
    </w:rPr>
  </w:style>
  <w:style w:type="character" w:customStyle="1" w:styleId="88">
    <w:name w:val="正文文本 字符"/>
    <w:basedOn w:val="42"/>
    <w:link w:val="3"/>
    <w:autoRedefine/>
    <w:qFormat/>
    <w:uiPriority w:val="0"/>
    <w:rPr>
      <w:rFonts w:ascii="Times New Roman" w:hAnsi="Times New Roman" w:eastAsia="宋体" w:cs="Times New Roman"/>
      <w:kern w:val="0"/>
      <w:szCs w:val="20"/>
    </w:rPr>
  </w:style>
  <w:style w:type="paragraph" w:customStyle="1" w:styleId="8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WPSOffice手动目录 1"/>
    <w:autoRedefine/>
    <w:qFormat/>
    <w:uiPriority w:val="0"/>
    <w:rPr>
      <w:rFonts w:ascii="Times New Roman" w:hAnsi="Times New Roman" w:eastAsia="宋体" w:cs="Times New Roman"/>
      <w:lang w:val="en-US" w:eastAsia="zh-CN" w:bidi="ar-SA"/>
    </w:rPr>
  </w:style>
  <w:style w:type="paragraph" w:customStyle="1" w:styleId="9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4">
    <w:name w:val="正文首行缩进 2 字符"/>
    <w:basedOn w:val="71"/>
    <w:link w:val="39"/>
    <w:autoRedefine/>
    <w:qFormat/>
    <w:uiPriority w:val="0"/>
    <w:rPr>
      <w:rFonts w:ascii="Times New Roman" w:hAnsi="Times New Roman" w:eastAsia="宋体" w:cs="Times New Roman"/>
      <w:kern w:val="0"/>
      <w:sz w:val="20"/>
      <w:szCs w:val="24"/>
      <w:lang w:bidi="he-IL"/>
    </w:rPr>
  </w:style>
  <w:style w:type="character" w:customStyle="1" w:styleId="95">
    <w:name w:val="正文首行缩进 字符"/>
    <w:basedOn w:val="88"/>
    <w:link w:val="2"/>
    <w:autoRedefine/>
    <w:semiHidden/>
    <w:qFormat/>
    <w:uiPriority w:val="99"/>
    <w:rPr>
      <w:rFonts w:ascii="Times New Roman" w:hAnsi="Times New Roman" w:eastAsia="宋体" w:cs="Times New Roman"/>
      <w:kern w:val="0"/>
      <w:szCs w:val="20"/>
    </w:rPr>
  </w:style>
  <w:style w:type="paragraph" w:customStyle="1" w:styleId="9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10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2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5">
    <w:name w:val="批注文字 字符"/>
    <w:basedOn w:val="42"/>
    <w:link w:val="15"/>
    <w:autoRedefine/>
    <w:qFormat/>
    <w:uiPriority w:val="0"/>
    <w:rPr>
      <w:rFonts w:ascii="Times New Roman" w:hAnsi="Times New Roman" w:eastAsia="宋体" w:cs="Times New Roman"/>
      <w:kern w:val="0"/>
      <w:sz w:val="20"/>
      <w:szCs w:val="20"/>
    </w:rPr>
  </w:style>
  <w:style w:type="character" w:customStyle="1" w:styleId="126">
    <w:name w:val="纯文本 字符"/>
    <w:basedOn w:val="42"/>
    <w:link w:val="21"/>
    <w:autoRedefine/>
    <w:qFormat/>
    <w:uiPriority w:val="0"/>
    <w:rPr>
      <w:rFonts w:ascii="宋体" w:hAnsi="Courier New" w:eastAsia="宋体" w:cs="Times New Roman"/>
      <w:kern w:val="0"/>
      <w:szCs w:val="20"/>
    </w:rPr>
  </w:style>
  <w:style w:type="character" w:customStyle="1" w:styleId="127">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28">
    <w:name w:val="font41"/>
    <w:basedOn w:val="42"/>
    <w:autoRedefine/>
    <w:qFormat/>
    <w:uiPriority w:val="0"/>
    <w:rPr>
      <w:rFonts w:hint="eastAsia" w:ascii="黑体" w:eastAsia="黑体" w:cs="黑体"/>
      <w:color w:val="000000"/>
      <w:sz w:val="18"/>
      <w:szCs w:val="18"/>
      <w:u w:val="none"/>
    </w:rPr>
  </w:style>
  <w:style w:type="character" w:customStyle="1" w:styleId="129">
    <w:name w:val="font31"/>
    <w:basedOn w:val="42"/>
    <w:autoRedefine/>
    <w:qFormat/>
    <w:uiPriority w:val="0"/>
    <w:rPr>
      <w:rFonts w:hint="eastAsia" w:ascii="宋体" w:hAnsi="宋体" w:eastAsia="宋体" w:cs="宋体"/>
      <w:color w:val="000000"/>
      <w:sz w:val="18"/>
      <w:szCs w:val="18"/>
      <w:u w:val="none"/>
    </w:rPr>
  </w:style>
  <w:style w:type="character" w:customStyle="1" w:styleId="130">
    <w:name w:val="NormalCharacter"/>
    <w:autoRedefine/>
    <w:semiHidden/>
    <w:qFormat/>
    <w:uiPriority w:val="0"/>
    <w:rPr>
      <w:rFonts w:ascii="Calibri" w:hAnsi="Calibri" w:cs="新宋体"/>
      <w:b/>
      <w:bCs/>
      <w:kern w:val="2"/>
      <w:sz w:val="28"/>
      <w:szCs w:val="36"/>
      <w:lang w:val="en-US" w:eastAsia="zh-CN" w:bidi="ar-SA"/>
    </w:rPr>
  </w:style>
  <w:style w:type="character" w:customStyle="1" w:styleId="131">
    <w:name w:val="font11"/>
    <w:basedOn w:val="42"/>
    <w:autoRedefine/>
    <w:qFormat/>
    <w:uiPriority w:val="0"/>
    <w:rPr>
      <w:rFonts w:hint="eastAsia" w:ascii="宋体" w:hAnsi="宋体" w:eastAsia="宋体"/>
      <w:b/>
      <w:color w:val="000000"/>
      <w:kern w:val="2"/>
      <w:sz w:val="18"/>
      <w:u w:val="none"/>
    </w:rPr>
  </w:style>
  <w:style w:type="paragraph" w:customStyle="1" w:styleId="132">
    <w:name w:val="模板普通正文"/>
    <w:basedOn w:val="17"/>
    <w:autoRedefine/>
    <w:qFormat/>
    <w:uiPriority w:val="0"/>
    <w:pPr>
      <w:adjustRightInd/>
      <w:spacing w:beforeLines="50" w:after="10" w:line="240" w:lineRule="auto"/>
      <w:ind w:left="0" w:firstLine="490" w:firstLineChars="175"/>
    </w:pPr>
    <w:rPr>
      <w:kern w:val="2"/>
      <w:lang w:bidi="ar-SA"/>
    </w:rPr>
  </w:style>
  <w:style w:type="paragraph" w:customStyle="1" w:styleId="13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5">
    <w:name w:val="无间隔1"/>
    <w:autoRedefine/>
    <w:qFormat/>
    <w:uiPriority w:val="1"/>
    <w:rPr>
      <w:rFonts w:ascii="Calibri" w:hAnsi="Calibri" w:eastAsia="宋体" w:cs="黑体"/>
      <w:sz w:val="22"/>
      <w:szCs w:val="22"/>
      <w:lang w:val="en-US" w:eastAsia="zh-CN" w:bidi="ar-SA"/>
    </w:rPr>
  </w:style>
  <w:style w:type="character" w:customStyle="1" w:styleId="136">
    <w:name w:val="正文文本缩进 3 字符"/>
    <w:basedOn w:val="42"/>
    <w:link w:val="32"/>
    <w:autoRedefine/>
    <w:semiHidden/>
    <w:qFormat/>
    <w:uiPriority w:val="99"/>
    <w:rPr>
      <w:rFonts w:ascii="Times New Roman" w:hAnsi="Times New Roman" w:eastAsia="宋体" w:cs="Times New Roman"/>
      <w:kern w:val="0"/>
      <w:sz w:val="16"/>
      <w:szCs w:val="16"/>
    </w:rPr>
  </w:style>
  <w:style w:type="paragraph" w:customStyle="1" w:styleId="137">
    <w:name w:val="文本"/>
    <w:basedOn w:val="1"/>
    <w:link w:val="13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8">
    <w:name w:val="文本 Char"/>
    <w:link w:val="137"/>
    <w:autoRedefine/>
    <w:qFormat/>
    <w:uiPriority w:val="0"/>
    <w:rPr>
      <w:rFonts w:ascii="仿宋_GB2312" w:hAnsi="Times New Roman" w:eastAsia="仿宋_GB2312" w:cs="Times New Roman"/>
      <w:sz w:val="24"/>
      <w:szCs w:val="24"/>
    </w:rPr>
  </w:style>
  <w:style w:type="paragraph" w:customStyle="1" w:styleId="13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4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41">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2">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3">
    <w:name w:val="纯文本1"/>
    <w:basedOn w:val="1"/>
    <w:autoRedefine/>
    <w:qFormat/>
    <w:uiPriority w:val="0"/>
    <w:pPr>
      <w:adjustRightInd w:val="0"/>
      <w:textAlignment w:val="baseline"/>
    </w:pPr>
    <w:rPr>
      <w:rFonts w:ascii="宋体" w:hAnsi="宋体" w:eastAsia="楷体_GB2312" w:cs="宋体"/>
      <w:sz w:val="28"/>
    </w:rPr>
  </w:style>
  <w:style w:type="paragraph" w:customStyle="1" w:styleId="144">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46">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47">
    <w:name w:val="列出段落1"/>
    <w:basedOn w:val="1"/>
    <w:autoRedefine/>
    <w:qFormat/>
    <w:uiPriority w:val="0"/>
    <w:pPr>
      <w:ind w:firstLine="420" w:firstLineChars="200"/>
    </w:pPr>
    <w:rPr>
      <w:szCs w:val="21"/>
    </w:rPr>
  </w:style>
  <w:style w:type="character" w:customStyle="1" w:styleId="148">
    <w:name w:val="font21"/>
    <w:basedOn w:val="42"/>
    <w:qFormat/>
    <w:uiPriority w:val="0"/>
    <w:rPr>
      <w:rFonts w:hint="eastAsia" w:ascii="微软雅黑" w:hAnsi="微软雅黑" w:eastAsia="微软雅黑" w:cs="微软雅黑"/>
      <w:b/>
      <w:bCs/>
      <w:color w:val="000000"/>
      <w:sz w:val="20"/>
      <w:szCs w:val="20"/>
      <w:u w:val="none"/>
    </w:rPr>
  </w:style>
  <w:style w:type="character" w:customStyle="1" w:styleId="149">
    <w:name w:val="font61"/>
    <w:basedOn w:val="42"/>
    <w:qFormat/>
    <w:uiPriority w:val="0"/>
    <w:rPr>
      <w:rFonts w:hint="eastAsia" w:ascii="宋体" w:hAnsi="宋体" w:eastAsia="宋体" w:cs="宋体"/>
      <w:color w:val="000000"/>
      <w:sz w:val="20"/>
      <w:szCs w:val="20"/>
      <w:u w:val="none"/>
    </w:rPr>
  </w:style>
  <w:style w:type="character" w:customStyle="1" w:styleId="150">
    <w:name w:val="first-child"/>
    <w:basedOn w:val="42"/>
    <w:qFormat/>
    <w:uiPriority w:val="0"/>
  </w:style>
  <w:style w:type="character" w:customStyle="1" w:styleId="151">
    <w:name w:val="layui-layer-tabnow"/>
    <w:basedOn w:val="42"/>
    <w:qFormat/>
    <w:uiPriority w:val="0"/>
    <w:rPr>
      <w:bdr w:val="single" w:color="CCCCCC" w:sz="6" w:space="0"/>
      <w:shd w:val="clear" w:fill="FFFFFF"/>
    </w:rPr>
  </w:style>
  <w:style w:type="character" w:customStyle="1" w:styleId="152">
    <w:name w:val="font01"/>
    <w:basedOn w:val="4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39</Pages>
  <Words>84</Words>
  <Characters>101</Characters>
  <Lines>29</Lines>
  <Paragraphs>8</Paragraphs>
  <TotalTime>4</TotalTime>
  <ScaleCrop>false</ScaleCrop>
  <LinksUpToDate>false</LinksUpToDate>
  <CharactersWithSpaces>143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2026-10-26T08:17:27Z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6B1271A90DC44E5692022E1AF763A9F4_13</vt:lpwstr>
  </property>
  <property fmtid="{D5CDD505-2E9C-101B-9397-08002B2CF9AE}" pid="4" name="KSOTemplateDocerSaveRecord">
    <vt:lpwstr>eyJoZGlkIjoiNDFjNjc4MzM2NGNhOTY1ZjQ2ZmNmMWE4MmVlYzQxYjkiLCJ1c2VySWQiOiIzMDI1ODcyMjYifQ==</vt:lpwstr>
  </property>
</Properties>
</file>