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24536921">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桐城师范高等专科学校审计实务平台</w:t>
      </w:r>
    </w:p>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采购项目</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027</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bookmarkStart w:id="1" w:name="_Toc21464"/>
      <w:bookmarkStart w:id="2" w:name="_Toc23467"/>
      <w:bookmarkStart w:id="3" w:name="_Toc54941328"/>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5</w:t>
      </w:r>
    </w:p>
    <w:p w14:paraId="7143EA37">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8</w:t>
      </w:r>
    </w:p>
    <w:p w14:paraId="1B92A2FD">
      <w:pPr>
        <w:pStyle w:val="28"/>
        <w:tabs>
          <w:tab w:val="right" w:leader="dot" w:pos="9070"/>
        </w:tabs>
        <w:spacing w:line="360" w:lineRule="auto"/>
        <w:rPr>
          <w:rFonts w:hint="default"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33</w:t>
      </w:r>
    </w:p>
    <w:p w14:paraId="78B5310B">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.4</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3353468B">
      <w:pPr>
        <w:pStyle w:val="19"/>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2"/>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6" w:name="_Toc35393798"/>
      <w:bookmarkStart w:id="7" w:name="_Toc35393629"/>
      <w:bookmarkStart w:id="8" w:name="_Toc28359089"/>
      <w:bookmarkStart w:id="9" w:name="_Toc28359012"/>
      <w:bookmarkStart w:id="10" w:name="OLE_LINK7"/>
      <w:bookmarkStart w:id="11" w:name="OLE_LINK1"/>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TCSZCG(2026)027号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桐城师范高等专科学校审计实务平台采购项目</w:t>
      </w:r>
    </w:p>
    <w:p w14:paraId="1FE109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168000.00元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桐城师范高等专科学校审计实务平台采购项目，详见采购需求。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5.合同履行期限：</w:t>
      </w:r>
      <w:r>
        <w:rPr>
          <w:rFonts w:hint="eastAsia" w:asciiTheme="minorEastAsia" w:hAnsiTheme="minorEastAsia" w:eastAsiaTheme="minorEastAsia" w:cstheme="minorEastAsia"/>
          <w:color w:val="auto"/>
          <w:sz w:val="28"/>
          <w:szCs w:val="28"/>
          <w:highlight w:val="none"/>
          <w:u w:val="single"/>
          <w:lang w:val="en-US" w:eastAsia="zh-CN"/>
        </w:rPr>
        <w:t>合同签订后15日历天。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6.本项目不接受联合体。</w:t>
      </w:r>
    </w:p>
    <w:p w14:paraId="485E3833">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12" w:name="_Toc35393630"/>
      <w:bookmarkStart w:id="13" w:name="_Toc28359090"/>
      <w:bookmarkStart w:id="14" w:name="_Toc35393799"/>
      <w:bookmarkStart w:id="15" w:name="_Toc28359013"/>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28359014"/>
      <w:bookmarkStart w:id="17" w:name="_Toc28359091"/>
      <w:bookmarkStart w:id="18" w:name="_Toc35393631"/>
      <w:bookmarkStart w:id="19" w:name="_Toc35393800"/>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6</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20" w:name="_Toc28359015"/>
      <w:bookmarkStart w:id="21" w:name="_Toc35393632"/>
      <w:bookmarkStart w:id="22" w:name="_Toc28359092"/>
      <w:bookmarkStart w:id="23" w:name="_Toc35393801"/>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28359016"/>
      <w:bookmarkStart w:id="25" w:name="_Toc28359093"/>
      <w:bookmarkStart w:id="26" w:name="_Toc35393633"/>
      <w:bookmarkStart w:id="27" w:name="_Toc35393802"/>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6</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纸质响应文件提交至桐城市民营经济开发区朝阳玉雕城A-15</w:t>
      </w:r>
    </w:p>
    <w:p w14:paraId="281FBBEC">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28359094"/>
      <w:bookmarkStart w:id="29" w:name="_Toc35393803"/>
      <w:bookmarkStart w:id="30" w:name="_Toc35393634"/>
      <w:bookmarkStart w:id="31"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6</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桐城市民营经济开发区朝阳玉雕城A-15</w:t>
      </w:r>
    </w:p>
    <w:p w14:paraId="10F4E9FE">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32" w:name="_Toc35393804"/>
      <w:bookmarkStart w:id="33" w:name="_Toc35393635"/>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 xml:space="preserve"> 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联系人：葛老师     联系方式：15105565253</w:t>
      </w:r>
    </w:p>
    <w:p w14:paraId="61285A9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名称：安徽文都招标代理咨询有限公司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地址：桐城市民营经济开发区朝阳玉雕城A-15</w:t>
      </w:r>
    </w:p>
    <w:p w14:paraId="68C2F8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联系人：叶女士         联系方式：0556-6567777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4"/>
    <w:p w14:paraId="417B9442">
      <w:pPr>
        <w:pStyle w:val="2"/>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11266"/>
      <w:bookmarkStart w:id="35" w:name="_Toc54941329"/>
      <w:bookmarkStart w:id="36" w:name="_Toc26069"/>
      <w:bookmarkStart w:id="37" w:name="_Toc439316872"/>
      <w:bookmarkStart w:id="38" w:name="_Toc54941331"/>
      <w:bookmarkStart w:id="39" w:name="_Toc2521"/>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8122"/>
      <w:bookmarkStart w:id="41" w:name="_Toc2575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z w:val="24"/>
                <w:szCs w:val="22"/>
                <w:u w:val="single"/>
                <w:lang w:val="en-US" w:eastAsia="zh-CN"/>
              </w:rPr>
              <w:t>2026年11月6日09时00分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3"/>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15"/>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7325"/>
      <w:bookmarkStart w:id="43" w:name="_Toc15055"/>
      <w:bookmarkStart w:id="44" w:name="_Toc439316919"/>
      <w:bookmarkStart w:id="45" w:name="_Toc25270"/>
      <w:bookmarkStart w:id="46" w:name="_Toc21078"/>
      <w:bookmarkStart w:id="47" w:name="_Toc439316873"/>
      <w:bookmarkStart w:id="48" w:name="_Toc10523"/>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p w14:paraId="70633890">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bCs/>
          <w:color w:val="auto"/>
          <w:sz w:val="24"/>
          <w:szCs w:val="24"/>
          <w:highlight w:val="none"/>
          <w:lang w:val="zh-CN"/>
        </w:rPr>
      </w:pPr>
    </w:p>
    <w:bookmarkEnd w:id="42"/>
    <w:bookmarkEnd w:id="43"/>
    <w:bookmarkEnd w:id="44"/>
    <w:bookmarkEnd w:id="45"/>
    <w:bookmarkEnd w:id="46"/>
    <w:bookmarkEnd w:id="47"/>
    <w:bookmarkEnd w:id="48"/>
    <w:p w14:paraId="1C9EA266">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w:t>
            </w:r>
            <w:r>
              <w:rPr>
                <w:rFonts w:hint="eastAsia" w:ascii="宋体" w:hAnsi="宋体"/>
                <w:b w:val="0"/>
                <w:color w:val="auto"/>
                <w:sz w:val="24"/>
                <w:highlight w:val="none"/>
                <w:u w:val="none"/>
                <w:lang w:val="en-US" w:eastAsia="zh-CN"/>
              </w:rPr>
              <w:t>一次性</w:t>
            </w:r>
            <w:r>
              <w:rPr>
                <w:rFonts w:hint="eastAsia" w:ascii="宋体" w:hAnsi="宋体" w:eastAsia="宋体"/>
                <w:b w:val="0"/>
                <w:color w:val="auto"/>
                <w:sz w:val="24"/>
                <w:highlight w:val="none"/>
                <w:u w:val="none"/>
              </w:rPr>
              <w:t>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w:t>
            </w:r>
            <w:r>
              <w:rPr>
                <w:rFonts w:hint="eastAsia" w:ascii="宋体" w:hAnsi="宋体"/>
                <w:b w:val="0"/>
                <w:color w:val="auto"/>
                <w:sz w:val="24"/>
                <w:highlight w:val="none"/>
                <w:lang w:val="en-US" w:eastAsia="zh-CN"/>
              </w:rPr>
              <w:t>15</w:t>
            </w:r>
            <w:r>
              <w:rPr>
                <w:rFonts w:hint="default" w:ascii="宋体" w:hAnsi="宋体" w:eastAsia="宋体"/>
                <w:b w:val="0"/>
                <w:color w:val="auto"/>
                <w:sz w:val="24"/>
                <w:highlight w:val="none"/>
                <w:lang w:val="en-US" w:eastAsia="zh-CN"/>
              </w:rPr>
              <w:t>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441C439F">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w:t>
            </w:r>
            <w:r>
              <w:rPr>
                <w:rFonts w:hint="eastAsia" w:ascii="宋体" w:hAnsi="宋体"/>
                <w:b w:val="0"/>
                <w:color w:val="auto"/>
                <w:sz w:val="24"/>
                <w:highlight w:val="none"/>
                <w:lang w:val="en-US" w:eastAsia="zh-CN"/>
              </w:rPr>
              <w:t>服务</w:t>
            </w:r>
            <w:r>
              <w:rPr>
                <w:rFonts w:hint="eastAsia" w:ascii="宋体" w:hAnsi="宋体" w:eastAsia="宋体"/>
                <w:b w:val="0"/>
                <w:color w:val="auto"/>
                <w:sz w:val="24"/>
                <w:highlight w:val="none"/>
              </w:rPr>
              <w:t>期</w:t>
            </w:r>
          </w:p>
        </w:tc>
        <w:tc>
          <w:tcPr>
            <w:tcW w:w="3217"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5年</w:t>
            </w:r>
          </w:p>
        </w:tc>
      </w:tr>
    </w:tbl>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p w14:paraId="39D64126">
      <w:pPr>
        <w:rPr>
          <w:rFonts w:hint="eastAsia" w:ascii="宋体" w:hAnsi="宋体" w:eastAsia="宋体" w:cs="宋体"/>
          <w:b/>
          <w:bCs/>
          <w:sz w:val="24"/>
        </w:rPr>
      </w:pPr>
      <w:r>
        <w:rPr>
          <w:rFonts w:hint="eastAsia" w:ascii="宋体" w:hAnsi="宋体" w:eastAsia="宋体" w:cs="宋体"/>
          <w:b/>
          <w:bCs/>
          <w:sz w:val="24"/>
        </w:rPr>
        <w:t>（一）技术参数</w:t>
      </w:r>
    </w:p>
    <w:p w14:paraId="06BA5BAA">
      <w:pPr>
        <w:rPr>
          <w:rFonts w:hint="eastAsia" w:ascii="宋体" w:hAnsi="宋体" w:eastAsia="宋体" w:cs="宋体"/>
          <w:sz w:val="24"/>
        </w:rPr>
      </w:pPr>
      <w:r>
        <w:rPr>
          <w:rFonts w:hint="eastAsia" w:ascii="宋体" w:hAnsi="宋体" w:eastAsia="宋体" w:cs="宋体"/>
          <w:sz w:val="24"/>
        </w:rPr>
        <w:t>1. 软件本地化部署。如师生有需求，可额外免费提供在线云服务平台；</w:t>
      </w:r>
    </w:p>
    <w:p w14:paraId="2FBAA7D1">
      <w:pPr>
        <w:rPr>
          <w:rFonts w:hint="eastAsia" w:ascii="宋体" w:hAnsi="宋体" w:eastAsia="宋体" w:cs="宋体"/>
          <w:sz w:val="24"/>
        </w:rPr>
      </w:pPr>
      <w:r>
        <w:rPr>
          <w:rFonts w:hint="eastAsia" w:ascii="宋体" w:hAnsi="宋体" w:eastAsia="宋体" w:cs="宋体"/>
          <w:sz w:val="24"/>
        </w:rPr>
        <w:t>1.1 软件采用B/S架构；</w:t>
      </w:r>
    </w:p>
    <w:p w14:paraId="44B088BC">
      <w:pPr>
        <w:rPr>
          <w:rFonts w:hint="eastAsia" w:ascii="宋体" w:hAnsi="宋体" w:eastAsia="宋体" w:cs="宋体"/>
          <w:sz w:val="24"/>
        </w:rPr>
      </w:pPr>
      <w:r>
        <w:rPr>
          <w:rFonts w:hint="eastAsia" w:ascii="宋体" w:hAnsi="宋体" w:eastAsia="宋体" w:cs="宋体"/>
          <w:sz w:val="24"/>
        </w:rPr>
        <w:t>1.2 拥有自主知识产权的产品，确保客户在使用系统服务的过程中不会产生侵权的风险；</w:t>
      </w:r>
    </w:p>
    <w:p w14:paraId="2B4249F4">
      <w:pPr>
        <w:rPr>
          <w:rFonts w:hint="eastAsia" w:ascii="宋体" w:hAnsi="宋体" w:eastAsia="宋体" w:cs="宋体"/>
          <w:sz w:val="24"/>
        </w:rPr>
      </w:pPr>
      <w:r>
        <w:rPr>
          <w:rFonts w:hint="eastAsia" w:ascii="宋体" w:hAnsi="宋体" w:eastAsia="宋体" w:cs="宋体"/>
          <w:sz w:val="24"/>
        </w:rPr>
        <w:t>2. 内嵌电算化云平台，支持审计人员身份登录，便捷查看企业电子账务与凭证信息，具体功能如下：</w:t>
      </w:r>
    </w:p>
    <w:p w14:paraId="00A79732">
      <w:pPr>
        <w:rPr>
          <w:rFonts w:hint="eastAsia" w:ascii="宋体" w:hAnsi="宋体" w:eastAsia="宋体" w:cs="宋体"/>
          <w:sz w:val="24"/>
        </w:rPr>
      </w:pPr>
      <w:r>
        <w:rPr>
          <w:rFonts w:hint="eastAsia" w:ascii="宋体" w:hAnsi="宋体" w:eastAsia="宋体" w:cs="宋体"/>
          <w:sz w:val="24"/>
        </w:rPr>
        <w:t>2.1 基础设置：提供账套管理、会计科目、币别、辅助核算、科目期初等基础账务信息；</w:t>
      </w:r>
    </w:p>
    <w:p w14:paraId="6BA150DD">
      <w:pPr>
        <w:rPr>
          <w:rFonts w:hint="eastAsia" w:ascii="宋体" w:hAnsi="宋体" w:eastAsia="宋体" w:cs="宋体"/>
          <w:sz w:val="24"/>
        </w:rPr>
      </w:pPr>
      <w:r>
        <w:rPr>
          <w:rFonts w:hint="eastAsia" w:ascii="宋体" w:hAnsi="宋体" w:eastAsia="宋体" w:cs="宋体"/>
          <w:sz w:val="24"/>
        </w:rPr>
        <w:t>2.2 凭证列表：提供完整凭证列表，可按账期、凭证号、会计科目等维度筛选查看，支持查看凭证号、凭证日期、摘要、会计科目、借贷方金额、制单人、审核人等信息，并可直接调阅附件影像资料，还原业务全貌；</w:t>
      </w:r>
    </w:p>
    <w:p w14:paraId="29122626">
      <w:pPr>
        <w:rPr>
          <w:rFonts w:hint="eastAsia" w:ascii="宋体" w:hAnsi="宋体" w:eastAsia="宋体" w:cs="宋体"/>
          <w:sz w:val="24"/>
        </w:rPr>
      </w:pPr>
      <w:r>
        <w:rPr>
          <w:rFonts w:hint="eastAsia" w:ascii="宋体" w:hAnsi="宋体" w:eastAsia="宋体" w:cs="宋体"/>
          <w:sz w:val="24"/>
        </w:rPr>
        <w:t>2.3 会计账簿：支持总账、明细账、数量金额明细账、科目余额表等账簿的在线查询，可按科目、期间、辅助核算维度联动穿透，快速追溯账证关联数据，满足审计实务中账表核对、科目核查的需求；</w:t>
      </w:r>
    </w:p>
    <w:p w14:paraId="066D7C0A">
      <w:pPr>
        <w:rPr>
          <w:rFonts w:hint="eastAsia" w:ascii="宋体" w:hAnsi="宋体" w:eastAsia="宋体" w:cs="宋体"/>
          <w:sz w:val="24"/>
        </w:rPr>
      </w:pPr>
      <w:r>
        <w:rPr>
          <w:rFonts w:hint="eastAsia" w:ascii="宋体" w:hAnsi="宋体" w:eastAsia="宋体" w:cs="宋体"/>
          <w:sz w:val="24"/>
        </w:rPr>
        <w:t>3. 学习中心：包含审计准则、审计微课、审计底稿等内容；</w:t>
      </w:r>
    </w:p>
    <w:p w14:paraId="16221D27">
      <w:pPr>
        <w:rPr>
          <w:rFonts w:hint="eastAsia" w:ascii="宋体" w:hAnsi="宋体" w:eastAsia="宋体" w:cs="宋体"/>
          <w:sz w:val="24"/>
        </w:rPr>
      </w:pPr>
      <w:r>
        <w:rPr>
          <w:rFonts w:hint="eastAsia" w:ascii="宋体" w:hAnsi="宋体" w:eastAsia="宋体" w:cs="宋体"/>
          <w:sz w:val="24"/>
        </w:rPr>
        <w:t>4. 管理端：</w:t>
      </w:r>
    </w:p>
    <w:p w14:paraId="18DC4BF4">
      <w:pPr>
        <w:rPr>
          <w:rFonts w:hint="eastAsia" w:ascii="宋体" w:hAnsi="宋体" w:eastAsia="宋体" w:cs="宋体"/>
          <w:sz w:val="24"/>
        </w:rPr>
      </w:pPr>
      <w:r>
        <w:rPr>
          <w:rFonts w:hint="eastAsia" w:ascii="宋体" w:hAnsi="宋体" w:eastAsia="宋体" w:cs="宋体"/>
          <w:sz w:val="24"/>
        </w:rPr>
        <w:t>4.1 教师管理功能：提供新增、修改和删除教师账号功能，可进行批量新增、批量授权、批量延期等批量操作；提供控制教师账号权限管理，包括课程管理、试卷管理、竞赛试卷管理等权限；提供修改教师账号角色的功能；提供设置教师账号状态功能，状态包括有效、过期、锁定；提供设置教师账号到期时间功能，可选定一个具体的时间点（年月日）；</w:t>
      </w:r>
    </w:p>
    <w:p w14:paraId="5A664338">
      <w:pPr>
        <w:rPr>
          <w:rFonts w:hint="eastAsia" w:ascii="宋体" w:hAnsi="宋体" w:eastAsia="宋体" w:cs="宋体"/>
          <w:sz w:val="24"/>
        </w:rPr>
      </w:pPr>
      <w:r>
        <w:rPr>
          <w:rFonts w:hint="eastAsia" w:ascii="宋体" w:hAnsi="宋体" w:eastAsia="宋体" w:cs="宋体"/>
          <w:sz w:val="24"/>
        </w:rPr>
        <w:t>4.2 行政班级功能：提供新增、修改、删除和查找行政班的功能，支持行政班单个学生账号增加，也支持批量添加学生账号和Excel文件导入学生账号；提供根据用户名或者状态对学生信息进行增删改查功能，支持给学生设置有效、锁定、过期等多个状态，支持设置学生账号有效期（年月日）；提供行政班级教师授权功能，可授权其他教师以选择行政班级中的学生开展教学班授课；</w:t>
      </w:r>
    </w:p>
    <w:p w14:paraId="0E093A9C">
      <w:pPr>
        <w:rPr>
          <w:rFonts w:hint="eastAsia" w:ascii="宋体" w:hAnsi="宋体" w:eastAsia="宋体" w:cs="宋体"/>
          <w:sz w:val="24"/>
        </w:rPr>
      </w:pPr>
      <w:r>
        <w:rPr>
          <w:rFonts w:hint="eastAsia" w:ascii="宋体" w:hAnsi="宋体" w:eastAsia="宋体" w:cs="宋体"/>
          <w:sz w:val="24"/>
        </w:rPr>
        <w:t>4.3 教学班级功能：提供新增、修改、删除和查找教学班级的功能；支持设置课程和带班老师；提供学生管理、教学管理、考试管理和统计分析功能；</w:t>
      </w:r>
    </w:p>
    <w:p w14:paraId="3299C2DC">
      <w:pPr>
        <w:rPr>
          <w:rFonts w:hint="eastAsia" w:ascii="宋体" w:hAnsi="宋体" w:eastAsia="宋体" w:cs="宋体"/>
          <w:sz w:val="24"/>
        </w:rPr>
      </w:pPr>
      <w:r>
        <w:rPr>
          <w:rFonts w:hint="eastAsia" w:ascii="宋体" w:hAnsi="宋体" w:eastAsia="宋体" w:cs="宋体"/>
          <w:sz w:val="24"/>
        </w:rPr>
        <w:t>4.3.1 学生管理功能：提供新增、查询、移除学生等功能，提供批量移除功能；</w:t>
      </w:r>
    </w:p>
    <w:p w14:paraId="3B62B31E">
      <w:pPr>
        <w:rPr>
          <w:rFonts w:hint="eastAsia" w:ascii="宋体" w:hAnsi="宋体" w:eastAsia="宋体" w:cs="宋体"/>
          <w:sz w:val="24"/>
        </w:rPr>
      </w:pPr>
      <w:r>
        <w:rPr>
          <w:rFonts w:hint="eastAsia" w:ascii="宋体" w:hAnsi="宋体" w:eastAsia="宋体" w:cs="宋体"/>
          <w:sz w:val="24"/>
        </w:rPr>
        <w:t>4.3.2 教学管理功能：提供成绩总览、章节明细、进度控制、签到管理等功能；提供搜索查询学生、导出学生成绩功能，支持详细查看学生各个章节完成情况、学习进度和分数，支持详细查看和导出学生学习报告；支持锁定、隐藏章节节点，支持隐藏题目答案和答题结果（勾选后，学生无法查看题目答案和答题结果），也支持隐藏题目答案但显示答题结果（勾选后，学生无法查看题目答案，但可以查看答题结果）；提供新增、搜索签到活动，支持设置签到开始时间和结束时间，可跟踪学生签到状态及具体签到时间，支持修改学生签到状态（正常、缺勤、迟到、早退、事假、病假）；</w:t>
      </w:r>
    </w:p>
    <w:p w14:paraId="7852AD63">
      <w:pPr>
        <w:rPr>
          <w:rFonts w:hint="eastAsia" w:ascii="宋体" w:hAnsi="宋体" w:eastAsia="宋体" w:cs="宋体"/>
          <w:sz w:val="24"/>
        </w:rPr>
      </w:pPr>
      <w:r>
        <w:rPr>
          <w:rFonts w:hint="eastAsia" w:ascii="宋体" w:hAnsi="宋体" w:eastAsia="宋体" w:cs="宋体"/>
          <w:sz w:val="24"/>
        </w:rPr>
        <w:t>4.3.3 考试管理功能：提供新增考试功能，可设置考试名称、试卷选择、考试时间、成绩查看权限（无法查看、交卷后可看、结束后可看）、学生范围（全部学生、指定学生）、发布状态和考试描述；支持直接查看学生成绩（交卷状态、总分）、导出成绩、生成和下载班级考试总报告，支持查看和导出学生单人报告，可重置交卷；</w:t>
      </w:r>
    </w:p>
    <w:p w14:paraId="60A20F80">
      <w:pPr>
        <w:rPr>
          <w:rFonts w:hint="eastAsia" w:ascii="宋体" w:hAnsi="宋体" w:eastAsia="宋体" w:cs="宋体"/>
          <w:sz w:val="24"/>
        </w:rPr>
      </w:pPr>
      <w:r>
        <w:rPr>
          <w:rFonts w:hint="eastAsia" w:ascii="宋体" w:hAnsi="宋体" w:eastAsia="宋体" w:cs="宋体"/>
          <w:sz w:val="24"/>
        </w:rPr>
        <w:t>4.3.4 成绩报告：支持生成班级所有学生的某个课程章节模块或某次考试的成绩报告，生成时具有进度条显示生成进度，生成完毕时进度条变成下载按钮，支持下载报告为PDF文档，支持单独查看每位学生的成绩报告及单独下载某位学生的成绩报告；（需提供盖有CMA（中国计量认证）或CNAS（中国合格评定国家认可委员会认证）标志的软件测试报告复印件加盖投标人公章予以佐证，测试报告须完整体现以上功能参数，未能完整体现或未提供不得分）</w:t>
      </w:r>
    </w:p>
    <w:p w14:paraId="34AAF3CD">
      <w:pPr>
        <w:rPr>
          <w:rFonts w:hint="eastAsia" w:ascii="宋体" w:hAnsi="宋体" w:eastAsia="宋体" w:cs="宋体"/>
          <w:sz w:val="24"/>
        </w:rPr>
      </w:pPr>
      <w:r>
        <w:rPr>
          <w:rFonts w:hint="eastAsia" w:ascii="宋体" w:hAnsi="宋体" w:eastAsia="宋体" w:cs="宋体"/>
          <w:sz w:val="24"/>
        </w:rPr>
        <w:t>4.3.5 统计分析：支持查看学生课程模块得分率统计图，统计图以条状图形式呈现，并支持按项目-模块-题型-题目多级查看，支持以不同的颜色显示不同的得分率区间，支持选择图例以单独显示某些指标信息；（需提供盖有CMA（中国计量认证）或CNAS（中国合格评定国家认可委员会认证）标志的软件测试报告复印件加盖投标人公章予以佐证，测试报告须完整体现以上功能参数，未能完整体现或未提供不得分）</w:t>
      </w:r>
    </w:p>
    <w:p w14:paraId="316ED0C1">
      <w:pPr>
        <w:rPr>
          <w:rFonts w:hint="eastAsia" w:ascii="宋体" w:hAnsi="宋体" w:eastAsia="宋体" w:cs="宋体"/>
          <w:sz w:val="24"/>
        </w:rPr>
      </w:pPr>
      <w:r>
        <w:rPr>
          <w:rFonts w:hint="eastAsia" w:ascii="宋体" w:hAnsi="宋体" w:eastAsia="宋体" w:cs="宋体"/>
          <w:sz w:val="24"/>
        </w:rPr>
        <w:t>4.3.6 在线时长：支持查看学生的在线学习时间统计，包含首次登录时间、最后登录时间、在线总时长、今日在线时长、上次在线时长和在线状态等，并支持通过图表展示在线时长统计情况，图表以线形图形式呈现学生的在线总时长、今日在线时长、上次在线时长的信息，支持按不同维度排序，支持选择图例以单独显示某些指标信息，支持下载图表；（需提供盖有CMA（中国计量认证）或CNAS（中国合格评定国家认可委员会认证）标志的软件测试报告复印件加盖投标人公章予以佐证，测试报告须完整体现以上功能参数，未能完整体现或未提供不得分）</w:t>
      </w:r>
    </w:p>
    <w:p w14:paraId="3C957D09">
      <w:pPr>
        <w:rPr>
          <w:rFonts w:hint="eastAsia" w:ascii="宋体" w:hAnsi="宋体" w:eastAsia="宋体" w:cs="宋体"/>
          <w:sz w:val="24"/>
        </w:rPr>
      </w:pPr>
      <w:r>
        <w:rPr>
          <w:rFonts w:hint="eastAsia" w:ascii="宋体" w:hAnsi="宋体" w:eastAsia="宋体" w:cs="宋体"/>
          <w:sz w:val="24"/>
        </w:rPr>
        <w:t>4.4 公告管理功能：提供新增、修改和删除公告的功能，可指定公告的启用时间、截止时间、启用状态；公告内容支持普通文本模式和MarkDown模式；</w:t>
      </w:r>
    </w:p>
    <w:p w14:paraId="7AB255B2">
      <w:pPr>
        <w:rPr>
          <w:rFonts w:hint="eastAsia" w:ascii="宋体" w:hAnsi="宋体" w:eastAsia="宋体" w:cs="宋体"/>
          <w:sz w:val="24"/>
        </w:rPr>
      </w:pPr>
      <w:r>
        <w:rPr>
          <w:rFonts w:hint="eastAsia" w:ascii="宋体" w:hAnsi="宋体" w:eastAsia="宋体" w:cs="宋体"/>
          <w:sz w:val="24"/>
        </w:rPr>
        <w:t>4.5 日志记录功能：提供查看用户登录时间、退出时间等功能日志，可详细跟踪用户使用平台状态；</w:t>
      </w:r>
    </w:p>
    <w:p w14:paraId="1FB8031A">
      <w:pPr>
        <w:rPr>
          <w:rFonts w:hint="eastAsia" w:ascii="宋体" w:hAnsi="宋体" w:eastAsia="宋体" w:cs="宋体"/>
          <w:sz w:val="24"/>
        </w:rPr>
      </w:pPr>
      <w:r>
        <w:rPr>
          <w:rFonts w:hint="eastAsia" w:ascii="宋体" w:hAnsi="宋体" w:eastAsia="宋体" w:cs="宋体"/>
          <w:sz w:val="24"/>
        </w:rPr>
        <w:t>4.6 课程管理：提供新增、查看、搜索课程功能，包括设置课程名称、课程类型、动态年、课程排序、课程描述、课程备注、LOGO引用或上传并使用；提供进入课程、模拟做题功能；</w:t>
      </w:r>
    </w:p>
    <w:p w14:paraId="1D044804">
      <w:pPr>
        <w:rPr>
          <w:rFonts w:hint="eastAsia" w:ascii="宋体" w:hAnsi="宋体" w:eastAsia="宋体" w:cs="宋体"/>
          <w:sz w:val="24"/>
        </w:rPr>
      </w:pPr>
      <w:r>
        <w:rPr>
          <w:rFonts w:hint="eastAsia" w:ascii="宋体" w:hAnsi="宋体" w:eastAsia="宋体" w:cs="宋体"/>
          <w:sz w:val="24"/>
        </w:rPr>
        <w:t>4.7 试卷管理功能：提供新增、查看、搜索试卷功能，包括设置试卷名称、关联产品、发布状态、开放状态、模式选择（普通模式、单题模式、案例模式、综合模式）、题目组合、题目乱序、排序、动态年和备注；查看试卷后提供题型汇总功能，可查看试卷内题目类型、题数和总分情况，可预览和查看题目；</w:t>
      </w:r>
    </w:p>
    <w:p w14:paraId="6654914A">
      <w:pPr>
        <w:rPr>
          <w:rFonts w:hint="eastAsia" w:ascii="宋体" w:hAnsi="宋体" w:eastAsia="宋体" w:cs="宋体"/>
          <w:sz w:val="24"/>
        </w:rPr>
      </w:pPr>
      <w:r>
        <w:rPr>
          <w:rFonts w:hint="eastAsia" w:ascii="宋体" w:hAnsi="宋体" w:eastAsia="宋体" w:cs="宋体"/>
          <w:sz w:val="24"/>
        </w:rPr>
        <w:t>4.8 资源管理功能：提供新建资源库文件夹，整理资源数据功能，支持删除、移动、分享、上传、重命名等功能；</w:t>
      </w:r>
    </w:p>
    <w:p w14:paraId="299C3DF7">
      <w:pPr>
        <w:rPr>
          <w:rFonts w:hint="eastAsia" w:ascii="宋体" w:hAnsi="宋体" w:eastAsia="宋体" w:cs="宋体"/>
          <w:sz w:val="24"/>
        </w:rPr>
      </w:pPr>
      <w:r>
        <w:rPr>
          <w:rFonts w:hint="eastAsia" w:ascii="宋体" w:hAnsi="宋体" w:eastAsia="宋体" w:cs="宋体"/>
          <w:sz w:val="24"/>
        </w:rPr>
        <w:t>4.9 统计分析：包含站点统计（管理员账号可查看）和教学统计（教师账号可查看）；</w:t>
      </w:r>
    </w:p>
    <w:p w14:paraId="157FC962">
      <w:pPr>
        <w:rPr>
          <w:rFonts w:hint="eastAsia" w:ascii="宋体" w:hAnsi="宋体" w:eastAsia="宋体" w:cs="宋体"/>
          <w:sz w:val="24"/>
        </w:rPr>
      </w:pPr>
      <w:r>
        <w:rPr>
          <w:rFonts w:hint="eastAsia" w:ascii="宋体" w:hAnsi="宋体" w:eastAsia="宋体" w:cs="宋体"/>
          <w:sz w:val="24"/>
        </w:rPr>
        <w:t>4.9.1 站点统计；汇总官方课程总数、官方微课总数、官方PPT总数、官方PDF总数、官方试卷总数、教师总数、学生总数、行政班总数、教学班总数；以动态图表的方式展示课程资源汇总、教师开课情况、年度课程学习人数汇总、在线人数统计（支持最近3小时、6小时区间切换）、学生新增人数；</w:t>
      </w:r>
    </w:p>
    <w:p w14:paraId="6EEF6BBF">
      <w:pPr>
        <w:rPr>
          <w:rFonts w:hint="eastAsia" w:ascii="宋体" w:hAnsi="宋体" w:eastAsia="宋体" w:cs="宋体"/>
          <w:sz w:val="24"/>
        </w:rPr>
      </w:pPr>
      <w:r>
        <w:rPr>
          <w:rFonts w:hint="eastAsia" w:ascii="宋体" w:hAnsi="宋体" w:eastAsia="宋体" w:cs="宋体"/>
          <w:sz w:val="24"/>
        </w:rPr>
        <w:t>4.9.2 教学统计：汇总官方课程总数、官方微课总数、官方PPT总数、官方PDF总数、官方试卷总数、学生总数、行政班总数、教学班总数；以动态图表的方式展示课程资源汇总、学生新增人数、年度行政班人数汇总、年度教学班人数汇总；</w:t>
      </w:r>
    </w:p>
    <w:p w14:paraId="1FE0C9D7">
      <w:pPr>
        <w:rPr>
          <w:rFonts w:hint="eastAsia" w:ascii="宋体" w:hAnsi="宋体" w:eastAsia="宋体" w:cs="宋体"/>
          <w:sz w:val="24"/>
        </w:rPr>
      </w:pPr>
      <w:r>
        <w:rPr>
          <w:rFonts w:hint="eastAsia" w:ascii="宋体" w:hAnsi="宋体" w:eastAsia="宋体" w:cs="宋体"/>
          <w:sz w:val="24"/>
        </w:rPr>
        <w:t>4.10 个人信息管理：</w:t>
      </w:r>
    </w:p>
    <w:p w14:paraId="4EB6AEDF">
      <w:pPr>
        <w:rPr>
          <w:rFonts w:hint="eastAsia" w:ascii="宋体" w:hAnsi="宋体" w:eastAsia="宋体" w:cs="宋体"/>
          <w:sz w:val="24"/>
        </w:rPr>
      </w:pPr>
      <w:r>
        <w:rPr>
          <w:rFonts w:hint="eastAsia" w:ascii="宋体" w:hAnsi="宋体" w:eastAsia="宋体" w:cs="宋体"/>
          <w:sz w:val="24"/>
        </w:rPr>
        <w:t>4.10.1 提供账号姓名、头像和密码等修改功能；</w:t>
      </w:r>
    </w:p>
    <w:p w14:paraId="5F5A606E">
      <w:pPr>
        <w:rPr>
          <w:rFonts w:hint="eastAsia" w:ascii="宋体" w:hAnsi="宋体" w:eastAsia="宋体" w:cs="宋体"/>
          <w:sz w:val="24"/>
        </w:rPr>
      </w:pPr>
      <w:r>
        <w:rPr>
          <w:rFonts w:hint="eastAsia" w:ascii="宋体" w:hAnsi="宋体" w:eastAsia="宋体" w:cs="宋体"/>
          <w:sz w:val="24"/>
        </w:rPr>
        <w:t>4.10.2 提供绑定手机号码的功能，用户可以将账号与手机号码绑定，绑定后可以通过手机登录平台；</w:t>
      </w:r>
    </w:p>
    <w:p w14:paraId="7661AE17">
      <w:pPr>
        <w:rPr>
          <w:rFonts w:hint="eastAsia" w:ascii="宋体" w:hAnsi="宋体" w:eastAsia="宋体" w:cs="宋体"/>
          <w:sz w:val="24"/>
        </w:rPr>
      </w:pPr>
      <w:r>
        <w:rPr>
          <w:rFonts w:hint="eastAsia" w:ascii="宋体" w:hAnsi="宋体" w:eastAsia="宋体" w:cs="宋体"/>
          <w:sz w:val="24"/>
        </w:rPr>
        <w:t>4.11 帮助工具：提供帮助手册、密码锁屏和QQ咨询调用功能，用户可选择会计内容咨询或平台技术咨询，自动调用QQ跳转会话框进行咨询；提供数据查询列显隐功能；</w:t>
      </w:r>
    </w:p>
    <w:p w14:paraId="7F8517AE">
      <w:pPr>
        <w:rPr>
          <w:rFonts w:hint="eastAsia" w:ascii="宋体" w:hAnsi="宋体" w:eastAsia="宋体" w:cs="宋体"/>
          <w:sz w:val="24"/>
        </w:rPr>
      </w:pPr>
      <w:r>
        <w:rPr>
          <w:rFonts w:hint="eastAsia" w:ascii="宋体" w:hAnsi="宋体" w:eastAsia="宋体" w:cs="宋体"/>
          <w:sz w:val="24"/>
        </w:rPr>
        <w:t>5. 学生端功能：</w:t>
      </w:r>
    </w:p>
    <w:p w14:paraId="37B6F4FE">
      <w:pPr>
        <w:rPr>
          <w:rFonts w:hint="eastAsia" w:ascii="宋体" w:hAnsi="宋体" w:eastAsia="宋体" w:cs="宋体"/>
          <w:sz w:val="24"/>
        </w:rPr>
      </w:pPr>
      <w:r>
        <w:rPr>
          <w:rFonts w:hint="eastAsia" w:ascii="宋体" w:hAnsi="宋体" w:eastAsia="宋体" w:cs="宋体"/>
          <w:sz w:val="24"/>
        </w:rPr>
        <w:t>5.1 个人信息管理功能：</w:t>
      </w:r>
    </w:p>
    <w:p w14:paraId="57B69C38">
      <w:pPr>
        <w:rPr>
          <w:rFonts w:hint="eastAsia" w:ascii="宋体" w:hAnsi="宋体" w:eastAsia="宋体" w:cs="宋体"/>
          <w:sz w:val="24"/>
        </w:rPr>
      </w:pPr>
      <w:r>
        <w:rPr>
          <w:rFonts w:hint="eastAsia" w:ascii="宋体" w:hAnsi="宋体" w:eastAsia="宋体" w:cs="宋体"/>
          <w:sz w:val="24"/>
        </w:rPr>
        <w:t>5.1.1 提供账号姓名、密码等修改功能；</w:t>
      </w:r>
    </w:p>
    <w:p w14:paraId="3DAE5566">
      <w:pPr>
        <w:rPr>
          <w:rFonts w:hint="eastAsia" w:ascii="宋体" w:hAnsi="宋体" w:eastAsia="宋体" w:cs="宋体"/>
          <w:sz w:val="24"/>
        </w:rPr>
      </w:pPr>
      <w:r>
        <w:rPr>
          <w:rFonts w:hint="eastAsia" w:ascii="宋体" w:hAnsi="宋体" w:eastAsia="宋体" w:cs="宋体"/>
          <w:sz w:val="24"/>
        </w:rPr>
        <w:t>5.1.2 系统云平台提供绑定手机号码的功能，用户可以将账号与手机号码绑定，绑定后可以通过手机号输入验证码登录平台，同时支持绑定微信及QQ登录平台；</w:t>
      </w:r>
    </w:p>
    <w:p w14:paraId="2834D6BA">
      <w:pPr>
        <w:rPr>
          <w:rFonts w:hint="eastAsia" w:ascii="宋体" w:hAnsi="宋体" w:eastAsia="宋体" w:cs="宋体"/>
          <w:sz w:val="24"/>
        </w:rPr>
      </w:pPr>
      <w:r>
        <w:rPr>
          <w:rFonts w:hint="eastAsia" w:ascii="宋体" w:hAnsi="宋体" w:eastAsia="宋体" w:cs="宋体"/>
          <w:sz w:val="24"/>
        </w:rPr>
        <w:t>5.2 学习统计功能：提供学生在课程下的学习状况统计雷达图，具有两张雷达图并可交互，一张雷达图显示每个项目的总分、合格分和得分信息，点击任意一个项目，另外一张雷达图对应显示该项目下每个任务的总分、合格分和得分信息；同时可以控制选择雷达图只显示总分、得分、合格分任意一种或组合信息；主界面还具有显示每个项目的总分、得分和正确率的统计列表，点击关闭按钮可隐藏该统计列表；</w:t>
      </w:r>
    </w:p>
    <w:p w14:paraId="3173A504">
      <w:pPr>
        <w:rPr>
          <w:rFonts w:hint="eastAsia" w:ascii="宋体" w:hAnsi="宋体" w:eastAsia="宋体" w:cs="宋体"/>
          <w:sz w:val="24"/>
        </w:rPr>
      </w:pPr>
      <w:r>
        <w:rPr>
          <w:rFonts w:hint="eastAsia" w:ascii="宋体" w:hAnsi="宋体" w:eastAsia="宋体" w:cs="宋体"/>
          <w:sz w:val="24"/>
        </w:rPr>
        <w:t>5.3 章节进度功能：在平台主界面展开任一项目，该项目下的每个子任务都自带有学习进度条，进度条具有百分比数值以及不同的颜色来展示学习进度；</w:t>
      </w:r>
    </w:p>
    <w:p w14:paraId="1D68D318">
      <w:pPr>
        <w:rPr>
          <w:rFonts w:hint="eastAsia" w:ascii="宋体" w:hAnsi="宋体" w:eastAsia="宋体" w:cs="宋体"/>
          <w:sz w:val="24"/>
        </w:rPr>
      </w:pPr>
      <w:r>
        <w:rPr>
          <w:rFonts w:hint="eastAsia" w:ascii="宋体" w:hAnsi="宋体" w:eastAsia="宋体" w:cs="宋体"/>
          <w:sz w:val="24"/>
        </w:rPr>
        <w:t>5.4 收藏题目功能：提供收藏题目功能，可在收藏列表中查看所有收藏的题目，方便针对性的学习；</w:t>
      </w:r>
    </w:p>
    <w:p w14:paraId="04F4233E">
      <w:pPr>
        <w:rPr>
          <w:rFonts w:hint="eastAsia" w:ascii="宋体" w:hAnsi="宋体" w:eastAsia="宋体" w:cs="宋体"/>
          <w:sz w:val="24"/>
        </w:rPr>
      </w:pPr>
      <w:r>
        <w:rPr>
          <w:rFonts w:hint="eastAsia" w:ascii="宋体" w:hAnsi="宋体" w:eastAsia="宋体" w:cs="宋体"/>
          <w:sz w:val="24"/>
        </w:rPr>
        <w:t>5.5 工具箱功能：提供普通计算器、科学计算器功能；提供金融计算器功能；</w:t>
      </w:r>
    </w:p>
    <w:p w14:paraId="282887B9">
      <w:pPr>
        <w:rPr>
          <w:rFonts w:hint="eastAsia" w:ascii="宋体" w:hAnsi="宋体" w:eastAsia="宋体" w:cs="宋体"/>
          <w:sz w:val="24"/>
        </w:rPr>
      </w:pPr>
      <w:r>
        <w:rPr>
          <w:rFonts w:hint="eastAsia" w:ascii="宋体" w:hAnsi="宋体" w:eastAsia="宋体" w:cs="宋体"/>
          <w:sz w:val="24"/>
        </w:rPr>
        <w:t>5.6 嵌入式网页PPT功能：提供画笔标注功能，包括画笔、荧光笔、橡皮擦；提供上下翻页、单页单独打开功能；提供PPT导航、模糊搜索内容功能；提供场景对话交互功能；内置客观题，包括单选、多选、判断等题型，支持将PPT切换成PDF模式阅览；（本条参数为核心参数，现场需演示，现场未能演示或演示不满足本条要求，视为投标无效）</w:t>
      </w:r>
    </w:p>
    <w:p w14:paraId="08191D40">
      <w:pPr>
        <w:rPr>
          <w:rFonts w:hint="eastAsia" w:ascii="宋体" w:hAnsi="宋体" w:eastAsia="宋体" w:cs="宋体"/>
          <w:sz w:val="24"/>
        </w:rPr>
      </w:pPr>
      <w:r>
        <w:rPr>
          <w:rFonts w:hint="eastAsia" w:ascii="宋体" w:hAnsi="宋体" w:eastAsia="宋体" w:cs="宋体"/>
          <w:sz w:val="24"/>
        </w:rPr>
        <w:t>5.7 答题（试卷）报告功能：根据每个章节的课后练习或者试卷答题情况一一对应生成单独的答题报告或者试卷报告，报告中包含整份课后练习或整套试卷的总正确率以及每种题型的正确率统计图，包含课后练习或试卷的各类型题目的正确数、错误数、已做题目数、未做题目数和题目总数的统计表，可以查看到学生具体答题信息、正确答案以及题目解析，并支持将答题报告及试卷报告导出为PDF文档；</w:t>
      </w:r>
    </w:p>
    <w:p w14:paraId="68C57F63">
      <w:pPr>
        <w:rPr>
          <w:rFonts w:hint="eastAsia" w:ascii="宋体" w:hAnsi="宋体" w:eastAsia="宋体" w:cs="宋体"/>
          <w:sz w:val="24"/>
        </w:rPr>
      </w:pPr>
      <w:r>
        <w:rPr>
          <w:rFonts w:hint="eastAsia" w:ascii="宋体" w:hAnsi="宋体" w:eastAsia="宋体" w:cs="宋体"/>
          <w:sz w:val="24"/>
        </w:rPr>
        <w:t>5.8 签到系统：内嵌签到模块，在指定时间内进行签到，在表格模式进行签到操作及查看签到情况及状态，在图形模式下统计签到记录情况；</w:t>
      </w:r>
    </w:p>
    <w:p w14:paraId="54A61BD8">
      <w:pPr>
        <w:rPr>
          <w:rFonts w:hint="eastAsia" w:ascii="宋体" w:hAnsi="宋体" w:eastAsia="宋体" w:cs="宋体"/>
          <w:sz w:val="24"/>
        </w:rPr>
      </w:pPr>
      <w:r>
        <w:rPr>
          <w:rFonts w:hint="eastAsia" w:ascii="宋体" w:hAnsi="宋体" w:eastAsia="宋体" w:cs="宋体"/>
          <w:sz w:val="24"/>
        </w:rPr>
        <w:t>5.9 排行榜：内嵌排行榜模块，可以查看同班同学的总分得分情况，图形模式以柱状图进行显示总分得分情况；</w:t>
      </w:r>
    </w:p>
    <w:p w14:paraId="5F8E2E70">
      <w:pPr>
        <w:rPr>
          <w:rFonts w:hint="eastAsia" w:ascii="宋体" w:hAnsi="宋体" w:eastAsia="宋体" w:cs="宋体"/>
          <w:sz w:val="24"/>
        </w:rPr>
      </w:pPr>
      <w:r>
        <w:rPr>
          <w:rFonts w:hint="eastAsia" w:ascii="宋体" w:hAnsi="宋体" w:eastAsia="宋体" w:cs="宋体"/>
          <w:sz w:val="24"/>
        </w:rPr>
        <w:t>6. 平台配套提供终端载体单机版，要求支持在无网络状态使用，内置以下功能模块：（本条参数为核心参数，现场需演示，现场未能演示或演示不满足本条要求，视为投标无效）</w:t>
      </w:r>
    </w:p>
    <w:p w14:paraId="7C5A22E0">
      <w:pPr>
        <w:rPr>
          <w:rFonts w:hint="eastAsia" w:ascii="宋体" w:hAnsi="宋体" w:eastAsia="宋体" w:cs="宋体"/>
          <w:sz w:val="24"/>
        </w:rPr>
      </w:pPr>
      <w:r>
        <w:rPr>
          <w:rFonts w:hint="eastAsia" w:ascii="宋体" w:hAnsi="宋体" w:eastAsia="宋体" w:cs="宋体"/>
          <w:sz w:val="24"/>
        </w:rPr>
        <w:t>6.1 互动财会游戏功能模块，满足以下要求：</w:t>
      </w:r>
    </w:p>
    <w:p w14:paraId="5577AB16">
      <w:pPr>
        <w:rPr>
          <w:rFonts w:hint="eastAsia" w:ascii="宋体" w:hAnsi="宋体" w:eastAsia="宋体" w:cs="宋体"/>
          <w:sz w:val="24"/>
        </w:rPr>
      </w:pPr>
      <w:r>
        <w:rPr>
          <w:rFonts w:hint="eastAsia" w:ascii="宋体" w:hAnsi="宋体" w:eastAsia="宋体" w:cs="宋体"/>
          <w:sz w:val="24"/>
        </w:rPr>
        <w:t>6.1.1 要求游戏总数量不少于50个；要求游戏类型应该是多样性的，具有支持拖拉拽操作、具有闯关模式等典型的游戏特征（不是简单的单选、多选、判断类型）；要求游戏内容与财会专业知识点相关，需随机抽取至少5个不同的游戏展示，游戏内容举例：战略地图游戏：通过拖拉拽的形式完成战略地图绘制。企业经营沙盘游戏：通过小沙盘的形式，模拟一家企业一年的经营，并且包含资产负债表的动态展示。数电发票识别游戏：通过游戏的形式，让学生学习了解财务机器人发票识别的步骤与过程；</w:t>
      </w:r>
    </w:p>
    <w:p w14:paraId="0B406D1B">
      <w:pPr>
        <w:rPr>
          <w:rFonts w:hint="eastAsia" w:ascii="宋体" w:hAnsi="宋体" w:eastAsia="宋体" w:cs="宋体"/>
          <w:sz w:val="24"/>
        </w:rPr>
      </w:pPr>
      <w:r>
        <w:rPr>
          <w:rFonts w:hint="eastAsia" w:ascii="宋体" w:hAnsi="宋体" w:eastAsia="宋体" w:cs="宋体"/>
          <w:sz w:val="24"/>
        </w:rPr>
        <w:t>6.1.2 自定义房间名称功能：设置游戏时间及次数限制，游戏开始时间及持续时间；</w:t>
      </w:r>
    </w:p>
    <w:p w14:paraId="2242B823">
      <w:pPr>
        <w:rPr>
          <w:rFonts w:hint="eastAsia" w:ascii="宋体" w:hAnsi="宋体" w:eastAsia="宋体" w:cs="宋体"/>
          <w:sz w:val="24"/>
        </w:rPr>
      </w:pPr>
      <w:r>
        <w:rPr>
          <w:rFonts w:hint="eastAsia" w:ascii="宋体" w:hAnsi="宋体" w:eastAsia="宋体" w:cs="宋体"/>
          <w:sz w:val="24"/>
        </w:rPr>
        <w:t>6.1.3 排行榜功能：支持竞赛比拼并提供排行，增加课堂趣味性，可重复进行游戏；</w:t>
      </w:r>
    </w:p>
    <w:p w14:paraId="50C3F2F2">
      <w:pPr>
        <w:rPr>
          <w:rFonts w:hint="eastAsia" w:ascii="宋体" w:hAnsi="宋体" w:eastAsia="宋体" w:cs="宋体"/>
          <w:sz w:val="24"/>
        </w:rPr>
      </w:pPr>
      <w:r>
        <w:rPr>
          <w:rFonts w:hint="eastAsia" w:ascii="宋体" w:hAnsi="宋体" w:eastAsia="宋体" w:cs="宋体"/>
          <w:sz w:val="24"/>
        </w:rPr>
        <w:t>6.1.4 在线游戏互动功能：学生可通过手机扫描系统中的会计游戏二维码，实现在手机上进行随堂游戏的互动体验；</w:t>
      </w:r>
    </w:p>
    <w:p w14:paraId="18C1BF95">
      <w:pPr>
        <w:rPr>
          <w:rFonts w:hint="eastAsia" w:ascii="宋体" w:hAnsi="宋体" w:eastAsia="宋体" w:cs="宋体"/>
          <w:sz w:val="24"/>
        </w:rPr>
      </w:pPr>
      <w:r>
        <w:rPr>
          <w:rFonts w:hint="eastAsia" w:ascii="宋体" w:hAnsi="宋体" w:eastAsia="宋体" w:cs="宋体"/>
          <w:sz w:val="24"/>
        </w:rPr>
        <w:t>6.2 微课制作功能模块，要求具有以下功能：</w:t>
      </w:r>
    </w:p>
    <w:p w14:paraId="13576334">
      <w:pPr>
        <w:rPr>
          <w:rFonts w:hint="eastAsia" w:ascii="宋体" w:hAnsi="宋体" w:eastAsia="宋体" w:cs="宋体"/>
          <w:sz w:val="24"/>
        </w:rPr>
      </w:pPr>
      <w:r>
        <w:rPr>
          <w:rFonts w:hint="eastAsia" w:ascii="宋体" w:hAnsi="宋体" w:eastAsia="宋体" w:cs="宋体"/>
          <w:sz w:val="24"/>
        </w:rPr>
        <w:t>6.2.1 可直接导入PPT并保留PPT所有动画效果，生成视频微课；</w:t>
      </w:r>
    </w:p>
    <w:p w14:paraId="0568E867">
      <w:pPr>
        <w:rPr>
          <w:rFonts w:hint="eastAsia" w:ascii="宋体" w:hAnsi="宋体" w:eastAsia="宋体" w:cs="宋体"/>
          <w:sz w:val="24"/>
        </w:rPr>
      </w:pPr>
      <w:r>
        <w:rPr>
          <w:rFonts w:hint="eastAsia" w:ascii="宋体" w:hAnsi="宋体" w:eastAsia="宋体" w:cs="宋体"/>
          <w:sz w:val="24"/>
        </w:rPr>
        <w:t>6.2.2 制作过程可自动录音，可合成至生成的视频微课中；</w:t>
      </w:r>
    </w:p>
    <w:p w14:paraId="06FB9045">
      <w:pPr>
        <w:rPr>
          <w:rFonts w:hint="eastAsia" w:ascii="宋体" w:hAnsi="宋体" w:eastAsia="宋体" w:cs="宋体"/>
          <w:sz w:val="24"/>
        </w:rPr>
      </w:pPr>
      <w:r>
        <w:rPr>
          <w:rFonts w:hint="eastAsia" w:ascii="宋体" w:hAnsi="宋体" w:eastAsia="宋体" w:cs="宋体"/>
          <w:sz w:val="24"/>
        </w:rPr>
        <w:t>6.2.3 微课制作时支持两个摄像头切换录制，第一摄像头和第二摄像头可随时切换录制现场人像或现场展示资料，录制内容可合成至生成的视频微课中；</w:t>
      </w:r>
    </w:p>
    <w:p w14:paraId="4057126C">
      <w:pPr>
        <w:rPr>
          <w:rFonts w:hint="eastAsia" w:ascii="宋体" w:hAnsi="宋体" w:eastAsia="宋体" w:cs="宋体"/>
          <w:sz w:val="24"/>
        </w:rPr>
      </w:pPr>
      <w:r>
        <w:rPr>
          <w:rFonts w:hint="eastAsia" w:ascii="宋体" w:hAnsi="宋体" w:eastAsia="宋体" w:cs="宋体"/>
          <w:sz w:val="24"/>
        </w:rPr>
        <w:t>6.2.4 微课制作过程中可随时板书，录制板书操作，并合成到生成的视频微课；</w:t>
      </w:r>
    </w:p>
    <w:p w14:paraId="4AC13FD1">
      <w:pPr>
        <w:rPr>
          <w:rFonts w:hint="eastAsia" w:ascii="宋体" w:hAnsi="宋体" w:eastAsia="宋体" w:cs="宋体"/>
          <w:sz w:val="24"/>
        </w:rPr>
      </w:pPr>
      <w:r>
        <w:rPr>
          <w:rFonts w:hint="eastAsia" w:ascii="宋体" w:hAnsi="宋体" w:eastAsia="宋体" w:cs="宋体"/>
          <w:sz w:val="24"/>
        </w:rPr>
        <w:t>6.2.5 微课保存为视频时，可选择添加背景音乐，使制作的微课全程具有背景音乐效果，背景音乐提供多种选择；</w:t>
      </w:r>
    </w:p>
    <w:p w14:paraId="601A0049">
      <w:pPr>
        <w:rPr>
          <w:rFonts w:hint="eastAsia" w:ascii="宋体" w:hAnsi="宋体" w:eastAsia="宋体" w:cs="宋体"/>
          <w:sz w:val="24"/>
        </w:rPr>
      </w:pPr>
      <w:r>
        <w:rPr>
          <w:rFonts w:hint="eastAsia" w:ascii="宋体" w:hAnsi="宋体" w:eastAsia="宋体" w:cs="宋体"/>
          <w:sz w:val="24"/>
        </w:rPr>
        <w:t>7. 平台配套提供云课堂手机APP，实现云课堂功能，可以为老师学生在互联环境下达到沟通、资源共享、课堂考核的作用，体验互动教学与作业跟踪等新的教学模式：（本条参数为核心参数，现场需演示，现场未能演示或演示不满足本条要求，视为投标无效）</w:t>
      </w:r>
    </w:p>
    <w:p w14:paraId="24D6EFC6">
      <w:pPr>
        <w:rPr>
          <w:rFonts w:hint="eastAsia" w:ascii="宋体" w:hAnsi="宋体" w:eastAsia="宋体" w:cs="宋体"/>
          <w:sz w:val="24"/>
        </w:rPr>
      </w:pPr>
      <w:r>
        <w:rPr>
          <w:rFonts w:hint="eastAsia" w:ascii="宋体" w:hAnsi="宋体" w:eastAsia="宋体" w:cs="宋体"/>
          <w:sz w:val="24"/>
        </w:rPr>
        <w:t>7.1 自定义签到：教师端可自定义课堂签到手势，学生端即可以规定手势进行签到；</w:t>
      </w:r>
    </w:p>
    <w:p w14:paraId="618EF40A">
      <w:pPr>
        <w:rPr>
          <w:rFonts w:hint="eastAsia" w:ascii="宋体" w:hAnsi="宋体" w:eastAsia="宋体" w:cs="宋体"/>
          <w:sz w:val="24"/>
        </w:rPr>
      </w:pPr>
      <w:r>
        <w:rPr>
          <w:rFonts w:hint="eastAsia" w:ascii="宋体" w:hAnsi="宋体" w:eastAsia="宋体" w:cs="宋体"/>
          <w:sz w:val="24"/>
        </w:rPr>
        <w:t>7.2 投票管理：教师端可自主编辑投票的标题、投票的内容、投票后是否立即显示结果、投票，学生端即可参与老师编辑好的投票；</w:t>
      </w:r>
    </w:p>
    <w:p w14:paraId="01AA850E">
      <w:pPr>
        <w:rPr>
          <w:rFonts w:hint="eastAsia" w:ascii="宋体" w:hAnsi="宋体" w:eastAsia="宋体" w:cs="宋体"/>
          <w:sz w:val="24"/>
        </w:rPr>
      </w:pPr>
      <w:r>
        <w:rPr>
          <w:rFonts w:hint="eastAsia" w:ascii="宋体" w:hAnsi="宋体" w:eastAsia="宋体" w:cs="宋体"/>
          <w:sz w:val="24"/>
        </w:rPr>
        <w:t>7.3 签章划线功能：APP版支持实务题签章划线。记账凭证支持盖章，盖章位置直接通过手势滑动确定位置，记账凭证支持画线，画线起点终点位置直接通过手势滑动确定，实训题支持业务流程，具有提交下一步、退回上一步操作功能，能够进行智能答案判断，错误之处使用深色背景标识；</w:t>
      </w:r>
    </w:p>
    <w:p w14:paraId="038FAC5A">
      <w:pPr>
        <w:rPr>
          <w:rFonts w:hint="eastAsia" w:ascii="宋体" w:hAnsi="宋体" w:eastAsia="宋体" w:cs="宋体"/>
          <w:sz w:val="24"/>
        </w:rPr>
      </w:pPr>
      <w:r>
        <w:rPr>
          <w:rFonts w:hint="eastAsia" w:ascii="宋体" w:hAnsi="宋体" w:eastAsia="宋体" w:cs="宋体"/>
          <w:sz w:val="24"/>
        </w:rPr>
        <w:t>8. 平台配套提供会计信息化账务处理手机APP，供学生移动学习体验会计信息化常见功能模块：（本条参数为核心参数，现场需演示，现场未能演示或演示不满足本条要求，视为投标无效）</w:t>
      </w:r>
    </w:p>
    <w:p w14:paraId="66469F07">
      <w:pPr>
        <w:rPr>
          <w:rFonts w:hint="eastAsia" w:ascii="宋体" w:hAnsi="宋体" w:eastAsia="宋体" w:cs="宋体"/>
          <w:sz w:val="24"/>
        </w:rPr>
      </w:pPr>
      <w:r>
        <w:rPr>
          <w:rFonts w:hint="eastAsia" w:ascii="宋体" w:hAnsi="宋体" w:eastAsia="宋体" w:cs="宋体"/>
          <w:sz w:val="24"/>
        </w:rPr>
        <w:t>8.1 初始设置：登录后可自定义创建账套，若已有账套，则直接进入角色登录界面；</w:t>
      </w:r>
    </w:p>
    <w:p w14:paraId="22FF74CA">
      <w:pPr>
        <w:rPr>
          <w:rFonts w:hint="eastAsia" w:ascii="宋体" w:hAnsi="宋体" w:eastAsia="宋体" w:cs="宋体"/>
          <w:sz w:val="24"/>
        </w:rPr>
      </w:pPr>
      <w:r>
        <w:rPr>
          <w:rFonts w:hint="eastAsia" w:ascii="宋体" w:hAnsi="宋体" w:eastAsia="宋体" w:cs="宋体"/>
          <w:sz w:val="24"/>
        </w:rPr>
        <w:t>8.2 角色登录：提供四个岗位角色登录，支持网络版管理员针对实际情况分配角色登录权限；</w:t>
      </w:r>
    </w:p>
    <w:p w14:paraId="57244ACB">
      <w:pPr>
        <w:rPr>
          <w:rFonts w:hint="eastAsia" w:ascii="宋体" w:hAnsi="宋体" w:eastAsia="宋体" w:cs="宋体"/>
          <w:sz w:val="24"/>
        </w:rPr>
      </w:pPr>
      <w:r>
        <w:rPr>
          <w:rFonts w:hint="eastAsia" w:ascii="宋体" w:hAnsi="宋体" w:eastAsia="宋体" w:cs="宋体"/>
          <w:sz w:val="24"/>
        </w:rPr>
        <w:t>8.3 登录首页：包含凭证列表、审核凭证、记账、期末结账、结转损益、财务报表、查询/修改、明细账、总账、科目余额表等十个子功能模块；</w:t>
      </w:r>
    </w:p>
    <w:p w14:paraId="654C063E">
      <w:pPr>
        <w:rPr>
          <w:rFonts w:hint="eastAsia" w:ascii="宋体" w:hAnsi="宋体" w:eastAsia="宋体" w:cs="宋体"/>
          <w:sz w:val="24"/>
        </w:rPr>
      </w:pPr>
      <w:r>
        <w:rPr>
          <w:rFonts w:hint="eastAsia" w:ascii="宋体" w:hAnsi="宋体" w:eastAsia="宋体" w:cs="宋体"/>
          <w:sz w:val="24"/>
        </w:rPr>
        <w:t>9. 平台配套提供电子游戏沙盘：以Unity引擎为核心，采用C#语言开发，并集成了DOTween库以控制动画，实现细腻流畅的视觉体验。项目运用单例模式管理核心逻辑，结合StreamingAssets与Resources包优化资源加载，确保游戏高效稳定。此外，特别引入了jslib，作为Unity与JavaScript交互的桥梁，增强了游戏的跨平台兼容性和功能扩展性；采用趣味小游戏的方式模拟财务共享推演，沙盘包含FSSC战略定位、建设模式设计、选址城市评估、职能调整、组织结构、人员测算、流程优化前提、流程职责切分、流程优化设计共9个关卡；游戏沙盘包含前情提要、集团背景、关卡任务资料、工具箱、自动判分、正确答案查看等功能，采用拖拽小旗、拖拽卡片、动态箭头指示等游戏互动操作方式完成沙盘推演；（本条需现场需演示，现场未能演示或演示不满足本条要求，则不得分）</w:t>
      </w:r>
    </w:p>
    <w:p w14:paraId="2571D7F7">
      <w:pPr>
        <w:rPr>
          <w:rFonts w:hint="eastAsia" w:ascii="宋体" w:hAnsi="宋体" w:eastAsia="宋体" w:cs="宋体"/>
          <w:b/>
          <w:bCs/>
          <w:sz w:val="24"/>
        </w:rPr>
      </w:pPr>
      <w:r>
        <w:rPr>
          <w:rFonts w:hint="eastAsia" w:ascii="宋体" w:hAnsi="宋体" w:eastAsia="宋体" w:cs="宋体"/>
          <w:b/>
          <w:bCs/>
          <w:sz w:val="24"/>
        </w:rPr>
        <w:t>（二）内容参数</w:t>
      </w:r>
    </w:p>
    <w:p w14:paraId="4EAF4A9C">
      <w:pPr>
        <w:rPr>
          <w:rFonts w:hint="eastAsia" w:ascii="宋体" w:hAnsi="宋体" w:eastAsia="宋体" w:cs="宋体"/>
          <w:sz w:val="24"/>
        </w:rPr>
      </w:pPr>
      <w:r>
        <w:rPr>
          <w:rFonts w:hint="eastAsia" w:ascii="宋体" w:hAnsi="宋体" w:eastAsia="宋体" w:cs="宋体"/>
          <w:sz w:val="24"/>
        </w:rPr>
        <w:t>1. 主要内容：</w:t>
      </w:r>
    </w:p>
    <w:p w14:paraId="4C278C19">
      <w:pPr>
        <w:rPr>
          <w:rFonts w:hint="eastAsia" w:ascii="宋体" w:hAnsi="宋体" w:eastAsia="宋体" w:cs="宋体"/>
          <w:sz w:val="24"/>
        </w:rPr>
      </w:pPr>
      <w:r>
        <w:rPr>
          <w:rFonts w:hint="eastAsia" w:ascii="宋体" w:hAnsi="宋体" w:eastAsia="宋体" w:cs="宋体"/>
          <w:sz w:val="24"/>
        </w:rPr>
        <w:t>1.1 注册会计师职业认知：</w:t>
      </w:r>
    </w:p>
    <w:p w14:paraId="4269DD0B">
      <w:pPr>
        <w:rPr>
          <w:rFonts w:hint="eastAsia" w:ascii="宋体" w:hAnsi="宋体" w:eastAsia="宋体" w:cs="宋体"/>
          <w:sz w:val="24"/>
        </w:rPr>
      </w:pPr>
      <w:r>
        <w:rPr>
          <w:rFonts w:hint="eastAsia" w:ascii="宋体" w:hAnsi="宋体" w:eastAsia="宋体" w:cs="宋体"/>
          <w:sz w:val="24"/>
        </w:rPr>
        <w:t>1.1.1 项目一 审计与鉴证的认知：任务一 审计的认知；任务二 鉴证的认知；</w:t>
      </w:r>
    </w:p>
    <w:p w14:paraId="36284E3E">
      <w:pPr>
        <w:rPr>
          <w:rFonts w:hint="eastAsia" w:ascii="宋体" w:hAnsi="宋体" w:eastAsia="宋体" w:cs="宋体"/>
          <w:sz w:val="24"/>
        </w:rPr>
      </w:pPr>
      <w:r>
        <w:rPr>
          <w:rFonts w:hint="eastAsia" w:ascii="宋体" w:hAnsi="宋体" w:eastAsia="宋体" w:cs="宋体"/>
          <w:sz w:val="24"/>
        </w:rPr>
        <w:t>1.1.2 项目二 注册会计师管理</w:t>
      </w:r>
      <w:r>
        <w:rPr>
          <w:rFonts w:hint="eastAsia" w:ascii="宋体" w:hAnsi="宋体" w:eastAsia="宋体" w:cs="宋体"/>
          <w:sz w:val="24"/>
        </w:rPr>
        <w:tab/>
      </w:r>
      <w:r>
        <w:rPr>
          <w:rFonts w:hint="eastAsia" w:ascii="宋体" w:hAnsi="宋体" w:eastAsia="宋体" w:cs="宋体"/>
          <w:sz w:val="24"/>
        </w:rPr>
        <w:t>任务一 注册会计师及会计事务所介绍；任务二 注册会计师行业管理；</w:t>
      </w:r>
    </w:p>
    <w:p w14:paraId="083EDB8C">
      <w:pPr>
        <w:rPr>
          <w:rFonts w:hint="eastAsia" w:ascii="宋体" w:hAnsi="宋体" w:eastAsia="宋体" w:cs="宋体"/>
          <w:sz w:val="24"/>
        </w:rPr>
      </w:pPr>
      <w:r>
        <w:rPr>
          <w:rFonts w:hint="eastAsia" w:ascii="宋体" w:hAnsi="宋体" w:eastAsia="宋体" w:cs="宋体"/>
          <w:sz w:val="24"/>
        </w:rPr>
        <w:t>1.1.3 项目三 注册会计师执业准则：任务一 注册会计师执业准则概述及发展历程；任务二 注册会计师业务准则；任务三 会计师事务所质量控制准则；</w:t>
      </w:r>
    </w:p>
    <w:p w14:paraId="29CB10C2">
      <w:pPr>
        <w:rPr>
          <w:rFonts w:hint="eastAsia" w:ascii="宋体" w:hAnsi="宋体" w:eastAsia="宋体" w:cs="宋体"/>
          <w:sz w:val="24"/>
        </w:rPr>
      </w:pPr>
      <w:r>
        <w:rPr>
          <w:rFonts w:hint="eastAsia" w:ascii="宋体" w:hAnsi="宋体" w:eastAsia="宋体" w:cs="宋体"/>
          <w:sz w:val="24"/>
        </w:rPr>
        <w:t>1.1.4 项目四 注册会计师职业道德规范</w:t>
      </w:r>
      <w:r>
        <w:rPr>
          <w:rFonts w:hint="eastAsia" w:ascii="宋体" w:hAnsi="宋体" w:eastAsia="宋体" w:cs="宋体"/>
          <w:sz w:val="24"/>
        </w:rPr>
        <w:tab/>
      </w:r>
      <w:r>
        <w:rPr>
          <w:rFonts w:hint="eastAsia" w:ascii="宋体" w:hAnsi="宋体" w:eastAsia="宋体" w:cs="宋体"/>
          <w:sz w:val="24"/>
        </w:rPr>
        <w:t>任务一 注册会计师职业道德认知及基本原则；任务二 注册会计师职业道德概念框架及具体应用；</w:t>
      </w:r>
    </w:p>
    <w:p w14:paraId="6A5C49A3">
      <w:pPr>
        <w:rPr>
          <w:rFonts w:hint="eastAsia" w:ascii="宋体" w:hAnsi="宋体" w:eastAsia="宋体" w:cs="宋体"/>
          <w:sz w:val="24"/>
        </w:rPr>
      </w:pPr>
      <w:r>
        <w:rPr>
          <w:rFonts w:hint="eastAsia" w:ascii="宋体" w:hAnsi="宋体" w:eastAsia="宋体" w:cs="宋体"/>
          <w:sz w:val="24"/>
        </w:rPr>
        <w:t>1.1.5 项目五 注册会计师法律责任：任务一 注册会计师法律责任认知；任务二 注册会计师责任认定及防范措施；</w:t>
      </w:r>
    </w:p>
    <w:p w14:paraId="3C824658">
      <w:pPr>
        <w:rPr>
          <w:rFonts w:hint="eastAsia" w:ascii="宋体" w:hAnsi="宋体" w:eastAsia="宋体" w:cs="宋体"/>
          <w:sz w:val="24"/>
        </w:rPr>
      </w:pPr>
      <w:r>
        <w:rPr>
          <w:rFonts w:hint="eastAsia" w:ascii="宋体" w:hAnsi="宋体" w:eastAsia="宋体" w:cs="宋体"/>
          <w:sz w:val="24"/>
        </w:rPr>
        <w:t>1.2 审计程序与审计技术：</w:t>
      </w:r>
    </w:p>
    <w:p w14:paraId="5E2D6640">
      <w:pPr>
        <w:rPr>
          <w:rFonts w:hint="eastAsia" w:ascii="宋体" w:hAnsi="宋体" w:eastAsia="宋体" w:cs="宋体"/>
          <w:sz w:val="24"/>
        </w:rPr>
      </w:pPr>
      <w:r>
        <w:rPr>
          <w:rFonts w:hint="eastAsia" w:ascii="宋体" w:hAnsi="宋体" w:eastAsia="宋体" w:cs="宋体"/>
          <w:sz w:val="24"/>
        </w:rPr>
        <w:t>1.2.1 项目一 审计目标 、审计证据和审计工作底稿：任务一 审计目标与审计过程；任务二 审计证据；任务三 审计工作底稿；</w:t>
      </w:r>
    </w:p>
    <w:p w14:paraId="237CE780">
      <w:pPr>
        <w:rPr>
          <w:rFonts w:hint="eastAsia" w:ascii="宋体" w:hAnsi="宋体" w:eastAsia="宋体" w:cs="宋体"/>
          <w:sz w:val="24"/>
        </w:rPr>
      </w:pPr>
      <w:r>
        <w:rPr>
          <w:rFonts w:hint="eastAsia" w:ascii="宋体" w:hAnsi="宋体" w:eastAsia="宋体" w:cs="宋体"/>
          <w:sz w:val="24"/>
        </w:rPr>
        <w:t>1.2.2 项目二 计划审计工作：任务一 初步业务活动；任务二 总体审计计划和具体审计计划；任务三 审计重要性；</w:t>
      </w:r>
    </w:p>
    <w:p w14:paraId="60B3B870">
      <w:pPr>
        <w:rPr>
          <w:rFonts w:hint="eastAsia" w:ascii="宋体" w:hAnsi="宋体" w:eastAsia="宋体" w:cs="宋体"/>
          <w:sz w:val="24"/>
        </w:rPr>
      </w:pPr>
      <w:r>
        <w:rPr>
          <w:rFonts w:hint="eastAsia" w:ascii="宋体" w:hAnsi="宋体" w:eastAsia="宋体" w:cs="宋体"/>
          <w:sz w:val="24"/>
        </w:rPr>
        <w:t>1.2.3 项目三 风险评估：任务一 风险评估程序；任务二 了解被审计单位及其环境；任务三 了解被审计单位内部控制；任务四 评估重大错报风险；</w:t>
      </w:r>
    </w:p>
    <w:p w14:paraId="0415F740">
      <w:pPr>
        <w:rPr>
          <w:rFonts w:hint="eastAsia" w:ascii="宋体" w:hAnsi="宋体" w:eastAsia="宋体" w:cs="宋体"/>
          <w:sz w:val="24"/>
        </w:rPr>
      </w:pPr>
      <w:r>
        <w:rPr>
          <w:rFonts w:hint="eastAsia" w:ascii="宋体" w:hAnsi="宋体" w:eastAsia="宋体" w:cs="宋体"/>
          <w:sz w:val="24"/>
        </w:rPr>
        <w:t>1.2.4 项目四 风险应对：任务一 风险应对；任务二 控制测试；任务三 实质性程序；</w:t>
      </w:r>
    </w:p>
    <w:p w14:paraId="19605369">
      <w:pPr>
        <w:rPr>
          <w:rFonts w:hint="eastAsia" w:ascii="宋体" w:hAnsi="宋体" w:eastAsia="宋体" w:cs="宋体"/>
          <w:sz w:val="24"/>
        </w:rPr>
      </w:pPr>
      <w:r>
        <w:rPr>
          <w:rFonts w:hint="eastAsia" w:ascii="宋体" w:hAnsi="宋体" w:eastAsia="宋体" w:cs="宋体"/>
          <w:sz w:val="24"/>
        </w:rPr>
        <w:t>1.2.5 项目五 审计抽样：任务一 审计抽样的概述；任务二 审计抽样在控制测试中的应用；任务三 审计抽样在细节测试中的应用；</w:t>
      </w:r>
    </w:p>
    <w:p w14:paraId="05D3F478">
      <w:pPr>
        <w:rPr>
          <w:rFonts w:hint="eastAsia" w:ascii="宋体" w:hAnsi="宋体" w:eastAsia="宋体" w:cs="宋体"/>
          <w:sz w:val="24"/>
        </w:rPr>
      </w:pPr>
      <w:r>
        <w:rPr>
          <w:rFonts w:hint="eastAsia" w:ascii="宋体" w:hAnsi="宋体" w:eastAsia="宋体" w:cs="宋体"/>
          <w:sz w:val="24"/>
        </w:rPr>
        <w:t>1.2.6 项目六 审计报告：任务一 完成审计工作；任务二  形成书面声明；任务三 撰写审计报告；</w:t>
      </w:r>
    </w:p>
    <w:p w14:paraId="65ABE69C">
      <w:pPr>
        <w:rPr>
          <w:rFonts w:hint="eastAsia" w:ascii="宋体" w:hAnsi="宋体" w:eastAsia="宋体" w:cs="宋体"/>
          <w:sz w:val="24"/>
        </w:rPr>
      </w:pPr>
      <w:r>
        <w:rPr>
          <w:rFonts w:hint="eastAsia" w:ascii="宋体" w:hAnsi="宋体" w:eastAsia="宋体" w:cs="宋体"/>
          <w:sz w:val="24"/>
        </w:rPr>
        <w:t>1.3 交易循环审计实务：</w:t>
      </w:r>
    </w:p>
    <w:p w14:paraId="485690F6">
      <w:pPr>
        <w:rPr>
          <w:rFonts w:hint="eastAsia" w:ascii="宋体" w:hAnsi="宋体" w:eastAsia="宋体" w:cs="宋体"/>
          <w:sz w:val="24"/>
        </w:rPr>
      </w:pPr>
      <w:r>
        <w:rPr>
          <w:rFonts w:hint="eastAsia" w:ascii="宋体" w:hAnsi="宋体" w:eastAsia="宋体" w:cs="宋体"/>
          <w:sz w:val="24"/>
        </w:rPr>
        <w:t>1.3.1 项目一 销售与收款循环审计：项目导学；任务一 销售与收款的内部控制和控制测试；任务二 营业收入与应收账款的审计；任务三 销售费用的审计；任务四 合同负债审计；</w:t>
      </w:r>
    </w:p>
    <w:p w14:paraId="6026F907">
      <w:pPr>
        <w:rPr>
          <w:rFonts w:hint="eastAsia" w:ascii="宋体" w:hAnsi="宋体" w:eastAsia="宋体" w:cs="宋体"/>
          <w:sz w:val="24"/>
        </w:rPr>
      </w:pPr>
      <w:r>
        <w:rPr>
          <w:rFonts w:hint="eastAsia" w:ascii="宋体" w:hAnsi="宋体" w:eastAsia="宋体" w:cs="宋体"/>
          <w:sz w:val="24"/>
        </w:rPr>
        <w:t>1.3.2 项目二 采购与付款循环审计：项目导学；任务一 采购与付款的内部控制和控制测试；任务二 固定资产及累计折旧审计；任务三 应付账款审计；任务四 预付款项审计；任务五 管理费用审计；</w:t>
      </w:r>
    </w:p>
    <w:p w14:paraId="795C018B">
      <w:pPr>
        <w:rPr>
          <w:rFonts w:hint="eastAsia" w:ascii="宋体" w:hAnsi="宋体" w:eastAsia="宋体" w:cs="宋体"/>
          <w:sz w:val="24"/>
        </w:rPr>
      </w:pPr>
      <w:r>
        <w:rPr>
          <w:rFonts w:hint="eastAsia" w:ascii="宋体" w:hAnsi="宋体" w:eastAsia="宋体" w:cs="宋体"/>
          <w:sz w:val="24"/>
        </w:rPr>
        <w:t>1.3.3 项目三 生产与存货循环审计：项目导学；任务一 生产与存货的内部控制和控制测试；任务二 生产与存货成本审计；</w:t>
      </w:r>
    </w:p>
    <w:p w14:paraId="02F89381">
      <w:pPr>
        <w:rPr>
          <w:rFonts w:hint="eastAsia" w:ascii="宋体" w:hAnsi="宋体" w:eastAsia="宋体" w:cs="宋体"/>
          <w:sz w:val="24"/>
        </w:rPr>
      </w:pPr>
      <w:r>
        <w:rPr>
          <w:rFonts w:hint="eastAsia" w:ascii="宋体" w:hAnsi="宋体" w:eastAsia="宋体" w:cs="宋体"/>
          <w:sz w:val="24"/>
        </w:rPr>
        <w:t>1.3.4 项目四 人力资源与工薪循环审计：项目导学；任务一 人力资源与工薪的内部控制和控制测试；任务二 应付职工薪酬的审计；</w:t>
      </w:r>
    </w:p>
    <w:p w14:paraId="783FF086">
      <w:pPr>
        <w:rPr>
          <w:rFonts w:hint="eastAsia" w:ascii="宋体" w:hAnsi="宋体" w:eastAsia="宋体" w:cs="宋体"/>
          <w:sz w:val="24"/>
        </w:rPr>
      </w:pPr>
      <w:r>
        <w:rPr>
          <w:rFonts w:hint="eastAsia" w:ascii="宋体" w:hAnsi="宋体" w:eastAsia="宋体" w:cs="宋体"/>
          <w:sz w:val="24"/>
        </w:rPr>
        <w:t>1.3.5 项目五 筹资与投资循环审计：项目导学；任务一 筹资与投资审计的内部控制和控制测试；任务二 借款审计；任务三 所有者权益项目审计；任务四 长期投资审计；</w:t>
      </w:r>
    </w:p>
    <w:p w14:paraId="1CA0ACA0">
      <w:pPr>
        <w:rPr>
          <w:rFonts w:hint="eastAsia" w:ascii="宋体" w:hAnsi="宋体" w:eastAsia="宋体" w:cs="宋体"/>
          <w:sz w:val="24"/>
        </w:rPr>
      </w:pPr>
      <w:r>
        <w:rPr>
          <w:rFonts w:hint="eastAsia" w:ascii="宋体" w:hAnsi="宋体" w:eastAsia="宋体" w:cs="宋体"/>
          <w:sz w:val="24"/>
        </w:rPr>
        <w:t>1.3.6 项目六 货币资金审计：项目导学；任务一  货币资金审计的内部控制和控制测试；任务二 货币资金的审计；</w:t>
      </w:r>
    </w:p>
    <w:p w14:paraId="26BDB0F3">
      <w:pPr>
        <w:rPr>
          <w:rFonts w:hint="eastAsia" w:ascii="宋体" w:hAnsi="宋体" w:eastAsia="宋体" w:cs="宋体"/>
          <w:sz w:val="24"/>
        </w:rPr>
      </w:pPr>
      <w:r>
        <w:rPr>
          <w:rFonts w:hint="eastAsia" w:ascii="宋体" w:hAnsi="宋体" w:eastAsia="宋体" w:cs="宋体"/>
          <w:sz w:val="24"/>
        </w:rPr>
        <w:t>1.3.7 项目七 其他相关账户的审计：项目导学；任务一 税费的审计-应交税费；任务二 其他应收款和其他应付款的审计；任务三 营业外收支的审计；项目四 交易性金融资产的审计；</w:t>
      </w:r>
    </w:p>
    <w:p w14:paraId="4E0E637F">
      <w:pPr>
        <w:rPr>
          <w:rFonts w:hint="eastAsia" w:ascii="宋体" w:hAnsi="宋体" w:eastAsia="宋体" w:cs="宋体"/>
          <w:sz w:val="24"/>
        </w:rPr>
      </w:pPr>
      <w:r>
        <w:rPr>
          <w:rFonts w:hint="eastAsia" w:ascii="宋体" w:hAnsi="宋体" w:eastAsia="宋体" w:cs="宋体"/>
          <w:sz w:val="24"/>
        </w:rPr>
        <w:t>2. 教学资源：教学PPT（不少于37个）；审计微课（不少于20个）；审计准则（不少于70个）；审计底稿（不少于64个）；审计底稿编制指南（不少于17个）；课堂示例（不少于56个）；单选题（不少于284道）；多选题（不少于210道）；判断题（不少于125道）；综合案例题（不少于17道）；试卷（不少于2套）。</w:t>
      </w:r>
    </w:p>
    <w:p w14:paraId="1F2AD67A">
      <w:pPr>
        <w:rPr>
          <w:rFonts w:hint="eastAsia" w:ascii="宋体" w:hAnsi="宋体" w:eastAsia="宋体" w:cs="宋体"/>
          <w:b/>
          <w:bCs/>
          <w:sz w:val="24"/>
        </w:rPr>
      </w:pPr>
      <w:r>
        <w:rPr>
          <w:rFonts w:hint="eastAsia" w:ascii="宋体" w:hAnsi="宋体" w:eastAsia="宋体" w:cs="宋体"/>
          <w:b/>
          <w:bCs/>
          <w:sz w:val="24"/>
        </w:rPr>
        <w:t>（三）AIGC智教平台模块</w:t>
      </w:r>
    </w:p>
    <w:p w14:paraId="778DDD87">
      <w:pPr>
        <w:rPr>
          <w:rFonts w:hint="eastAsia" w:ascii="宋体" w:hAnsi="宋体" w:eastAsia="宋体" w:cs="宋体"/>
          <w:sz w:val="24"/>
        </w:rPr>
      </w:pPr>
      <w:r>
        <w:rPr>
          <w:rFonts w:hint="eastAsia" w:ascii="宋体" w:hAnsi="宋体" w:eastAsia="宋体" w:cs="宋体"/>
          <w:sz w:val="24"/>
        </w:rPr>
        <w:t>AIGC智教平台依托智谱、Kimi、DeepSeek等先进AI模型，致力于为教师教学与学生学习提供全方位、智能化支持。平台涵盖智能问答、课程设计、教学大纲、教案设计、智能出题、PPT生成、财务分析七大核心模块，各模块紧密协同，深度融合教育特色需求，需提供联网云平台使用，无需离线部署。</w:t>
      </w:r>
    </w:p>
    <w:p w14:paraId="43C5420D">
      <w:pPr>
        <w:rPr>
          <w:rFonts w:hint="eastAsia" w:ascii="宋体" w:hAnsi="宋体" w:eastAsia="宋体" w:cs="宋体"/>
          <w:sz w:val="24"/>
        </w:rPr>
      </w:pPr>
      <w:r>
        <w:rPr>
          <w:rFonts w:hint="eastAsia" w:ascii="宋体" w:hAnsi="宋体" w:eastAsia="宋体" w:cs="宋体"/>
          <w:sz w:val="24"/>
        </w:rPr>
        <w:t>1. 智能问答模块：智能问答模块是师生获取知识、解决问题的智能枢纽。一方面，通过会计助手、平台助手、出题助手和 Python 智能助手等内嵌模块，精准聚焦专业学习、平台使用、教学出题以及编程辅助等细分场景，为用户提供高精准度的专业支持。另一方面，凭借多模型融合优势，打破知识边界，对任意开放性问题迅速理解并给予详实解答，无论是知识探究、技术难题，还是日常使用困扰，都能在短时间内得到有效回应，全方位赋能师生的教与学互动过程。</w:t>
      </w:r>
    </w:p>
    <w:p w14:paraId="2588DD9B">
      <w:pPr>
        <w:rPr>
          <w:rFonts w:hint="eastAsia" w:ascii="宋体" w:hAnsi="宋体" w:eastAsia="宋体" w:cs="宋体"/>
          <w:sz w:val="24"/>
        </w:rPr>
      </w:pPr>
      <w:r>
        <w:rPr>
          <w:rFonts w:hint="eastAsia" w:ascii="宋体" w:hAnsi="宋体" w:eastAsia="宋体" w:cs="宋体"/>
          <w:sz w:val="24"/>
        </w:rPr>
        <w:t>1.1 会计助手：集成会计专业知识体系，精准解答财务会计、管理会计、税务会计等领域问题，如账务处理流程、税收政策解读、财务报表分析方法等。</w:t>
      </w:r>
    </w:p>
    <w:p w14:paraId="5C5F80EA">
      <w:pPr>
        <w:rPr>
          <w:rFonts w:hint="eastAsia" w:ascii="宋体" w:hAnsi="宋体" w:eastAsia="宋体" w:cs="宋体"/>
          <w:sz w:val="24"/>
        </w:rPr>
      </w:pPr>
      <w:r>
        <w:rPr>
          <w:rFonts w:hint="eastAsia" w:ascii="宋体" w:hAnsi="宋体" w:eastAsia="宋体" w:cs="宋体"/>
          <w:sz w:val="24"/>
        </w:rPr>
        <w:t>1.2平台助手：熟悉平台操作流程、功能使用说明，能快速响应教师与学生在使用平台过程中遇到的各类问题，如账号登录故障、课程资源查找、工具使用引导等。</w:t>
      </w:r>
    </w:p>
    <w:p w14:paraId="2C625566">
      <w:pPr>
        <w:rPr>
          <w:rFonts w:hint="eastAsia" w:ascii="宋体" w:hAnsi="宋体" w:eastAsia="宋体" w:cs="宋体"/>
          <w:sz w:val="24"/>
        </w:rPr>
      </w:pPr>
      <w:r>
        <w:rPr>
          <w:rFonts w:hint="eastAsia" w:ascii="宋体" w:hAnsi="宋体" w:eastAsia="宋体" w:cs="宋体"/>
          <w:sz w:val="24"/>
        </w:rPr>
        <w:t>1.3 出题助手：依据教师给定的出题方向、题型要求、知识点范围，智能生成高质量题目示例及出题思路，辅助教师高效完成组卷任务，所生成题目符合考核标准，重复率低。</w:t>
      </w:r>
    </w:p>
    <w:p w14:paraId="609B7863">
      <w:pPr>
        <w:rPr>
          <w:rFonts w:hint="eastAsia" w:ascii="宋体" w:hAnsi="宋体" w:eastAsia="宋体" w:cs="宋体"/>
          <w:sz w:val="24"/>
        </w:rPr>
      </w:pPr>
      <w:r>
        <w:rPr>
          <w:rFonts w:hint="eastAsia" w:ascii="宋体" w:hAnsi="宋体" w:eastAsia="宋体" w:cs="宋体"/>
          <w:sz w:val="24"/>
        </w:rPr>
        <w:t>1.4 Python 智能助手：针对编程教学需求，提供 Python 语法讲解、代码纠错、项目案例解析等服务，能够理解并优化学生代码，代码优化建议有效率高。</w:t>
      </w:r>
    </w:p>
    <w:p w14:paraId="5AD929D2">
      <w:pPr>
        <w:rPr>
          <w:rFonts w:hint="eastAsia" w:ascii="宋体" w:hAnsi="宋体" w:eastAsia="宋体" w:cs="宋体"/>
          <w:sz w:val="24"/>
        </w:rPr>
      </w:pPr>
      <w:r>
        <w:rPr>
          <w:rFonts w:hint="eastAsia" w:ascii="宋体" w:hAnsi="宋体" w:eastAsia="宋体" w:cs="宋体"/>
          <w:sz w:val="24"/>
        </w:rPr>
        <w:t>1.5 提供自由提问交互：对接智谱、Kimi、DeepSeek 等多模型，融合模型优势，理解用户自然语言意图，对任意开放性问题理解准确率高，回答涵盖丰富信息与实用建议，平均响应时间小于 3 秒。</w:t>
      </w:r>
    </w:p>
    <w:p w14:paraId="0FCAB99F">
      <w:pPr>
        <w:rPr>
          <w:rFonts w:hint="eastAsia" w:ascii="宋体" w:hAnsi="宋体" w:eastAsia="宋体" w:cs="宋体"/>
          <w:sz w:val="24"/>
        </w:rPr>
      </w:pPr>
      <w:r>
        <w:rPr>
          <w:rFonts w:hint="eastAsia" w:ascii="宋体" w:hAnsi="宋体" w:eastAsia="宋体" w:cs="宋体"/>
          <w:sz w:val="24"/>
        </w:rPr>
        <w:t>2. 课程设计模块：课程设计模块旨在让教师从繁琐的课程规划中解放出来。教师只需按照要求输入课程名称、专业年级、课程定位及其他构思详情等关键信息，系统便能依托强大的 AI 算法，快速整合海量教育资源与前沿行业案例，在 AI 课程设计生成区输出一套完整且贴合教学实际的课程设计方案。从清晰明确的课程目标，到层层递进的内容架构，再到科学合理的考核方式，全方位保障课程设计既符合教育规范，又满足个性化教学需求。</w:t>
      </w:r>
    </w:p>
    <w:p w14:paraId="61B55264">
      <w:pPr>
        <w:rPr>
          <w:rFonts w:hint="eastAsia" w:ascii="宋体" w:hAnsi="宋体" w:eastAsia="宋体" w:cs="宋体"/>
          <w:sz w:val="24"/>
        </w:rPr>
      </w:pPr>
      <w:r>
        <w:rPr>
          <w:rFonts w:hint="eastAsia" w:ascii="宋体" w:hAnsi="宋体" w:eastAsia="宋体" w:cs="宋体"/>
          <w:sz w:val="24"/>
        </w:rPr>
        <w:t>2.1 教师可以设置课程名称（精确到专业课程全称）、专业年级（具体年级及专业方向）、课程定位（如专业核心课、专业拓展课、公共基础课）以及其他详细构思要求（如重点培养技能、期望达成的教学成果、融入的行业案例方向），输入信息识别准确率高。</w:t>
      </w:r>
    </w:p>
    <w:p w14:paraId="1CB9CDA4">
      <w:pPr>
        <w:rPr>
          <w:rFonts w:hint="eastAsia" w:ascii="宋体" w:hAnsi="宋体" w:eastAsia="宋体" w:cs="宋体"/>
          <w:sz w:val="24"/>
        </w:rPr>
      </w:pPr>
      <w:r>
        <w:rPr>
          <w:rFonts w:hint="eastAsia" w:ascii="宋体" w:hAnsi="宋体" w:eastAsia="宋体" w:cs="宋体"/>
          <w:sz w:val="24"/>
        </w:rPr>
        <w:t>2.2 AI生成：在 AI 课程设计生成区，依据设置的信息，快速生成包含课程大纲（按模块、章节合理划分）、教学计划（以周为单位，明确各阶段教学任务）、学习目标（知识、技能、素质目标阐述清晰）、教学方法、评估标准（理论考核、实践考核占比合理，考核形式多样）的课程设计，生成时间不超过 5 分钟，且生成内容匹配度与教师需求高。</w:t>
      </w:r>
    </w:p>
    <w:p w14:paraId="286BF5B1">
      <w:pPr>
        <w:rPr>
          <w:rFonts w:hint="eastAsia" w:ascii="宋体" w:hAnsi="宋体" w:eastAsia="宋体" w:cs="宋体"/>
          <w:sz w:val="24"/>
        </w:rPr>
      </w:pPr>
      <w:r>
        <w:rPr>
          <w:rFonts w:hint="eastAsia" w:ascii="宋体" w:hAnsi="宋体" w:eastAsia="宋体" w:cs="宋体"/>
          <w:sz w:val="24"/>
        </w:rPr>
        <w:t>3. 教学大纲模块：教学大纲模块严格遵循教育教学大纲编写规范，有序引导教师完成前置设计、教学内容以及考核设计三大关键步骤。通过精准识别教师设置的各项信息，如课程名称、教学对象、课程对应毕业要求指标点和课程对应岗位职能和技术标准等，自动关联行业岗位标准与教学方法建议，快速生成逻辑严谨、内容详实的教学大纲。不仅确保大纲规范符合率高，更能让教学重点突出、考核方式合理，为教师教学提供坚实的框架支撑。</w:t>
      </w:r>
    </w:p>
    <w:p w14:paraId="5D1B217D">
      <w:pPr>
        <w:rPr>
          <w:rFonts w:hint="eastAsia" w:ascii="宋体" w:hAnsi="宋体" w:eastAsia="宋体" w:cs="宋体"/>
          <w:sz w:val="24"/>
        </w:rPr>
      </w:pPr>
      <w:r>
        <w:rPr>
          <w:rFonts w:hint="eastAsia" w:ascii="宋体" w:hAnsi="宋体" w:eastAsia="宋体" w:cs="宋体"/>
          <w:sz w:val="24"/>
        </w:rPr>
        <w:t>3.1 前置设计：可以设置课程名称（规范命名格式校验）、教学对象（区分不同层次学生特点）、课程对应毕业要求指标点（与院校人才培养方案精准对接）、课程对应岗位职能和技术标准（实时更新行业岗位要求）及其他自定义要求（如校企合作特色融入点），数据录入准确性校验达 90% 以上。</w:t>
      </w:r>
    </w:p>
    <w:p w14:paraId="5CD022AA">
      <w:pPr>
        <w:rPr>
          <w:rFonts w:hint="eastAsia" w:ascii="宋体" w:hAnsi="宋体" w:eastAsia="宋体" w:cs="宋体"/>
          <w:sz w:val="24"/>
        </w:rPr>
      </w:pPr>
      <w:r>
        <w:rPr>
          <w:rFonts w:hint="eastAsia" w:ascii="宋体" w:hAnsi="宋体" w:eastAsia="宋体" w:cs="宋体"/>
          <w:sz w:val="24"/>
        </w:rPr>
        <w:t>3.2 教学内容：设定教学内容要求（明确重点、难点知识分布）、教学方法（如讲授法、讨论法、演示法、案例法、实验法和实习法等）和课程时长，自动生成逻辑连贯、详略得当的教学内容板块，知识覆盖完整度高。</w:t>
      </w:r>
    </w:p>
    <w:p w14:paraId="186A6B76">
      <w:pPr>
        <w:rPr>
          <w:rFonts w:hint="eastAsia" w:ascii="宋体" w:hAnsi="宋体" w:eastAsia="宋体" w:cs="宋体"/>
          <w:sz w:val="24"/>
        </w:rPr>
      </w:pPr>
      <w:r>
        <w:rPr>
          <w:rFonts w:hint="eastAsia" w:ascii="宋体" w:hAnsi="宋体" w:eastAsia="宋体" w:cs="宋体"/>
          <w:sz w:val="24"/>
        </w:rPr>
        <w:t>3.3 考核设计：设置课程目标（细化、可衡量）和考核方式（多样化，包含过程性考核与终结性考核项目），生成科学合理的考核方案，确保考核结果能有效反映学生学习成效，考核指标合理性高。整体在 AI 教学大纲生成区生成内容，生成时效不超过 3 分钟，符合大纲规范。</w:t>
      </w:r>
    </w:p>
    <w:p w14:paraId="4643D2AE">
      <w:pPr>
        <w:rPr>
          <w:rFonts w:hint="eastAsia" w:ascii="宋体" w:hAnsi="宋体" w:eastAsia="宋体" w:cs="宋体"/>
          <w:sz w:val="24"/>
        </w:rPr>
      </w:pPr>
      <w:r>
        <w:rPr>
          <w:rFonts w:hint="eastAsia" w:ascii="宋体" w:hAnsi="宋体" w:eastAsia="宋体" w:cs="宋体"/>
          <w:sz w:val="24"/>
        </w:rPr>
        <w:t>4. 教案设计模块:教案设计模块是教师课堂教学的得力助手，它聚焦教学细节，分两步助力教师打造优质教案。前置设计环节精准抓取教学关键信息，充分考虑学生差异与教学方法适配性；教学过程环节则依据教师设定的教学时长、课堂导入方式、教学过程、课堂小结及课后作业要求，利用 AI 快速生成步骤详实、互动性强的教案。整个过程高效快捷，生成的教案实用性极高，为教师课堂精彩呈现奠定基础。</w:t>
      </w:r>
    </w:p>
    <w:p w14:paraId="6769E971">
      <w:pPr>
        <w:rPr>
          <w:rFonts w:hint="eastAsia" w:ascii="宋体" w:hAnsi="宋体" w:eastAsia="宋体" w:cs="宋体"/>
          <w:sz w:val="24"/>
        </w:rPr>
      </w:pPr>
      <w:r>
        <w:rPr>
          <w:rFonts w:hint="eastAsia" w:ascii="宋体" w:hAnsi="宋体" w:eastAsia="宋体" w:cs="宋体"/>
          <w:sz w:val="24"/>
        </w:rPr>
        <w:t>4.1 前置设计：设置教学内容（详细知识点罗列）、教学对象（考虑学生认知水平差异）、教学方法（合作学校指导法、练习与实践指导法和案例学习指导法）及其他自定义要求（如个性化教学活动安排），输入信息转化效率高。</w:t>
      </w:r>
    </w:p>
    <w:p w14:paraId="774F6EE7">
      <w:pPr>
        <w:rPr>
          <w:rFonts w:hint="eastAsia" w:ascii="宋体" w:hAnsi="宋体" w:eastAsia="宋体" w:cs="宋体"/>
          <w:sz w:val="24"/>
        </w:rPr>
      </w:pPr>
      <w:r>
        <w:rPr>
          <w:rFonts w:hint="eastAsia" w:ascii="宋体" w:hAnsi="宋体" w:eastAsia="宋体" w:cs="宋体"/>
          <w:sz w:val="24"/>
        </w:rPr>
        <w:t>4.2 教学过程：设置教学时长（精确把控课堂节奏）、课程导入（直接导入、直观导入、故事导入、情景导入、温故导入、问题导入、实验导入和悬念导入等）、教学过程（提供赫尔巴特四段教学法、体验式四环节教学模式、五星教学模式、加涅九段教学法、杜威五段教学法、BOPPPS教学法和SE教学模式等示例）、课堂小结（包含知识总结式、问题与答案式、小组讨论式、关键点提炼式和案例分析式）、课后作业（包含思考性作业、书面作业、实践性作业、探究性作业、合作类作业、体验式作业和创智类作业等），在 AI 教案设计生成区快速生成详细教案，生成时间不超过 4 分钟，教案实用性评价高。</w:t>
      </w:r>
    </w:p>
    <w:p w14:paraId="5DF0A225">
      <w:pPr>
        <w:rPr>
          <w:rFonts w:hint="eastAsia" w:ascii="宋体" w:hAnsi="宋体" w:eastAsia="宋体" w:cs="宋体"/>
          <w:sz w:val="24"/>
        </w:rPr>
      </w:pPr>
      <w:r>
        <w:rPr>
          <w:rFonts w:hint="eastAsia" w:ascii="宋体" w:hAnsi="宋体" w:eastAsia="宋体" w:cs="宋体"/>
          <w:sz w:val="24"/>
        </w:rPr>
        <w:t>5. 智能出题模块:智能出题模块通过设置出题方式、题目数量、知识点及难易程度等参数，系统凭借对教材知识体系的深度理解与智能算法运用，精准定位出题方向。无论是基于材料挖掘、题目变形，还是围绕知识点拓展，都能高效生成知识点覆盖率高、重复率低的优质题目，确保试卷既能精准检测学生学习成效，又能适应单元测试、期中期末考试等不同考核场景。</w:t>
      </w:r>
    </w:p>
    <w:p w14:paraId="0AFD8272">
      <w:pPr>
        <w:rPr>
          <w:rFonts w:hint="eastAsia" w:ascii="宋体" w:hAnsi="宋体" w:eastAsia="宋体" w:cs="宋体"/>
          <w:sz w:val="24"/>
        </w:rPr>
      </w:pPr>
      <w:r>
        <w:rPr>
          <w:rFonts w:hint="eastAsia" w:ascii="宋体" w:hAnsi="宋体" w:eastAsia="宋体" w:cs="宋体"/>
          <w:sz w:val="24"/>
        </w:rPr>
        <w:t>5.1 智能出题设置：通过设置出题方式（“根据材料” 能深度挖掘材料关键信息出题、“根据题目” 可智能变形拓展同类题目、“仅根据知识点” 能全面覆盖知识点衍生题目）、题目数量（严格按设定生成）、知识点（精准定位到教材章节知识点）和难易程度（简单、中等、困难和不限），设置参数识别准确率高。</w:t>
      </w:r>
    </w:p>
    <w:p w14:paraId="0D7FBF02">
      <w:pPr>
        <w:rPr>
          <w:rFonts w:hint="eastAsia" w:ascii="宋体" w:hAnsi="宋体" w:eastAsia="宋体" w:cs="宋体"/>
          <w:sz w:val="24"/>
        </w:rPr>
      </w:pPr>
      <w:r>
        <w:rPr>
          <w:rFonts w:hint="eastAsia" w:ascii="宋体" w:hAnsi="宋体" w:eastAsia="宋体" w:cs="宋体"/>
          <w:sz w:val="24"/>
        </w:rPr>
        <w:t>5.2 自动出题效果：在 AI 智能出题生成区，依据设置高效生成符合要求的题目，生成题目知识点覆盖率达 90% 以上，同一试卷内题目重复率低于 5%，不同试卷间相似题目重复率低于 8%，满足多样化考核场景。</w:t>
      </w:r>
    </w:p>
    <w:p w14:paraId="6EBCB22E">
      <w:pPr>
        <w:rPr>
          <w:rFonts w:hint="eastAsia" w:ascii="宋体" w:hAnsi="宋体" w:eastAsia="宋体" w:cs="宋体"/>
          <w:sz w:val="24"/>
        </w:rPr>
      </w:pPr>
      <w:r>
        <w:rPr>
          <w:rFonts w:hint="eastAsia" w:ascii="宋体" w:hAnsi="宋体" w:eastAsia="宋体" w:cs="宋体"/>
          <w:sz w:val="24"/>
        </w:rPr>
        <w:t>6. PPT 生成模块：PPT 生成模块让教师轻松制作精美课件。利用自然语言处理技术，将教师输入的 PPT 生成要求迅速转化为结构清晰的大纲，突出核心要点。提供丰富多样的主题样式供教师选择，适配不同课程风格。一键生成图文并茂、排版美观的 PPT，且内容自动填充准确率高，全方位满足教师个性化教学展示需求。</w:t>
      </w:r>
    </w:p>
    <w:p w14:paraId="39514E96">
      <w:pPr>
        <w:rPr>
          <w:rFonts w:hint="eastAsia" w:ascii="宋体" w:hAnsi="宋体" w:eastAsia="宋体" w:cs="宋体"/>
          <w:sz w:val="24"/>
        </w:rPr>
      </w:pPr>
      <w:r>
        <w:rPr>
          <w:rFonts w:hint="eastAsia" w:ascii="宋体" w:hAnsi="宋体" w:eastAsia="宋体" w:cs="宋体"/>
          <w:sz w:val="24"/>
        </w:rPr>
        <w:t>6.1 生成大纲：教师输入 PPT 生成要求（包含核心要点、受众对象、内容要求等信息），利用自然语言处理技术，在 1 分钟内生成结构清晰、逻辑连贯的 PPT 大纲，大纲要点突出准确率高。</w:t>
      </w:r>
    </w:p>
    <w:p w14:paraId="63779CF0">
      <w:pPr>
        <w:rPr>
          <w:rFonts w:hint="eastAsia" w:ascii="宋体" w:hAnsi="宋体" w:eastAsia="宋体" w:cs="宋体"/>
          <w:sz w:val="24"/>
        </w:rPr>
      </w:pPr>
      <w:r>
        <w:rPr>
          <w:rFonts w:hint="eastAsia" w:ascii="宋体" w:hAnsi="宋体" w:eastAsia="宋体" w:cs="宋体"/>
          <w:sz w:val="24"/>
        </w:rPr>
        <w:t>6.2 选择主题：提供不少于 10 种主题样式，适配不同课程风格，样式预览清晰，选择便捷。</w:t>
      </w:r>
    </w:p>
    <w:p w14:paraId="53F5B41B">
      <w:pPr>
        <w:rPr>
          <w:rFonts w:hint="eastAsia" w:ascii="宋体" w:hAnsi="宋体" w:eastAsia="宋体" w:cs="宋体"/>
          <w:sz w:val="24"/>
        </w:rPr>
      </w:pPr>
      <w:r>
        <w:rPr>
          <w:rFonts w:hint="eastAsia" w:ascii="宋体" w:hAnsi="宋体" w:eastAsia="宋体" w:cs="宋体"/>
          <w:sz w:val="24"/>
        </w:rPr>
        <w:t>6.3 生成PPT ：根据选定大纲与主题样式，一键生成图文并茂、排版美观的 PPT，提供PPT预览和下载功能，内容自动填充准确率高。</w:t>
      </w:r>
    </w:p>
    <w:p w14:paraId="6601093C">
      <w:pPr>
        <w:rPr>
          <w:rFonts w:hint="eastAsia" w:ascii="宋体" w:hAnsi="宋体" w:eastAsia="宋体" w:cs="宋体"/>
          <w:sz w:val="24"/>
        </w:rPr>
      </w:pPr>
      <w:r>
        <w:rPr>
          <w:rFonts w:hint="eastAsia" w:ascii="宋体" w:hAnsi="宋体" w:eastAsia="宋体" w:cs="宋体"/>
          <w:sz w:val="24"/>
        </w:rPr>
        <w:t>7. 财务分析模块：财务分析模块面向财务管理需求，只需选定所属行业、企业名称、起止年份及分析维度等关键参数，模块便能精准处理数据，运用专业财务模型与算法，一键生成深度解读的财务分析报告。报告涵盖核心指标计算、趋势分析与同行业对比，数据精准、解读专业、可读性强，在短时间内为院校财务决策提供有力依据，助力院校财务精细化管理。</w:t>
      </w:r>
    </w:p>
    <w:p w14:paraId="046752C7">
      <w:pPr>
        <w:rPr>
          <w:rFonts w:hint="eastAsia" w:ascii="宋体" w:hAnsi="宋体" w:eastAsia="宋体" w:cs="宋体"/>
          <w:sz w:val="24"/>
        </w:rPr>
      </w:pPr>
      <w:r>
        <w:rPr>
          <w:rFonts w:hint="eastAsia" w:ascii="宋体" w:hAnsi="宋体" w:eastAsia="宋体" w:cs="宋体"/>
          <w:sz w:val="24"/>
        </w:rPr>
        <w:t>7.1 通过设置所属行业、企业名称（支持模糊查询匹配）、起始年份和结束年份（数据区间校验）、分析维度（单项或多项组合选择，如短期偿债能力、长期偿债能力、盈利能力、营运能力、发展能力等指标），输入参数准确率校验达 90% 以上。</w:t>
      </w:r>
    </w:p>
    <w:p w14:paraId="6C9BA6B4">
      <w:pPr>
        <w:rPr>
          <w:rFonts w:hint="eastAsia" w:ascii="宋体" w:hAnsi="宋体" w:eastAsia="宋体" w:cs="宋体"/>
          <w:sz w:val="24"/>
        </w:rPr>
      </w:pPr>
      <w:r>
        <w:rPr>
          <w:rFonts w:hint="eastAsia" w:ascii="宋体" w:hAnsi="宋体" w:eastAsia="宋体" w:cs="宋体"/>
          <w:sz w:val="24"/>
        </w:rPr>
        <w:t>7.2 报告生成与下载：一键生成专业财务分析报告，报告内容涵盖所选分析维度核心指标计算、趋势分析、同行业对比等内容，数据准确，解读专业，可读性强，报告生成时间不超过 3分钟，提供便捷下载功能，确保数据安全存储与传输。</w:t>
      </w:r>
    </w:p>
    <w:p w14:paraId="4E3806E0">
      <w:pPr>
        <w:pStyle w:val="15"/>
        <w:spacing w:after="0"/>
        <w:rPr>
          <w:rFonts w:hint="eastAsia" w:ascii="宋体" w:hAnsi="宋体" w:eastAsia="宋体" w:cs="宋体"/>
          <w:sz w:val="24"/>
        </w:rPr>
      </w:pPr>
      <w:r>
        <w:rPr>
          <w:rFonts w:hint="eastAsia" w:ascii="宋体" w:hAnsi="宋体" w:eastAsia="宋体" w:cs="宋体"/>
          <w:sz w:val="24"/>
        </w:rPr>
        <w:t>8 课程思政资源库，划分为思政案例库、思政专题库和思政元素库等模块。</w:t>
      </w:r>
    </w:p>
    <w:p w14:paraId="0162894F">
      <w:pPr>
        <w:pStyle w:val="15"/>
        <w:spacing w:after="0"/>
        <w:rPr>
          <w:rFonts w:hint="eastAsia" w:ascii="宋体" w:hAnsi="宋体" w:eastAsia="宋体" w:cs="宋体"/>
          <w:sz w:val="24"/>
        </w:rPr>
      </w:pPr>
      <w:r>
        <w:rPr>
          <w:rFonts w:hint="eastAsia" w:ascii="宋体" w:hAnsi="宋体" w:eastAsia="宋体" w:cs="宋体"/>
          <w:sz w:val="24"/>
        </w:rPr>
        <w:t>8.1 思政案例库内容丰富，涵盖了爱岗敬业、诚实守信、廉洁自律、法治精神等13个核心主题，收录了超过110个生动案例，旨在通过具体事例引导师生树立正确的价值观念。</w:t>
      </w:r>
    </w:p>
    <w:p w14:paraId="0CC9F84C">
      <w:pPr>
        <w:pStyle w:val="15"/>
        <w:spacing w:after="0"/>
        <w:rPr>
          <w:rFonts w:hint="eastAsia" w:ascii="宋体" w:hAnsi="宋体" w:eastAsia="宋体" w:cs="宋体"/>
          <w:sz w:val="24"/>
        </w:rPr>
      </w:pPr>
      <w:r>
        <w:rPr>
          <w:rFonts w:hint="eastAsia" w:ascii="宋体" w:hAnsi="宋体" w:eastAsia="宋体" w:cs="宋体"/>
          <w:sz w:val="24"/>
        </w:rPr>
        <w:t>8.2 思政专题库则包含“向总书记学习”、“红色历史”、“时代楷模”、“科技强国”等70多个专题案例，深入挖掘时代主题，传承红色基因。</w:t>
      </w:r>
    </w:p>
    <w:p w14:paraId="434F4846">
      <w:pPr>
        <w:pStyle w:val="15"/>
        <w:spacing w:after="0"/>
        <w:rPr>
          <w:rFonts w:hint="eastAsia" w:ascii="宋体" w:hAnsi="宋体" w:eastAsia="宋体" w:cs="宋体"/>
          <w:sz w:val="24"/>
        </w:rPr>
      </w:pPr>
      <w:r>
        <w:rPr>
          <w:rFonts w:hint="eastAsia" w:ascii="宋体" w:hAnsi="宋体" w:eastAsia="宋体" w:cs="宋体"/>
          <w:sz w:val="24"/>
        </w:rPr>
        <w:t>8.3 思政元素库更是涵盖了马克思主义基本观点与方法、社会主义核心价值观、乡村振兴等290多个元素案例，为教育教学提供了丰富的思政素材，助力全面提升师生的思想政治素养。</w:t>
      </w:r>
    </w:p>
    <w:p w14:paraId="7188FA0F">
      <w:pPr>
        <w:rPr>
          <w:rFonts w:hint="eastAsia" w:ascii="宋体" w:hAnsi="宋体" w:eastAsia="宋体" w:cs="宋体"/>
          <w:sz w:val="24"/>
        </w:rPr>
      </w:pPr>
      <w:r>
        <w:rPr>
          <w:rFonts w:hint="eastAsia" w:ascii="宋体" w:hAnsi="宋体" w:eastAsia="宋体" w:cs="宋体"/>
          <w:b/>
          <w:bCs/>
          <w:sz w:val="24"/>
        </w:rPr>
        <w:t>（四）线上共享记账平台</w:t>
      </w:r>
    </w:p>
    <w:p w14:paraId="7D863185">
      <w:pPr>
        <w:rPr>
          <w:rFonts w:hint="eastAsia" w:ascii="宋体" w:hAnsi="宋体" w:eastAsia="宋体" w:cs="宋体"/>
          <w:sz w:val="24"/>
        </w:rPr>
      </w:pPr>
      <w:r>
        <w:rPr>
          <w:rFonts w:hint="eastAsia" w:ascii="宋体" w:hAnsi="宋体" w:eastAsia="宋体" w:cs="宋体"/>
          <w:sz w:val="24"/>
        </w:rPr>
        <w:t>1. 智能日记账：</w:t>
      </w:r>
    </w:p>
    <w:p w14:paraId="56727CA9">
      <w:pPr>
        <w:rPr>
          <w:rFonts w:hint="eastAsia" w:ascii="宋体" w:hAnsi="宋体" w:eastAsia="宋体" w:cs="宋体"/>
          <w:sz w:val="24"/>
        </w:rPr>
      </w:pPr>
      <w:r>
        <w:rPr>
          <w:rFonts w:hint="eastAsia" w:ascii="宋体" w:hAnsi="宋体" w:eastAsia="宋体" w:cs="宋体"/>
          <w:sz w:val="24"/>
        </w:rPr>
        <w:t>1.1 日记账能够支持电脑、手机使用，手机上使用时按手机屏幕比例显示清晰，支持权限设置，分登记权限、修改权限、删除权限、对账权限等；可设置账户管理人员，只有具备账户管理权限的人员才能查询、并且管理此账户中的收支记录；</w:t>
      </w:r>
    </w:p>
    <w:p w14:paraId="387BBFB8">
      <w:pPr>
        <w:rPr>
          <w:rFonts w:hint="eastAsia" w:ascii="宋体" w:hAnsi="宋体" w:eastAsia="宋体" w:cs="宋体"/>
          <w:sz w:val="24"/>
        </w:rPr>
      </w:pPr>
      <w:r>
        <w:rPr>
          <w:rFonts w:hint="eastAsia" w:ascii="宋体" w:hAnsi="宋体" w:eastAsia="宋体" w:cs="宋体"/>
          <w:sz w:val="24"/>
        </w:rPr>
        <w:t>1.2 具备智能记账功能，录入一段文字就可智能分析出交易日期、交易金额、收支科目、对方单位、部门、经办人，并且根据部门分析收支科目为销售费用、管理费用等；（本条需现场需演示，现场未能演示或演示不满足本条要求，则不得分）</w:t>
      </w:r>
    </w:p>
    <w:p w14:paraId="0981E2A4">
      <w:pPr>
        <w:rPr>
          <w:rFonts w:hint="eastAsia" w:ascii="宋体" w:hAnsi="宋体" w:eastAsia="宋体" w:cs="宋体"/>
          <w:sz w:val="24"/>
        </w:rPr>
      </w:pPr>
      <w:r>
        <w:rPr>
          <w:rFonts w:hint="eastAsia" w:ascii="宋体" w:hAnsi="宋体" w:eastAsia="宋体" w:cs="宋体"/>
          <w:sz w:val="24"/>
        </w:rPr>
        <w:t>1.3 记账时支持选择本地图片、QQ截图并直接粘贴在界面上、手机微信扫码无缝上传三种方式将原始票据附在账目上，并且可进行放大、缩小、旋转、拖拽显示；</w:t>
      </w:r>
    </w:p>
    <w:p w14:paraId="73914245">
      <w:pPr>
        <w:rPr>
          <w:rFonts w:hint="eastAsia" w:ascii="宋体" w:hAnsi="宋体" w:eastAsia="宋体" w:cs="宋体"/>
          <w:sz w:val="24"/>
        </w:rPr>
      </w:pPr>
      <w:r>
        <w:rPr>
          <w:rFonts w:hint="eastAsia" w:ascii="宋体" w:hAnsi="宋体" w:eastAsia="宋体" w:cs="宋体"/>
          <w:sz w:val="24"/>
        </w:rPr>
        <w:t>1.4 能生成月报表，按柱状图显示13个月收入、支出、利润、账面余额；可同时选取5个收支科目进行13个月对比，以曲线图方式展示数据的变化趋势及相互作用关系；能将月报表导出成Excel文件格式；</w:t>
      </w:r>
    </w:p>
    <w:p w14:paraId="79C0A7FA">
      <w:pPr>
        <w:rPr>
          <w:rFonts w:hint="eastAsia" w:ascii="宋体" w:hAnsi="宋体" w:eastAsia="宋体" w:cs="宋体"/>
          <w:sz w:val="24"/>
        </w:rPr>
      </w:pPr>
      <w:r>
        <w:rPr>
          <w:rFonts w:hint="eastAsia" w:ascii="宋体" w:hAnsi="宋体" w:eastAsia="宋体" w:cs="宋体"/>
          <w:sz w:val="24"/>
        </w:rPr>
        <w:t>1.5 账面总览：展示总金额以及银行账户的余额并按照月份进行图表的呈现。根据需要进行本月收入小计、本月支出小计、本月收支差、本月应收余额、本月应付余额、全部应收余额、全部应付余额以及本月支出TOP5等项目的统计分析；（需提供盖有CMA（中国计量认证）标志的软件测试报告复印件予以佐证，测试报告须完整体现以上功能参数，未能完整体现或未提供不得分）</w:t>
      </w:r>
    </w:p>
    <w:p w14:paraId="19A136C4">
      <w:pPr>
        <w:rPr>
          <w:rFonts w:hint="eastAsia" w:ascii="宋体" w:hAnsi="宋体" w:eastAsia="宋体" w:cs="宋体"/>
          <w:sz w:val="24"/>
        </w:rPr>
      </w:pPr>
      <w:r>
        <w:rPr>
          <w:rFonts w:hint="eastAsia" w:ascii="宋体" w:hAnsi="宋体" w:eastAsia="宋体" w:cs="宋体"/>
          <w:sz w:val="24"/>
        </w:rPr>
        <w:t>2. 应收应付：</w:t>
      </w:r>
    </w:p>
    <w:p w14:paraId="08451807">
      <w:pPr>
        <w:rPr>
          <w:rFonts w:hint="eastAsia" w:ascii="宋体" w:hAnsi="宋体" w:eastAsia="宋体" w:cs="宋体"/>
          <w:sz w:val="24"/>
        </w:rPr>
      </w:pPr>
      <w:r>
        <w:rPr>
          <w:rFonts w:hint="eastAsia" w:ascii="宋体" w:hAnsi="宋体" w:eastAsia="宋体" w:cs="宋体"/>
          <w:sz w:val="24"/>
        </w:rPr>
        <w:t>2.1 支持收款核销或付款核销，核销过程中允许抹零扣费，即抹掉零头、扣除手续费、其他扣费，支持两种核销方式，直接录入核销金额或者从已有的收支账目中选取进行核销；</w:t>
      </w:r>
    </w:p>
    <w:p w14:paraId="7F2DAB90">
      <w:pPr>
        <w:rPr>
          <w:rFonts w:hint="eastAsia" w:ascii="宋体" w:hAnsi="宋体" w:eastAsia="宋体" w:cs="宋体"/>
          <w:sz w:val="24"/>
        </w:rPr>
      </w:pPr>
      <w:r>
        <w:rPr>
          <w:rFonts w:hint="eastAsia" w:ascii="宋体" w:hAnsi="宋体" w:eastAsia="宋体" w:cs="宋体"/>
          <w:sz w:val="24"/>
        </w:rPr>
        <w:t>2.2登记应收应付时支持选择本地图片、QQ截图并直接粘贴在界面上、手机微信扫码无缝上传三种方式将原始票据附在日记账上；</w:t>
      </w:r>
    </w:p>
    <w:p w14:paraId="3281FF84">
      <w:pPr>
        <w:rPr>
          <w:rFonts w:hint="eastAsia" w:ascii="宋体" w:hAnsi="宋体" w:eastAsia="宋体" w:cs="宋体"/>
          <w:sz w:val="24"/>
        </w:rPr>
      </w:pPr>
      <w:r>
        <w:rPr>
          <w:rFonts w:hint="eastAsia" w:ascii="宋体" w:hAnsi="宋体" w:eastAsia="宋体" w:cs="宋体"/>
          <w:sz w:val="24"/>
        </w:rPr>
        <w:t>2.3 支持合并收款或合并付款，多笔应收应付可合并，合并后还可跟未合并的记录进行多次合并，应收应付金额自动根据被合并的记录计算，合并后的记录可取消合并；</w:t>
      </w:r>
    </w:p>
    <w:p w14:paraId="29E1159B">
      <w:pPr>
        <w:rPr>
          <w:rFonts w:hint="eastAsia" w:ascii="宋体" w:hAnsi="宋体" w:eastAsia="宋体" w:cs="宋体"/>
          <w:sz w:val="24"/>
        </w:rPr>
      </w:pPr>
      <w:r>
        <w:rPr>
          <w:rFonts w:hint="eastAsia" w:ascii="宋体" w:hAnsi="宋体" w:eastAsia="宋体" w:cs="宋体"/>
          <w:sz w:val="24"/>
        </w:rPr>
        <w:t>3. 物品管理：</w:t>
      </w:r>
    </w:p>
    <w:p w14:paraId="7EC82864">
      <w:pPr>
        <w:rPr>
          <w:rFonts w:hint="eastAsia" w:ascii="宋体" w:hAnsi="宋体" w:eastAsia="宋体" w:cs="宋体"/>
          <w:sz w:val="24"/>
        </w:rPr>
      </w:pPr>
      <w:r>
        <w:rPr>
          <w:rFonts w:hint="eastAsia" w:ascii="宋体" w:hAnsi="宋体" w:eastAsia="宋体" w:cs="宋体"/>
          <w:sz w:val="24"/>
        </w:rPr>
        <w:t>3.1 原材料、产成品、礼品管理：对企业的原材料、产成品、礼品进行入库、领用、库存等方面的管理，以及查看领用流水、原材料、产成品、礼品报表等功能，帮助掌握公司的原材料、产成品及礼品的实际情况；（需提供盖有CMA（中国计量认证）标志的软件测试报告复印件予以佐证，测试报告须完整体现以上功能参数，未能完整体现或未提供不得分）</w:t>
      </w:r>
    </w:p>
    <w:p w14:paraId="3AC3F391">
      <w:pPr>
        <w:rPr>
          <w:rFonts w:hint="eastAsia" w:ascii="宋体" w:hAnsi="宋体" w:eastAsia="宋体" w:cs="宋体"/>
          <w:sz w:val="24"/>
        </w:rPr>
      </w:pPr>
      <w:r>
        <w:rPr>
          <w:rFonts w:hint="eastAsia" w:ascii="宋体" w:hAnsi="宋体" w:eastAsia="宋体" w:cs="宋体"/>
          <w:sz w:val="24"/>
        </w:rPr>
        <w:t>3.2 支持打印送货单，送货单可根据需要设置是否显示单价、金额，送货单上打印二维码，通过微信扫一扫查看电子送货单；（本条需现场需演示，现场未能演示或演示不满足本条要求，则不得分）</w:t>
      </w:r>
    </w:p>
    <w:p w14:paraId="4877153C">
      <w:pPr>
        <w:rPr>
          <w:rFonts w:hint="eastAsia" w:ascii="宋体" w:hAnsi="宋体" w:eastAsia="宋体" w:cs="宋体"/>
          <w:sz w:val="24"/>
        </w:rPr>
      </w:pPr>
      <w:r>
        <w:rPr>
          <w:rFonts w:hint="eastAsia" w:ascii="宋体" w:hAnsi="宋体" w:eastAsia="宋体" w:cs="宋体"/>
          <w:sz w:val="24"/>
        </w:rPr>
        <w:t>3.3 物品统计报表：按月份统计并列表显示出每一种物品的月初余额、本月入库、本月出库、月末库存余额；支持用曲线图表显示出某一种物品在多个月内入库、出库的曲线；（需提供盖有CMA（中国计量认证）标志的软件测试报告复印件予以佐证，测试报告须完整体现以上功能参数，未能完整体现或未提供不得分）</w:t>
      </w:r>
    </w:p>
    <w:p w14:paraId="5B3735EA">
      <w:pPr>
        <w:rPr>
          <w:rFonts w:hint="eastAsia" w:ascii="宋体" w:hAnsi="宋体" w:eastAsia="宋体" w:cs="宋体"/>
          <w:sz w:val="24"/>
        </w:rPr>
      </w:pPr>
      <w:r>
        <w:rPr>
          <w:rFonts w:hint="eastAsia" w:ascii="宋体" w:hAnsi="宋体" w:eastAsia="宋体" w:cs="宋体"/>
          <w:sz w:val="24"/>
        </w:rPr>
        <w:t>4. 费用报销：</w:t>
      </w:r>
    </w:p>
    <w:p w14:paraId="05EA301E">
      <w:pPr>
        <w:rPr>
          <w:rFonts w:hint="eastAsia" w:ascii="宋体" w:hAnsi="宋体" w:eastAsia="宋体" w:cs="宋体"/>
          <w:sz w:val="24"/>
        </w:rPr>
      </w:pPr>
      <w:r>
        <w:rPr>
          <w:rFonts w:hint="eastAsia" w:ascii="宋体" w:hAnsi="宋体" w:eastAsia="宋体" w:cs="宋体"/>
          <w:sz w:val="24"/>
        </w:rPr>
        <w:t>4.1 费用报销支持自定义报销类别，如差旅报销、日常费用报销等；填写报销单时允许自己为自己填写报销单，也允许为他们填写报销单；一笔报销单允许多行明细，如机票费、住宿费等；</w:t>
      </w:r>
    </w:p>
    <w:p w14:paraId="228A1C30">
      <w:pPr>
        <w:rPr>
          <w:rFonts w:hint="eastAsia" w:ascii="宋体" w:hAnsi="宋体" w:eastAsia="宋体" w:cs="宋体"/>
          <w:sz w:val="24"/>
        </w:rPr>
      </w:pPr>
      <w:r>
        <w:rPr>
          <w:rFonts w:hint="eastAsia" w:ascii="宋体" w:hAnsi="宋体" w:eastAsia="宋体" w:cs="宋体"/>
          <w:sz w:val="24"/>
        </w:rPr>
        <w:t>4.2 填写报销单时支持选择本地图片、QQ截图并直接粘贴在界面上、手机微信扫码无缝上传三种方式附上原始票据附，最多可附20张原始票据；（本条需现场需演示，现场未能演示或演示不满足本条要求，则不得分）</w:t>
      </w:r>
    </w:p>
    <w:p w14:paraId="37B1CE8A">
      <w:pPr>
        <w:rPr>
          <w:rFonts w:hint="eastAsia" w:ascii="宋体" w:hAnsi="宋体" w:eastAsia="宋体" w:cs="宋体"/>
          <w:sz w:val="24"/>
        </w:rPr>
      </w:pPr>
      <w:r>
        <w:rPr>
          <w:rFonts w:hint="eastAsia" w:ascii="宋体" w:hAnsi="宋体" w:eastAsia="宋体" w:cs="宋体"/>
          <w:sz w:val="24"/>
        </w:rPr>
        <w:t>4.3 支持费用报销审批，可一次选择多级审批，也可一次选择一级，等这一级审批通过后填报人再选择一级进行审批的方式，最后一级审批完成可设置为自动交出纳付款；审批过程中，可审批通过、审批不通过，退回，或者提交人可撤回；</w:t>
      </w:r>
    </w:p>
    <w:p w14:paraId="1A2F2D4E">
      <w:pPr>
        <w:rPr>
          <w:rFonts w:hint="eastAsia" w:ascii="宋体" w:hAnsi="宋体" w:eastAsia="宋体" w:cs="宋体"/>
          <w:sz w:val="24"/>
        </w:rPr>
      </w:pPr>
      <w:r>
        <w:rPr>
          <w:rFonts w:hint="eastAsia" w:ascii="宋体" w:hAnsi="宋体" w:eastAsia="宋体" w:cs="宋体"/>
          <w:sz w:val="24"/>
        </w:rPr>
        <w:t>5. 项目（合同）管理：</w:t>
      </w:r>
    </w:p>
    <w:p w14:paraId="4B3485D6">
      <w:pPr>
        <w:rPr>
          <w:rFonts w:hint="eastAsia" w:ascii="宋体" w:hAnsi="宋体" w:eastAsia="宋体" w:cs="宋体"/>
          <w:sz w:val="24"/>
        </w:rPr>
      </w:pPr>
      <w:r>
        <w:rPr>
          <w:rFonts w:hint="eastAsia" w:ascii="宋体" w:hAnsi="宋体" w:eastAsia="宋体" w:cs="宋体"/>
          <w:sz w:val="24"/>
        </w:rPr>
        <w:t>5.1 项目管理列表显示项目金额、已收金额、应收余额、已付金额、应付余额、利润；</w:t>
      </w:r>
    </w:p>
    <w:p w14:paraId="44020902">
      <w:pPr>
        <w:rPr>
          <w:rFonts w:hint="eastAsia" w:ascii="宋体" w:hAnsi="宋体" w:eastAsia="宋体" w:cs="宋体"/>
          <w:sz w:val="24"/>
        </w:rPr>
      </w:pPr>
      <w:r>
        <w:rPr>
          <w:rFonts w:hint="eastAsia" w:ascii="宋体" w:hAnsi="宋体" w:eastAsia="宋体" w:cs="宋体"/>
          <w:sz w:val="24"/>
        </w:rPr>
        <w:t>5.2 项目详情显示与本项目（合同）有关的全部收支记录，有关的全部物品入库出库记录，有关的全部应收应付记录；</w:t>
      </w:r>
    </w:p>
    <w:p w14:paraId="2D1A9D00">
      <w:pPr>
        <w:rPr>
          <w:rFonts w:hint="eastAsia" w:ascii="宋体" w:hAnsi="宋体" w:eastAsia="宋体" w:cs="宋体"/>
          <w:sz w:val="24"/>
        </w:rPr>
      </w:pPr>
      <w:r>
        <w:rPr>
          <w:rFonts w:hint="eastAsia" w:ascii="宋体" w:hAnsi="宋体" w:eastAsia="宋体" w:cs="宋体"/>
          <w:sz w:val="24"/>
        </w:rPr>
        <w:t>5.3 项目（合同）利润计算方式，可设置为按已收金额减去已付金额、应收金额减去应付金额、应收金额-已付金额、已收金额-应付金额或者应收金额-应付金额-日记账支出金额等不少五种方式；（本条需现场需演示，现场未能演示或演示不满足本条要求，则不得分）</w:t>
      </w:r>
    </w:p>
    <w:p w14:paraId="40643B22">
      <w:pPr>
        <w:rPr>
          <w:rFonts w:hint="eastAsia" w:ascii="宋体" w:hAnsi="宋体" w:eastAsia="宋体" w:cs="宋体"/>
          <w:sz w:val="24"/>
        </w:rPr>
      </w:pPr>
      <w:r>
        <w:rPr>
          <w:rFonts w:hint="eastAsia" w:ascii="宋体" w:hAnsi="宋体" w:eastAsia="宋体" w:cs="宋体"/>
          <w:sz w:val="24"/>
        </w:rPr>
        <w:t>6. 工资管理：</w:t>
      </w:r>
    </w:p>
    <w:p w14:paraId="36806305">
      <w:pPr>
        <w:rPr>
          <w:rFonts w:hint="eastAsia" w:ascii="宋体" w:hAnsi="宋体" w:eastAsia="宋体" w:cs="宋体"/>
          <w:sz w:val="24"/>
        </w:rPr>
      </w:pPr>
      <w:r>
        <w:rPr>
          <w:rFonts w:hint="eastAsia" w:ascii="宋体" w:hAnsi="宋体" w:eastAsia="宋体" w:cs="宋体"/>
          <w:sz w:val="24"/>
        </w:rPr>
        <w:t>6.1 工资管理：支持添加、查询工资表。以工资模版的形式对工资表进行工资项目的调整。按年或者部门等方式进行工资的统计分析。工资表可以逐月进行调整、复核以及工资条发放以及工资条的导出备份，同时发放工资条时还可以以短信的方式进行通知；（需提供盖有CMA（中国计量认证）标志的软件测试报告复印件予以佐证，测试报告须完整体现以上功能参数，未能完整体现或未提供不得分）</w:t>
      </w:r>
    </w:p>
    <w:p w14:paraId="16DD477D">
      <w:pPr>
        <w:rPr>
          <w:rFonts w:hint="eastAsia" w:ascii="宋体" w:hAnsi="宋体" w:eastAsia="宋体" w:cs="宋体"/>
          <w:sz w:val="24"/>
        </w:rPr>
      </w:pPr>
      <w:r>
        <w:rPr>
          <w:rFonts w:hint="eastAsia" w:ascii="宋体" w:hAnsi="宋体" w:eastAsia="宋体" w:cs="宋体"/>
          <w:sz w:val="24"/>
        </w:rPr>
        <w:t>6.2 支持复核工资表，复核时可选择已有工资表进行对比，高亮显示同一员工不同之处，便于领导发现本月工资表与往月不一样之处；</w:t>
      </w:r>
    </w:p>
    <w:p w14:paraId="78E91AEF">
      <w:pPr>
        <w:rPr>
          <w:rFonts w:hint="eastAsia" w:ascii="宋体" w:hAnsi="宋体" w:eastAsia="宋体" w:cs="宋体"/>
          <w:sz w:val="24"/>
        </w:rPr>
      </w:pPr>
      <w:r>
        <w:rPr>
          <w:rFonts w:hint="eastAsia" w:ascii="宋体" w:hAnsi="宋体" w:eastAsia="宋体" w:cs="宋体"/>
          <w:sz w:val="24"/>
        </w:rPr>
        <w:t>6.3 支持工资表记账，可将选定的员工工资记录合并为一笔产生一笔日记账，也可批量逐笔自动生成相同数量的日记账记录，支持从已有日记账中选取记录关联到工资表；</w:t>
      </w:r>
    </w:p>
    <w:p w14:paraId="496B229A">
      <w:pPr>
        <w:rPr>
          <w:rFonts w:hint="eastAsia" w:ascii="宋体" w:hAnsi="宋体" w:eastAsia="宋体" w:cs="宋体"/>
          <w:sz w:val="24"/>
        </w:rPr>
      </w:pPr>
      <w:r>
        <w:rPr>
          <w:rFonts w:hint="eastAsia" w:ascii="宋体" w:hAnsi="宋体" w:eastAsia="宋体" w:cs="宋体"/>
          <w:sz w:val="24"/>
        </w:rPr>
        <w:t>6.4 支持将工资表导出为Excel文件，并且可选择是否每一行打印表头，方便打印成工资条；</w:t>
      </w:r>
    </w:p>
    <w:p w14:paraId="104CD24B">
      <w:pPr>
        <w:rPr>
          <w:rFonts w:hint="eastAsia" w:ascii="宋体" w:hAnsi="宋体" w:eastAsia="宋体" w:cs="宋体"/>
          <w:sz w:val="24"/>
        </w:rPr>
      </w:pPr>
      <w:r>
        <w:rPr>
          <w:rFonts w:hint="eastAsia" w:ascii="宋体" w:hAnsi="宋体" w:eastAsia="宋体" w:cs="宋体"/>
          <w:sz w:val="24"/>
        </w:rPr>
        <w:t>7. 其他功能：</w:t>
      </w:r>
    </w:p>
    <w:p w14:paraId="01F4F280">
      <w:pPr>
        <w:rPr>
          <w:rFonts w:hint="eastAsia" w:ascii="宋体" w:hAnsi="宋体" w:eastAsia="宋体" w:cs="宋体"/>
          <w:sz w:val="24"/>
        </w:rPr>
      </w:pPr>
      <w:r>
        <w:rPr>
          <w:rFonts w:hint="eastAsia" w:ascii="宋体" w:hAnsi="宋体" w:eastAsia="宋体" w:cs="宋体"/>
          <w:sz w:val="24"/>
        </w:rPr>
        <w:t>7.1 客户管理：支持客户的添加、收回、分配以及查询功能，并且支持excel的形式进行客户的导入与导出功能；（需提供盖有CMA（中国计量认证）标志的软件测试报告复印件予以佐证，测试报告须完整体现以上功能参数，未能完整体现或未提供不得分）</w:t>
      </w:r>
    </w:p>
    <w:p w14:paraId="1735827C">
      <w:pPr>
        <w:rPr>
          <w:rFonts w:hint="eastAsia" w:ascii="宋体" w:hAnsi="宋体" w:eastAsia="宋体" w:cs="宋体"/>
          <w:sz w:val="24"/>
        </w:rPr>
      </w:pPr>
      <w:r>
        <w:rPr>
          <w:rFonts w:hint="eastAsia" w:ascii="宋体" w:hAnsi="宋体" w:eastAsia="宋体" w:cs="宋体"/>
          <w:sz w:val="24"/>
        </w:rPr>
        <w:t>7.2 项目管理：包括项目开始结束日期，项目类别、项目金额、应付金额、应收金额，自动关联日记账数据，自动计算出已付金额、应付余额或已收金额、应收余额；（本条需现场需演示，现场未能演示或演示不满足本条要求，则不得分）</w:t>
      </w:r>
    </w:p>
    <w:p w14:paraId="28DDEAEF">
      <w:pPr>
        <w:rPr>
          <w:rFonts w:hint="eastAsia" w:ascii="宋体" w:hAnsi="宋体" w:eastAsia="宋体" w:cs="宋体"/>
          <w:sz w:val="24"/>
        </w:rPr>
      </w:pPr>
      <w:r>
        <w:rPr>
          <w:rFonts w:hint="eastAsia" w:ascii="宋体" w:hAnsi="宋体" w:eastAsia="宋体" w:cs="宋体"/>
          <w:sz w:val="24"/>
        </w:rPr>
        <w:t>7.3 工作周记：按照工作计划以及工作日记的形式进行记录，同时可以提供附加图片功能。管理员可以对每个用户进行权限管辖，以控制该用户查看周记的范围；（本条需现场需演示，现场未能演示或演示不满足本条要求，则不得分）</w:t>
      </w:r>
    </w:p>
    <w:p w14:paraId="4FBAA8FD">
      <w:pPr>
        <w:rPr>
          <w:rFonts w:hint="eastAsia" w:ascii="宋体" w:hAnsi="宋体" w:eastAsia="宋体" w:cs="宋体"/>
          <w:sz w:val="24"/>
        </w:rPr>
      </w:pPr>
      <w:r>
        <w:rPr>
          <w:rFonts w:hint="eastAsia" w:ascii="宋体" w:hAnsi="宋体" w:eastAsia="宋体" w:cs="宋体"/>
          <w:sz w:val="24"/>
        </w:rPr>
        <w:t>7.4 外部报表功能：供上传税务账报表功能，可接受多种格式excel税务账报表，包括资产负债表，利润表、科目余额表等，上传的表格可设置分栏显示，包括分栏列头，方便在移动设备上查看报表；</w:t>
      </w:r>
    </w:p>
    <w:p w14:paraId="77DDBA32">
      <w:pPr>
        <w:rPr>
          <w:rFonts w:hint="eastAsia" w:ascii="宋体" w:hAnsi="宋体" w:eastAsia="宋体" w:cs="宋体"/>
          <w:sz w:val="32"/>
          <w:szCs w:val="32"/>
        </w:rPr>
      </w:pPr>
      <w:r>
        <w:rPr>
          <w:rFonts w:hint="eastAsia" w:ascii="宋体" w:hAnsi="宋体" w:eastAsia="宋体" w:cs="宋体"/>
          <w:sz w:val="24"/>
        </w:rPr>
        <w:t>7.5 发票查重：提供发票查重支持两种方式，可通过手机扫一扫扫描电子发票的二维码实现查重，也可通过手工输入发票号码实现查重。</w:t>
      </w:r>
    </w:p>
    <w:p w14:paraId="74339497">
      <w:pPr>
        <w:spacing w:beforeAutospacing="0" w:line="360" w:lineRule="auto"/>
        <w:outlineLvl w:val="1"/>
        <w:rPr>
          <w:rFonts w:hint="eastAsia" w:ascii="宋体" w:hAnsi="宋体" w:eastAsia="宋体" w:cs="宋体"/>
          <w:b/>
          <w:bCs/>
          <w:sz w:val="24"/>
          <w:szCs w:val="24"/>
          <w:lang w:val="en-US" w:eastAsia="zh-CN" w:bidi="ar-SA"/>
        </w:rPr>
      </w:pPr>
    </w:p>
    <w:p w14:paraId="67991AA5">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w:t>
      </w:r>
      <w:r>
        <w:rPr>
          <w:rFonts w:hint="eastAsia" w:ascii="宋体" w:hAnsi="宋体" w:cs="宋体"/>
          <w:b/>
          <w:bCs/>
          <w:sz w:val="24"/>
          <w:szCs w:val="24"/>
          <w:lang w:val="en-US" w:eastAsia="zh-CN" w:bidi="ar-SA"/>
        </w:rPr>
        <w:t>其它要求</w:t>
      </w:r>
    </w:p>
    <w:p w14:paraId="4EBE28A5">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1.安装调试：供应商提供免费上门安装部署调试服务，技术人员到场完成系统部署、资源封装，调试至全部模块正常运行，达到验收标准。</w:t>
      </w:r>
    </w:p>
    <w:p w14:paraId="26D79E2B">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2.师资培训：提供免费线下实操培训，培训覆盖平台架构、全模块操作、后台教学管理、基础故障排查，保障授课教师、机房管理员熟练掌握平台教学使用及简单故障排除。</w:t>
      </w:r>
    </w:p>
    <w:p w14:paraId="457302A5">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3.技术支持：提供</w:t>
      </w: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24</w:t>
      </w:r>
      <w:r>
        <w:rPr>
          <w:rFonts w:hint="eastAsia" w:ascii="宋体" w:hAnsi="宋体" w:eastAsia="宋体" w:cs="宋体"/>
          <w:sz w:val="24"/>
          <w:szCs w:val="24"/>
          <w:lang w:eastAsia="zh-CN"/>
        </w:rPr>
        <w:t>小时电话、网络、多渠道邮件技术支持，故障咨询</w:t>
      </w:r>
      <w:r>
        <w:rPr>
          <w:rFonts w:hint="eastAsia" w:ascii="宋体" w:hAnsi="宋体" w:eastAsia="宋体" w:cs="宋体"/>
          <w:sz w:val="24"/>
          <w:szCs w:val="24"/>
        </w:rPr>
        <w:t>1</w:t>
      </w:r>
      <w:r>
        <w:rPr>
          <w:rFonts w:hint="eastAsia" w:ascii="宋体" w:hAnsi="宋体" w:eastAsia="宋体" w:cs="宋体"/>
          <w:sz w:val="24"/>
          <w:szCs w:val="24"/>
          <w:lang w:eastAsia="zh-CN"/>
        </w:rPr>
        <w:t>小时内响应，</w:t>
      </w:r>
      <w:r>
        <w:rPr>
          <w:rFonts w:hint="eastAsia" w:ascii="宋体" w:hAnsi="宋体" w:eastAsia="宋体" w:cs="宋体"/>
          <w:sz w:val="24"/>
          <w:szCs w:val="24"/>
        </w:rPr>
        <w:t>2</w:t>
      </w:r>
      <w:r>
        <w:rPr>
          <w:rFonts w:hint="eastAsia" w:ascii="宋体" w:hAnsi="宋体" w:eastAsia="宋体" w:cs="宋体"/>
          <w:sz w:val="24"/>
          <w:szCs w:val="24"/>
          <w:lang w:eastAsia="zh-CN"/>
        </w:rPr>
        <w:t>小时内出具故障诊断报告；重大故障</w:t>
      </w:r>
      <w:r>
        <w:rPr>
          <w:rFonts w:hint="eastAsia" w:ascii="宋体" w:hAnsi="宋体" w:eastAsia="宋体" w:cs="宋体"/>
          <w:sz w:val="24"/>
          <w:szCs w:val="24"/>
        </w:rPr>
        <w:t>24</w:t>
      </w:r>
      <w:r>
        <w:rPr>
          <w:rFonts w:hint="eastAsia" w:ascii="宋体" w:hAnsi="宋体" w:eastAsia="宋体" w:cs="宋体"/>
          <w:sz w:val="24"/>
          <w:szCs w:val="24"/>
          <w:lang w:eastAsia="zh-CN"/>
        </w:rPr>
        <w:t>小时内安排远程或上门处置。</w:t>
      </w:r>
    </w:p>
    <w:p w14:paraId="39CEAB49">
      <w:pPr>
        <w:pStyle w:val="78"/>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4.免费质保：自验收合格之日起5年，服务期内成交供应商免费提供系统维护、版本升级与政策内容迭代更新、数据备份及技术支持。包含产品维护、版本升级及故障排除，国家审计准则、财税政策更新，供应商须完成平台内容同步升级。</w:t>
      </w:r>
    </w:p>
    <w:p w14:paraId="33FE0D4C">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2FC9D14">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2DDD6394">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02DFE302">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5BCEA8C6">
      <w:pPr>
        <w:pStyle w:val="2"/>
        <w:tabs>
          <w:tab w:val="left" w:pos="1440"/>
          <w:tab w:val="left" w:pos="5670"/>
        </w:tabs>
        <w:spacing w:before="0" w:beforeAutospacing="0" w:after="0" w:afterAutospacing="0" w:line="240" w:lineRule="auto"/>
        <w:ind w:firstLine="0" w:firstLineChars="0"/>
        <w:jc w:val="center"/>
        <w:rPr>
          <w:rFonts w:hint="eastAsia" w:ascii="宋体" w:hAnsi="宋体" w:eastAsia="宋体" w:cs="宋体"/>
          <w:b/>
          <w:bCs/>
          <w:color w:val="auto"/>
          <w:kern w:val="2"/>
          <w:sz w:val="36"/>
          <w:szCs w:val="36"/>
          <w:highlight w:val="none"/>
          <w:lang w:val="en-US" w:eastAsia="zh-CN"/>
        </w:rPr>
      </w:pPr>
    </w:p>
    <w:p w14:paraId="0C5132A2">
      <w:pPr>
        <w:spacing w:line="240" w:lineRule="auto"/>
        <w:rPr>
          <w:rFonts w:hint="eastAsia" w:ascii="宋体" w:hAnsi="宋体" w:eastAsia="宋体" w:cs="宋体"/>
          <w:b/>
          <w:bCs/>
          <w:color w:val="auto"/>
          <w:kern w:val="2"/>
          <w:sz w:val="36"/>
          <w:szCs w:val="36"/>
          <w:highlight w:val="none"/>
          <w:lang w:val="en-US" w:eastAsia="zh-CN"/>
        </w:rPr>
      </w:pPr>
    </w:p>
    <w:p w14:paraId="4B426E22">
      <w:pPr>
        <w:spacing w:line="240" w:lineRule="auto"/>
        <w:rPr>
          <w:rFonts w:hint="eastAsia" w:ascii="宋体" w:hAnsi="宋体" w:eastAsia="宋体" w:cs="宋体"/>
          <w:b/>
          <w:bCs/>
          <w:color w:val="auto"/>
          <w:kern w:val="2"/>
          <w:sz w:val="36"/>
          <w:szCs w:val="36"/>
          <w:highlight w:val="none"/>
          <w:lang w:val="en-US" w:eastAsia="zh-CN"/>
        </w:rPr>
      </w:pPr>
    </w:p>
    <w:p w14:paraId="0E2A4ADD">
      <w:pPr>
        <w:pStyle w:val="2"/>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en-US" w:eastAsia="zh-CN"/>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D4ED91">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4" w:name="_Toc28300"/>
      <w:bookmarkStart w:id="55" w:name="_Toc431"/>
      <w:bookmarkStart w:id="56" w:name="_Toc7241"/>
      <w:bookmarkStart w:id="57" w:name="_Toc3977"/>
      <w:bookmarkStart w:id="58" w:name="_Toc27586"/>
      <w:r>
        <w:rPr>
          <w:rFonts w:hint="eastAsia" w:ascii="宋体" w:hAnsi="宋体" w:eastAsia="宋体" w:cs="Times New Roman"/>
          <w:color w:val="auto"/>
          <w:sz w:val="24"/>
          <w:highlight w:val="none"/>
          <w:lang w:val="en-US" w:eastAsia="zh-CN"/>
        </w:rPr>
        <w:t>2.2异常低价响应审查</w:t>
      </w:r>
    </w:p>
    <w:bookmarkEnd w:id="54"/>
    <w:bookmarkEnd w:id="55"/>
    <w:bookmarkEnd w:id="56"/>
    <w:bookmarkEnd w:id="57"/>
    <w:bookmarkEnd w:id="58"/>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AA6A932">
      <w:pPr>
        <w:rPr>
          <w:rFonts w:hint="eastAsia" w:ascii="宋体" w:hAnsi="宋体" w:eastAsia="宋体" w:cs="宋体"/>
          <w:b/>
          <w:bCs/>
          <w:color w:val="auto"/>
          <w:kern w:val="2"/>
          <w:sz w:val="36"/>
          <w:szCs w:val="36"/>
          <w:highlight w:val="none"/>
          <w:lang w:val="en-US" w:eastAsia="zh-CN"/>
        </w:rPr>
      </w:pPr>
    </w:p>
    <w:p w14:paraId="393B0C13">
      <w:pPr>
        <w:pStyle w:val="15"/>
        <w:rPr>
          <w:rFonts w:hint="eastAsia" w:ascii="宋体" w:hAnsi="宋体" w:eastAsia="宋体" w:cs="宋体"/>
          <w:b/>
          <w:bCs/>
          <w:color w:val="auto"/>
          <w:kern w:val="2"/>
          <w:sz w:val="36"/>
          <w:szCs w:val="36"/>
          <w:highlight w:val="none"/>
          <w:lang w:val="en-US" w:eastAsia="zh-CN"/>
        </w:rPr>
      </w:pPr>
    </w:p>
    <w:p w14:paraId="79AD5670">
      <w:pPr>
        <w:pStyle w:val="15"/>
        <w:rPr>
          <w:rFonts w:hint="eastAsia" w:ascii="宋体" w:hAnsi="宋体" w:eastAsia="宋体" w:cs="宋体"/>
          <w:b/>
          <w:bCs/>
          <w:color w:val="auto"/>
          <w:kern w:val="2"/>
          <w:sz w:val="36"/>
          <w:szCs w:val="36"/>
          <w:highlight w:val="none"/>
          <w:lang w:val="en-US" w:eastAsia="zh-CN"/>
        </w:rPr>
      </w:pPr>
    </w:p>
    <w:p w14:paraId="467D7D72">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59" w:name="_Toc1812"/>
      <w:bookmarkStart w:id="60" w:name="_Toc8981"/>
      <w:bookmarkStart w:id="61" w:name="_Toc54941341"/>
      <w:bookmarkStart w:id="62" w:name="_Toc439316880"/>
    </w:p>
    <w:p w14:paraId="1D8E6547">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15"/>
        <w:rPr>
          <w:rFonts w:hint="eastAsia" w:ascii="宋体" w:hAnsi="宋体" w:eastAsia="宋体" w:cs="宋体"/>
          <w:b/>
          <w:bCs/>
          <w:spacing w:val="-20"/>
          <w:kern w:val="44"/>
          <w:sz w:val="24"/>
          <w:szCs w:val="24"/>
          <w:highlight w:val="none"/>
        </w:rPr>
      </w:pPr>
    </w:p>
    <w:p w14:paraId="2B08A30A">
      <w:pPr>
        <w:pStyle w:val="15"/>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943E57E">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pPr>
      <w:bookmarkStart w:id="63" w:name="_Toc22209"/>
      <w:bookmarkStart w:id="64" w:name="_Toc27624"/>
      <w:r>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t>合同协议书</w:t>
      </w:r>
      <w:bookmarkEnd w:id="63"/>
    </w:p>
    <w:p w14:paraId="1F09430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p>
    <w:p w14:paraId="616D2FB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p>
    <w:p w14:paraId="54A675C4">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3C0B2C16">
      <w:pPr>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val="en-US" w:eastAsia="zh-CN"/>
        </w:rPr>
      </w:pPr>
    </w:p>
    <w:p w14:paraId="1A5F71D1">
      <w:pPr>
        <w:pStyle w:val="16"/>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6"/>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6"/>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1"/>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46"/>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5" w:name="_Toc28375"/>
      <w:bookmarkStart w:id="66" w:name="_Toc15583"/>
      <w:bookmarkStart w:id="67" w:name="_Toc16021"/>
      <w:r>
        <w:rPr>
          <w:rFonts w:hint="eastAsia" w:ascii="宋体" w:hAnsi="宋体" w:cs="宋体"/>
          <w:b/>
          <w:bCs/>
          <w:sz w:val="24"/>
          <w:szCs w:val="24"/>
        </w:rPr>
        <w:t>7.合同争议的解决</w:t>
      </w:r>
      <w:bookmarkEnd w:id="65"/>
      <w:bookmarkEnd w:id="66"/>
      <w:bookmarkEnd w:id="67"/>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319BACB3">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3C3D0F2B">
      <w:pPr>
        <w:pStyle w:val="15"/>
      </w:pPr>
    </w:p>
    <w:p w14:paraId="0066D489">
      <w:pPr>
        <w:pStyle w:val="15"/>
      </w:pPr>
    </w:p>
    <w:p w14:paraId="3D1A9681">
      <w:pPr>
        <w:pStyle w:val="15"/>
      </w:pPr>
    </w:p>
    <w:p w14:paraId="23790388">
      <w:pPr>
        <w:pStyle w:val="15"/>
      </w:pPr>
    </w:p>
    <w:p w14:paraId="66EA178F">
      <w:pPr>
        <w:pStyle w:val="15"/>
      </w:pPr>
    </w:p>
    <w:p w14:paraId="68943FBE">
      <w:pPr>
        <w:pStyle w:val="15"/>
      </w:pPr>
    </w:p>
    <w:p w14:paraId="7F7D50D4">
      <w:pPr>
        <w:pStyle w:val="15"/>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1"/>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1"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8"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6"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6"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9"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6"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6"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6"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6"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r w14:paraId="7DECFB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A0DEB19">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09" w:type="pct"/>
            <w:tcBorders>
              <w:top w:val="single" w:color="auto" w:sz="2" w:space="0"/>
              <w:left w:val="single" w:color="auto" w:sz="2" w:space="0"/>
              <w:bottom w:val="single" w:color="auto" w:sz="2" w:space="0"/>
              <w:right w:val="single" w:color="auto" w:sz="2" w:space="0"/>
            </w:tcBorders>
            <w:vAlign w:val="center"/>
          </w:tcPr>
          <w:p w14:paraId="5300CB9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608E36F7">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66" w:type="pct"/>
            <w:tcBorders>
              <w:top w:val="single" w:color="auto" w:sz="2" w:space="0"/>
              <w:left w:val="single" w:color="auto" w:sz="2" w:space="0"/>
              <w:bottom w:val="single" w:color="auto" w:sz="2" w:space="0"/>
            </w:tcBorders>
            <w:vAlign w:val="center"/>
          </w:tcPr>
          <w:p w14:paraId="4ADF91E6">
            <w:pPr>
              <w:snapToGrid w:val="0"/>
              <w:spacing w:line="360" w:lineRule="auto"/>
              <w:jc w:val="center"/>
              <w:rPr>
                <w:rFonts w:hint="eastAsia" w:ascii="宋体" w:hAnsi="宋体" w:cs="宋体"/>
                <w:spacing w:val="20"/>
                <w:sz w:val="24"/>
                <w:szCs w:val="24"/>
              </w:rPr>
            </w:pPr>
          </w:p>
        </w:tc>
      </w:tr>
      <w:tr w14:paraId="646077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76C9FEE">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09" w:type="pct"/>
            <w:tcBorders>
              <w:top w:val="single" w:color="auto" w:sz="2" w:space="0"/>
              <w:left w:val="single" w:color="auto" w:sz="2" w:space="0"/>
              <w:bottom w:val="single" w:color="auto" w:sz="2" w:space="0"/>
              <w:right w:val="single" w:color="auto" w:sz="2" w:space="0"/>
            </w:tcBorders>
            <w:vAlign w:val="center"/>
          </w:tcPr>
          <w:p w14:paraId="6D4011F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4DFD82B9">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66" w:type="pct"/>
            <w:tcBorders>
              <w:top w:val="single" w:color="auto" w:sz="2" w:space="0"/>
              <w:left w:val="single" w:color="auto" w:sz="2" w:space="0"/>
              <w:bottom w:val="single" w:color="auto" w:sz="2" w:space="0"/>
            </w:tcBorders>
            <w:vAlign w:val="center"/>
          </w:tcPr>
          <w:p w14:paraId="118CDF55">
            <w:pPr>
              <w:snapToGrid w:val="0"/>
              <w:spacing w:line="360" w:lineRule="auto"/>
              <w:jc w:val="center"/>
              <w:rPr>
                <w:rFonts w:hint="eastAsia" w:ascii="宋体" w:hAnsi="宋体" w:cs="宋体"/>
                <w:spacing w:val="20"/>
                <w:sz w:val="24"/>
                <w:szCs w:val="24"/>
              </w:rPr>
            </w:pPr>
          </w:p>
        </w:tc>
      </w:tr>
      <w:tr w14:paraId="302FF4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3D4549E">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09" w:type="pct"/>
            <w:tcBorders>
              <w:top w:val="single" w:color="auto" w:sz="2" w:space="0"/>
              <w:left w:val="single" w:color="auto" w:sz="2" w:space="0"/>
              <w:bottom w:val="single" w:color="auto" w:sz="2" w:space="0"/>
              <w:right w:val="single" w:color="auto" w:sz="2" w:space="0"/>
            </w:tcBorders>
            <w:vAlign w:val="center"/>
          </w:tcPr>
          <w:p w14:paraId="63BF0E4F">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394CF88">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66" w:type="pct"/>
            <w:tcBorders>
              <w:top w:val="single" w:color="auto" w:sz="2" w:space="0"/>
              <w:left w:val="single" w:color="auto" w:sz="2" w:space="0"/>
              <w:bottom w:val="single" w:color="auto" w:sz="2" w:space="0"/>
            </w:tcBorders>
            <w:vAlign w:val="center"/>
          </w:tcPr>
          <w:p w14:paraId="6EEA5E48">
            <w:pPr>
              <w:snapToGrid w:val="0"/>
              <w:spacing w:line="360" w:lineRule="auto"/>
              <w:jc w:val="center"/>
              <w:rPr>
                <w:rFonts w:hint="eastAsia" w:ascii="宋体" w:hAnsi="宋体" w:cs="宋体"/>
                <w:spacing w:val="20"/>
                <w:sz w:val="24"/>
                <w:szCs w:val="24"/>
              </w:rPr>
            </w:pPr>
          </w:p>
        </w:tc>
      </w:tr>
      <w:tr w14:paraId="1362F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AB484B4">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09" w:type="pct"/>
            <w:tcBorders>
              <w:top w:val="single" w:color="auto" w:sz="2" w:space="0"/>
              <w:left w:val="single" w:color="auto" w:sz="2" w:space="0"/>
              <w:bottom w:val="single" w:color="auto" w:sz="2" w:space="0"/>
              <w:right w:val="single" w:color="auto" w:sz="2" w:space="0"/>
            </w:tcBorders>
            <w:vAlign w:val="center"/>
          </w:tcPr>
          <w:p w14:paraId="3A53BF8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9E6E16D">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66" w:type="pct"/>
            <w:tcBorders>
              <w:top w:val="single" w:color="auto" w:sz="2" w:space="0"/>
              <w:left w:val="single" w:color="auto" w:sz="2" w:space="0"/>
              <w:bottom w:val="single" w:color="auto" w:sz="2" w:space="0"/>
            </w:tcBorders>
            <w:vAlign w:val="center"/>
          </w:tcPr>
          <w:p w14:paraId="6962EE75">
            <w:pPr>
              <w:snapToGrid w:val="0"/>
              <w:spacing w:line="360" w:lineRule="auto"/>
              <w:jc w:val="center"/>
              <w:rPr>
                <w:rFonts w:hint="eastAsia" w:ascii="宋体" w:hAnsi="宋体" w:cs="宋体"/>
                <w:spacing w:val="20"/>
                <w:sz w:val="24"/>
                <w:szCs w:val="24"/>
              </w:rPr>
            </w:pPr>
          </w:p>
        </w:tc>
      </w:tr>
      <w:tr w14:paraId="67F76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560C0BDC">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272FCF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02F1D18">
            <w:pPr>
              <w:snapToGrid w:val="0"/>
              <w:spacing w:line="360" w:lineRule="auto"/>
              <w:jc w:val="center"/>
              <w:rPr>
                <w:rFonts w:hint="eastAsia" w:ascii="宋体" w:hAnsi="宋体" w:cs="宋体"/>
                <w:sz w:val="24"/>
                <w:szCs w:val="24"/>
              </w:rPr>
            </w:pPr>
            <w:r>
              <w:rPr>
                <w:rFonts w:hint="eastAsia" w:ascii="宋体" w:hAnsi="宋体" w:cs="宋体"/>
                <w:sz w:val="24"/>
                <w:szCs w:val="24"/>
              </w:rPr>
              <w:t>开户名称</w:t>
            </w:r>
          </w:p>
        </w:tc>
        <w:tc>
          <w:tcPr>
            <w:tcW w:w="1166" w:type="pct"/>
            <w:tcBorders>
              <w:top w:val="single" w:color="auto" w:sz="2" w:space="0"/>
              <w:left w:val="single" w:color="auto" w:sz="2" w:space="0"/>
              <w:bottom w:val="single" w:color="auto" w:sz="2" w:space="0"/>
            </w:tcBorders>
            <w:vAlign w:val="center"/>
          </w:tcPr>
          <w:p w14:paraId="5A7C272A">
            <w:pPr>
              <w:snapToGrid w:val="0"/>
              <w:spacing w:line="360" w:lineRule="auto"/>
              <w:jc w:val="center"/>
              <w:rPr>
                <w:rFonts w:hint="eastAsia" w:ascii="宋体" w:hAnsi="宋体" w:cs="宋体"/>
                <w:spacing w:val="20"/>
                <w:sz w:val="24"/>
                <w:szCs w:val="24"/>
              </w:rPr>
            </w:pPr>
          </w:p>
        </w:tc>
      </w:tr>
      <w:tr w14:paraId="7D36A5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18AE3F64">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FC29D4B">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8192868">
            <w:pPr>
              <w:snapToGrid w:val="0"/>
              <w:spacing w:line="360" w:lineRule="auto"/>
              <w:jc w:val="center"/>
              <w:rPr>
                <w:rFonts w:hint="eastAsia" w:ascii="宋体" w:hAnsi="宋体" w:cs="宋体"/>
                <w:sz w:val="24"/>
                <w:szCs w:val="24"/>
              </w:rPr>
            </w:pPr>
            <w:r>
              <w:rPr>
                <w:rFonts w:hint="eastAsia" w:ascii="宋体" w:hAnsi="宋体" w:cs="宋体"/>
                <w:sz w:val="24"/>
                <w:szCs w:val="24"/>
              </w:rPr>
              <w:t>开户银行</w:t>
            </w:r>
          </w:p>
        </w:tc>
        <w:tc>
          <w:tcPr>
            <w:tcW w:w="1166" w:type="pct"/>
            <w:tcBorders>
              <w:top w:val="single" w:color="auto" w:sz="2" w:space="0"/>
              <w:left w:val="single" w:color="auto" w:sz="2" w:space="0"/>
              <w:bottom w:val="single" w:color="auto" w:sz="2" w:space="0"/>
            </w:tcBorders>
            <w:vAlign w:val="center"/>
          </w:tcPr>
          <w:p w14:paraId="182FCF76">
            <w:pPr>
              <w:snapToGrid w:val="0"/>
              <w:spacing w:line="360" w:lineRule="auto"/>
              <w:jc w:val="center"/>
              <w:rPr>
                <w:rFonts w:hint="eastAsia" w:ascii="宋体" w:hAnsi="宋体" w:cs="宋体"/>
                <w:spacing w:val="20"/>
                <w:sz w:val="24"/>
                <w:szCs w:val="24"/>
              </w:rPr>
            </w:pPr>
          </w:p>
        </w:tc>
      </w:tr>
      <w:tr w14:paraId="2B286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481A652">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CD65D18">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6BE6298">
            <w:pPr>
              <w:snapToGrid w:val="0"/>
              <w:spacing w:line="360" w:lineRule="auto"/>
              <w:jc w:val="center"/>
              <w:rPr>
                <w:rFonts w:hint="eastAsia" w:ascii="宋体" w:hAnsi="宋体" w:cs="宋体"/>
                <w:sz w:val="24"/>
                <w:szCs w:val="24"/>
              </w:rPr>
            </w:pPr>
            <w:r>
              <w:rPr>
                <w:rFonts w:hint="eastAsia" w:ascii="宋体" w:hAnsi="宋体" w:cs="宋体"/>
                <w:sz w:val="24"/>
                <w:szCs w:val="24"/>
              </w:rPr>
              <w:t>银行账号</w:t>
            </w:r>
          </w:p>
        </w:tc>
        <w:tc>
          <w:tcPr>
            <w:tcW w:w="1166" w:type="pct"/>
            <w:tcBorders>
              <w:top w:val="single" w:color="auto" w:sz="2" w:space="0"/>
              <w:left w:val="single" w:color="auto" w:sz="2" w:space="0"/>
              <w:bottom w:val="single" w:color="auto" w:sz="2" w:space="0"/>
            </w:tcBorders>
            <w:vAlign w:val="center"/>
          </w:tcPr>
          <w:p w14:paraId="00D94B3F">
            <w:pPr>
              <w:snapToGrid w:val="0"/>
              <w:spacing w:line="360" w:lineRule="auto"/>
              <w:jc w:val="center"/>
              <w:rPr>
                <w:rFonts w:hint="eastAsia" w:ascii="宋体" w:hAnsi="宋体" w:cs="宋体"/>
                <w:spacing w:val="20"/>
                <w:sz w:val="24"/>
                <w:szCs w:val="24"/>
              </w:rPr>
            </w:pPr>
          </w:p>
        </w:tc>
      </w:tr>
      <w:tr w14:paraId="28963C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4"/>
            <w:tcBorders>
              <w:top w:val="single" w:color="auto" w:sz="2" w:space="0"/>
            </w:tcBorders>
            <w:vAlign w:val="center"/>
          </w:tcPr>
          <w:p w14:paraId="479B36E8">
            <w:pPr>
              <w:pStyle w:val="16"/>
              <w:snapToGrid w:val="0"/>
              <w:spacing w:before="156" w:beforeLines="50" w:line="360" w:lineRule="auto"/>
              <w:ind w:left="3276" w:hanging="3276"/>
              <w:rPr>
                <w:rFonts w:hint="eastAsia" w:ascii="宋体" w:hAnsi="宋体" w:cs="宋体"/>
                <w:spacing w:val="20"/>
                <w:sz w:val="24"/>
                <w:szCs w:val="24"/>
              </w:rPr>
            </w:pPr>
            <w:r>
              <w:rPr>
                <w:rFonts w:hint="eastAsia" w:ascii="宋体" w:hAnsi="宋体" w:cs="宋体"/>
                <w:sz w:val="24"/>
                <w:szCs w:val="24"/>
              </w:rPr>
              <w:t>注：涉及联合体或其他合同主体的信息应按上表格式加列。</w:t>
            </w:r>
          </w:p>
        </w:tc>
      </w:tr>
    </w:tbl>
    <w:p w14:paraId="5AE37D29">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76DFD1A9">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CD1B38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DAA0C3A">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5DDD4CC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345B5CDB">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0ADD1DB1">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1C50493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4"/>
    <w:p w14:paraId="3AEC431B">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68" w:name="_Toc417656001"/>
      <w:r>
        <w:rPr>
          <w:rFonts w:hint="eastAsia" w:ascii="宋体" w:hAnsi="宋体" w:eastAsia="宋体" w:cs="宋体"/>
          <w:b/>
          <w:bCs/>
          <w:color w:val="auto"/>
          <w:kern w:val="2"/>
          <w:sz w:val="36"/>
          <w:szCs w:val="36"/>
          <w:highlight w:val="none"/>
          <w:lang w:val="en-US" w:eastAsia="zh-CN"/>
        </w:rPr>
        <w:t>响应文件格式</w:t>
      </w:r>
      <w:bookmarkEnd w:id="59"/>
      <w:bookmarkEnd w:id="60"/>
      <w:bookmarkEnd w:id="61"/>
      <w:bookmarkEnd w:id="62"/>
      <w:bookmarkEnd w:id="68"/>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69" w:name="_Toc12430"/>
      <w:bookmarkStart w:id="70"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69"/>
      <w:bookmarkEnd w:id="70"/>
    </w:p>
    <w:p w14:paraId="4C3254F9">
      <w:pPr>
        <w:widowControl/>
        <w:jc w:val="left"/>
        <w:rPr>
          <w:rFonts w:ascii="宋体" w:cs="宋体"/>
          <w:color w:val="auto"/>
          <w:sz w:val="24"/>
          <w:highlight w:val="none"/>
        </w:rPr>
      </w:pPr>
    </w:p>
    <w:p w14:paraId="0E2EF0B0">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1" w:name="_Toc461053086"/>
      <w:bookmarkStart w:id="72" w:name="_Toc461056631"/>
      <w:bookmarkStart w:id="73" w:name="_Toc27513"/>
      <w:bookmarkStart w:id="74" w:name="_Toc23658"/>
      <w:bookmarkStart w:id="75" w:name="_Toc520983587"/>
      <w:r>
        <w:rPr>
          <w:rFonts w:hint="eastAsia" w:asciiTheme="majorEastAsia" w:hAnsiTheme="majorEastAsia" w:eastAsiaTheme="majorEastAsia" w:cstheme="majorEastAsia"/>
          <w:color w:val="auto"/>
          <w:sz w:val="28"/>
          <w:szCs w:val="28"/>
          <w:highlight w:val="none"/>
          <w:lang w:eastAsia="zh-CN"/>
        </w:rPr>
        <w:t>一</w:t>
      </w:r>
      <w:bookmarkEnd w:id="71"/>
      <w:bookmarkEnd w:id="72"/>
      <w:r>
        <w:rPr>
          <w:rFonts w:hint="eastAsia" w:asciiTheme="majorEastAsia" w:hAnsiTheme="majorEastAsia" w:eastAsiaTheme="majorEastAsia" w:cstheme="majorEastAsia"/>
          <w:color w:val="auto"/>
          <w:sz w:val="28"/>
          <w:szCs w:val="28"/>
          <w:highlight w:val="none"/>
          <w:lang w:eastAsia="zh-CN"/>
        </w:rPr>
        <w:t>、报价表格式</w:t>
      </w:r>
      <w:bookmarkEnd w:id="73"/>
      <w:bookmarkEnd w:id="74"/>
      <w:bookmarkEnd w:id="75"/>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6" w:name="_Toc32647"/>
      <w:bookmarkStart w:id="77" w:name="_Toc28153"/>
      <w:bookmarkStart w:id="78"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60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000"/>
        <w:gridCol w:w="1516"/>
        <w:gridCol w:w="1935"/>
        <w:gridCol w:w="948"/>
        <w:gridCol w:w="948"/>
        <w:gridCol w:w="1324"/>
        <w:gridCol w:w="132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jc w:val="center"/>
        </w:trPr>
        <w:tc>
          <w:tcPr>
            <w:tcW w:w="348" w:type="pct"/>
            <w:noWrap w:val="0"/>
            <w:vAlign w:val="center"/>
          </w:tcPr>
          <w:p w14:paraId="71471830">
            <w:pPr>
              <w:pStyle w:val="145"/>
              <w:widowControl w:val="0"/>
              <w:spacing w:before="0" w:beforeAutospacing="0" w:after="0" w:afterAutospacing="0"/>
              <w:jc w:val="center"/>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930"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05" w:type="pct"/>
            <w:noWrap w:val="0"/>
            <w:vAlign w:val="center"/>
          </w:tcPr>
          <w:p w14:paraId="1B379716">
            <w:pPr>
              <w:jc w:val="center"/>
              <w:rPr>
                <w:rFonts w:hint="eastAsia" w:ascii="宋体" w:hAnsi="宋体" w:eastAsia="宋体"/>
                <w:b/>
                <w:sz w:val="24"/>
                <w:highlight w:val="none"/>
              </w:rPr>
            </w:pPr>
            <w:r>
              <w:rPr>
                <w:rFonts w:hint="eastAsia" w:ascii="宋体" w:hAnsi="宋体" w:eastAsia="宋体"/>
                <w:b/>
                <w:sz w:val="24"/>
                <w:highlight w:val="none"/>
              </w:rPr>
              <w:t>品牌、</w:t>
            </w:r>
          </w:p>
          <w:p w14:paraId="01315287">
            <w:pPr>
              <w:jc w:val="center"/>
              <w:rPr>
                <w:rFonts w:ascii="宋体" w:hAnsi="宋体" w:eastAsia="宋体"/>
                <w:b/>
                <w:sz w:val="24"/>
                <w:highlight w:val="none"/>
              </w:rPr>
            </w:pPr>
            <w:r>
              <w:rPr>
                <w:rFonts w:hint="eastAsia" w:ascii="宋体" w:hAnsi="宋体" w:eastAsia="宋体"/>
                <w:b/>
                <w:sz w:val="24"/>
                <w:highlight w:val="none"/>
              </w:rPr>
              <w:t>型号规格</w:t>
            </w:r>
          </w:p>
        </w:tc>
        <w:tc>
          <w:tcPr>
            <w:tcW w:w="900" w:type="pct"/>
            <w:noWrap w:val="0"/>
            <w:vAlign w:val="center"/>
          </w:tcPr>
          <w:p w14:paraId="2045FC2F">
            <w:pPr>
              <w:jc w:val="center"/>
              <w:rPr>
                <w:rFonts w:hint="eastAsia" w:ascii="宋体" w:hAnsi="宋体" w:eastAsia="宋体"/>
                <w:b/>
                <w:sz w:val="24"/>
                <w:highlight w:val="none"/>
              </w:rPr>
            </w:pPr>
            <w:r>
              <w:rPr>
                <w:rFonts w:hint="eastAsia" w:ascii="宋体" w:hAnsi="宋体" w:eastAsia="宋体"/>
                <w:b/>
                <w:sz w:val="24"/>
                <w:highlight w:val="none"/>
              </w:rPr>
              <w:t>原产地</w:t>
            </w:r>
          </w:p>
          <w:p w14:paraId="56BEEEA9">
            <w:pPr>
              <w:jc w:val="center"/>
              <w:rPr>
                <w:rFonts w:hint="eastAsia" w:ascii="宋体" w:hAnsi="宋体" w:eastAsia="宋体"/>
                <w:b/>
                <w:sz w:val="24"/>
                <w:highlight w:val="none"/>
              </w:rPr>
            </w:pPr>
            <w:r>
              <w:rPr>
                <w:rFonts w:hint="eastAsia" w:ascii="宋体" w:hAnsi="宋体" w:eastAsia="宋体"/>
                <w:b/>
                <w:sz w:val="24"/>
                <w:highlight w:val="none"/>
              </w:rPr>
              <w:t>及生产厂商</w:t>
            </w:r>
          </w:p>
        </w:tc>
        <w:tc>
          <w:tcPr>
            <w:tcW w:w="441" w:type="pct"/>
            <w:noWrap w:val="0"/>
            <w:vAlign w:val="center"/>
          </w:tcPr>
          <w:p w14:paraId="2CB1E19C">
            <w:pPr>
              <w:jc w:val="center"/>
              <w:rPr>
                <w:rFonts w:ascii="宋体" w:hAnsi="宋体" w:eastAsia="宋体"/>
                <w:b/>
                <w:sz w:val="24"/>
                <w:highlight w:val="none"/>
              </w:rPr>
            </w:pPr>
            <w:bookmarkStart w:id="116" w:name="_GoBack"/>
            <w:bookmarkEnd w:id="116"/>
            <w:r>
              <w:rPr>
                <w:rFonts w:hint="eastAsia" w:ascii="宋体" w:hAnsi="宋体" w:eastAsia="宋体"/>
                <w:b/>
                <w:sz w:val="24"/>
                <w:highlight w:val="none"/>
              </w:rPr>
              <w:t>单位</w:t>
            </w:r>
          </w:p>
        </w:tc>
        <w:tc>
          <w:tcPr>
            <w:tcW w:w="441"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616"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616"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348" w:type="pct"/>
            <w:tcBorders>
              <w:bottom w:val="single" w:color="auto" w:sz="4" w:space="0"/>
            </w:tcBorders>
            <w:noWrap w:val="0"/>
            <w:vAlign w:val="center"/>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930" w:type="pct"/>
            <w:noWrap w:val="0"/>
            <w:vAlign w:val="center"/>
          </w:tcPr>
          <w:p w14:paraId="22481D96">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审计实务平台</w:t>
            </w:r>
          </w:p>
        </w:tc>
        <w:tc>
          <w:tcPr>
            <w:tcW w:w="705" w:type="pct"/>
            <w:noWrap w:val="0"/>
            <w:vAlign w:val="center"/>
          </w:tcPr>
          <w:p w14:paraId="382C01B8">
            <w:pPr>
              <w:jc w:val="center"/>
              <w:rPr>
                <w:rFonts w:ascii="宋体" w:hAnsi="宋体" w:eastAsia="宋体"/>
                <w:sz w:val="24"/>
                <w:highlight w:val="none"/>
              </w:rPr>
            </w:pPr>
          </w:p>
        </w:tc>
        <w:tc>
          <w:tcPr>
            <w:tcW w:w="900" w:type="pct"/>
            <w:noWrap w:val="0"/>
            <w:vAlign w:val="center"/>
          </w:tcPr>
          <w:p w14:paraId="3025CC4A">
            <w:pPr>
              <w:jc w:val="center"/>
              <w:rPr>
                <w:rFonts w:ascii="宋体" w:hAnsi="宋体" w:eastAsia="宋体"/>
                <w:sz w:val="24"/>
                <w:highlight w:val="none"/>
              </w:rPr>
            </w:pPr>
          </w:p>
        </w:tc>
        <w:tc>
          <w:tcPr>
            <w:tcW w:w="441" w:type="pct"/>
            <w:noWrap w:val="0"/>
            <w:vAlign w:val="center"/>
          </w:tcPr>
          <w:p w14:paraId="07B7F083">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套</w:t>
            </w:r>
          </w:p>
        </w:tc>
        <w:tc>
          <w:tcPr>
            <w:tcW w:w="441" w:type="pct"/>
            <w:noWrap w:val="0"/>
            <w:vAlign w:val="center"/>
          </w:tcPr>
          <w:p w14:paraId="16E9F997">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1</w:t>
            </w:r>
          </w:p>
        </w:tc>
        <w:tc>
          <w:tcPr>
            <w:tcW w:w="616" w:type="pct"/>
            <w:noWrap w:val="0"/>
            <w:vAlign w:val="center"/>
          </w:tcPr>
          <w:p w14:paraId="27694736">
            <w:pPr>
              <w:jc w:val="center"/>
              <w:rPr>
                <w:rFonts w:ascii="宋体" w:hAnsi="宋体" w:eastAsia="宋体"/>
                <w:sz w:val="24"/>
                <w:highlight w:val="none"/>
              </w:rPr>
            </w:pPr>
          </w:p>
        </w:tc>
        <w:tc>
          <w:tcPr>
            <w:tcW w:w="616" w:type="pct"/>
            <w:noWrap w:val="0"/>
            <w:vAlign w:val="center"/>
          </w:tcPr>
          <w:p w14:paraId="1CA91A34">
            <w:pPr>
              <w:jc w:val="cente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6926DCF5">
      <w:pPr>
        <w:pStyle w:val="12"/>
        <w:rPr>
          <w:rFonts w:hAnsi="宋体" w:cs="宋体"/>
          <w:color w:val="auto"/>
          <w:highlight w:val="none"/>
        </w:rPr>
      </w:pPr>
    </w:p>
    <w:p w14:paraId="4628FB8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int="eastAsia" w:ascii="宋体" w:hAnsi="宋体" w:eastAsia="宋体"/>
          <w:color w:val="auto"/>
          <w:sz w:val="24"/>
          <w:szCs w:val="24"/>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2"/>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2"/>
        <w:rPr>
          <w:rFonts w:hAnsi="宋体" w:cs="宋体"/>
          <w:color w:val="auto"/>
          <w:highlight w:val="none"/>
        </w:rPr>
      </w:pPr>
    </w:p>
    <w:p w14:paraId="27AF0D8E">
      <w:pPr>
        <w:pStyle w:val="12"/>
        <w:rPr>
          <w:rFonts w:hAnsi="宋体" w:cs="宋体"/>
          <w:color w:val="auto"/>
          <w:highlight w:val="none"/>
        </w:rPr>
      </w:pPr>
    </w:p>
    <w:p w14:paraId="486FC57D">
      <w:pPr>
        <w:pStyle w:val="12"/>
        <w:rPr>
          <w:rFonts w:hAnsi="宋体" w:cs="宋体"/>
          <w:color w:val="auto"/>
          <w:highlight w:val="none"/>
        </w:rPr>
      </w:pPr>
    </w:p>
    <w:p w14:paraId="2D5221A7">
      <w:pPr>
        <w:pStyle w:val="12"/>
        <w:rPr>
          <w:rFonts w:hAnsi="宋体" w:cs="宋体"/>
          <w:color w:val="auto"/>
          <w:highlight w:val="none"/>
        </w:rPr>
      </w:pPr>
    </w:p>
    <w:p w14:paraId="6B3A0531">
      <w:pPr>
        <w:pStyle w:val="12"/>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2"/>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6"/>
    <w:bookmarkEnd w:id="77"/>
    <w:p w14:paraId="68C8E93B">
      <w:pPr>
        <w:pStyle w:val="4"/>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79" w:name="_Toc127"/>
      <w:bookmarkStart w:id="80" w:name="_Toc13918"/>
    </w:p>
    <w:p w14:paraId="0DA2C8BA">
      <w:pPr>
        <w:rPr>
          <w:rFonts w:hint="eastAsia" w:asciiTheme="majorEastAsia" w:hAnsiTheme="majorEastAsia" w:eastAsiaTheme="majorEastAsia" w:cstheme="majorEastAsia"/>
          <w:color w:val="auto"/>
          <w:sz w:val="28"/>
          <w:szCs w:val="28"/>
          <w:highlight w:val="none"/>
          <w:lang w:eastAsia="zh-CN"/>
        </w:rPr>
      </w:pPr>
    </w:p>
    <w:p w14:paraId="63834F15">
      <w:pPr>
        <w:rPr>
          <w:rFonts w:hint="eastAsia" w:asciiTheme="majorEastAsia" w:hAnsiTheme="majorEastAsia" w:eastAsiaTheme="majorEastAsia" w:cstheme="majorEastAsia"/>
          <w:color w:val="auto"/>
          <w:sz w:val="28"/>
          <w:szCs w:val="28"/>
          <w:highlight w:val="none"/>
          <w:lang w:eastAsia="zh-CN"/>
        </w:rPr>
      </w:pPr>
    </w:p>
    <w:p w14:paraId="3F6D2C1F">
      <w:pPr>
        <w:rPr>
          <w:rFonts w:hint="eastAsia" w:asciiTheme="majorEastAsia" w:hAnsiTheme="majorEastAsia" w:eastAsiaTheme="majorEastAsia" w:cstheme="majorEastAsia"/>
          <w:color w:val="auto"/>
          <w:sz w:val="28"/>
          <w:szCs w:val="28"/>
          <w:highlight w:val="none"/>
          <w:lang w:eastAsia="zh-CN"/>
        </w:rPr>
      </w:pPr>
    </w:p>
    <w:p w14:paraId="4DB1991C">
      <w:pPr>
        <w:rPr>
          <w:rFonts w:hint="eastAsia" w:asciiTheme="majorEastAsia" w:hAnsiTheme="majorEastAsia" w:eastAsiaTheme="majorEastAsia" w:cstheme="majorEastAsia"/>
          <w:color w:val="auto"/>
          <w:sz w:val="28"/>
          <w:szCs w:val="28"/>
          <w:highlight w:val="none"/>
          <w:lang w:eastAsia="zh-CN"/>
        </w:rPr>
      </w:pPr>
    </w:p>
    <w:p w14:paraId="2AD16DC5">
      <w:pPr>
        <w:rPr>
          <w:rFonts w:hint="eastAsia" w:asciiTheme="majorEastAsia" w:hAnsiTheme="majorEastAsia" w:eastAsiaTheme="majorEastAsia" w:cstheme="majorEastAsia"/>
          <w:color w:val="auto"/>
          <w:sz w:val="28"/>
          <w:szCs w:val="28"/>
          <w:highlight w:val="none"/>
          <w:lang w:eastAsia="zh-CN"/>
        </w:rPr>
      </w:pPr>
    </w:p>
    <w:p w14:paraId="5719B9E0">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79"/>
      <w:bookmarkEnd w:id="80"/>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15"/>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1" w:name="_Toc24283"/>
      <w:bookmarkStart w:id="82" w:name="_Toc19122"/>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1"/>
      <w:bookmarkEnd w:id="82"/>
    </w:p>
    <w:p w14:paraId="349C4EF4">
      <w:pPr>
        <w:pStyle w:val="22"/>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3" w:name="_Hlk44287576"/>
      <w:r>
        <w:rPr>
          <w:rFonts w:hint="eastAsia" w:ascii="宋体" w:hAnsi="宋体" w:eastAsia="宋体"/>
          <w:color w:val="auto"/>
          <w:sz w:val="24"/>
          <w:highlight w:val="none"/>
        </w:rPr>
        <w:t>竞争性谈判公告和谈判邀请</w:t>
      </w:r>
      <w:bookmarkEnd w:id="83"/>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4"/>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15"/>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4" w:name="_Toc25337"/>
    </w:p>
    <w:p w14:paraId="6E1E6CC2">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4"/>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2"/>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15"/>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4"/>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5"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4"/>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5"/>
    </w:p>
    <w:p w14:paraId="4ED97A1D">
      <w:pPr>
        <w:pStyle w:val="20"/>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0"/>
        <w:snapToGrid w:val="0"/>
        <w:spacing w:line="360" w:lineRule="auto"/>
        <w:ind w:firstLine="480" w:firstLineChars="200"/>
        <w:jc w:val="left"/>
        <w:rPr>
          <w:rFonts w:hAnsi="宋体" w:eastAsia="宋体"/>
          <w:color w:val="auto"/>
          <w:sz w:val="24"/>
          <w:highlight w:val="none"/>
        </w:rPr>
      </w:pPr>
    </w:p>
    <w:p w14:paraId="6BA4092A">
      <w:pPr>
        <w:pStyle w:val="20"/>
        <w:snapToGrid w:val="0"/>
        <w:spacing w:line="360" w:lineRule="auto"/>
        <w:ind w:firstLine="480" w:firstLineChars="200"/>
        <w:jc w:val="left"/>
        <w:rPr>
          <w:rFonts w:hAnsi="宋体" w:eastAsia="宋体"/>
          <w:color w:val="auto"/>
          <w:sz w:val="24"/>
          <w:highlight w:val="none"/>
        </w:rPr>
      </w:pPr>
    </w:p>
    <w:p w14:paraId="5B267070">
      <w:pPr>
        <w:pStyle w:val="20"/>
        <w:snapToGrid w:val="0"/>
        <w:spacing w:line="360" w:lineRule="auto"/>
        <w:jc w:val="left"/>
        <w:rPr>
          <w:rFonts w:hAnsi="宋体" w:eastAsia="宋体"/>
          <w:color w:val="auto"/>
          <w:sz w:val="24"/>
          <w:highlight w:val="none"/>
        </w:rPr>
      </w:pPr>
    </w:p>
    <w:p w14:paraId="15517265">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0"/>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15"/>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15"/>
        <w:rPr>
          <w:rFonts w:hint="eastAsia" w:ascii="宋体" w:hAnsi="宋体" w:eastAsia="宋体"/>
          <w:color w:val="auto"/>
          <w:sz w:val="24"/>
          <w:szCs w:val="28"/>
          <w:highlight w:val="none"/>
        </w:rPr>
      </w:pPr>
    </w:p>
    <w:p w14:paraId="34211D56">
      <w:pPr>
        <w:pStyle w:val="15"/>
        <w:rPr>
          <w:rFonts w:hint="eastAsia" w:ascii="宋体" w:hAnsi="宋体" w:eastAsia="宋体"/>
          <w:color w:val="auto"/>
          <w:sz w:val="24"/>
          <w:szCs w:val="28"/>
          <w:highlight w:val="none"/>
        </w:rPr>
      </w:pPr>
    </w:p>
    <w:p w14:paraId="62B29EEE">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0"/>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4"/>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15"/>
        <w:rPr>
          <w:rFonts w:hint="eastAsia"/>
          <w:lang w:val="en-US" w:eastAsia="zh-CN"/>
        </w:rPr>
      </w:pPr>
    </w:p>
    <w:p w14:paraId="032A22B4">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78"/>
    <w:p w14:paraId="7E1F6F17">
      <w:pPr>
        <w:spacing w:beforeAutospacing="0" w:line="360" w:lineRule="auto"/>
        <w:ind w:firstLine="240" w:firstLineChars="100"/>
        <w:rPr>
          <w:rFonts w:ascii="宋体" w:hAnsi="宋体"/>
          <w:color w:val="auto"/>
          <w:sz w:val="24"/>
          <w:szCs w:val="24"/>
          <w:highlight w:val="none"/>
        </w:rPr>
      </w:pPr>
      <w:bookmarkStart w:id="86" w:name="_Toc54941345"/>
      <w:bookmarkStart w:id="87" w:name="_Toc476584436"/>
      <w:bookmarkStart w:id="88" w:name="_Toc15038"/>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1927" w:type="dxa"/>
            <w:vAlign w:val="center"/>
          </w:tcPr>
          <w:p w14:paraId="386125B9">
            <w:pPr>
              <w:jc w:val="center"/>
              <w:rPr>
                <w:rFonts w:ascii="宋体" w:hAnsi="宋体"/>
                <w:color w:val="auto"/>
                <w:sz w:val="24"/>
                <w:highlight w:val="none"/>
              </w:rPr>
            </w:pPr>
            <w:r>
              <w:rPr>
                <w:rFonts w:hint="eastAsia" w:ascii="宋体" w:hAnsi="宋体"/>
                <w:color w:val="auto"/>
                <w:sz w:val="24"/>
                <w:highlight w:val="none"/>
                <w:lang w:val="en-US" w:eastAsia="zh-CN"/>
              </w:rPr>
              <w:t>免费质保期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4"/>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6"/>
    <w:bookmarkEnd w:id="87"/>
    <w:bookmarkEnd w:id="88"/>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1EC81A">
      <w:pPr>
        <w:pStyle w:val="4"/>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p>
    <w:p w14:paraId="0A436E64">
      <w:pPr>
        <w:rPr>
          <w:rFonts w:hint="eastAsia" w:asciiTheme="majorEastAsia" w:hAnsiTheme="majorEastAsia" w:eastAsiaTheme="majorEastAsia" w:cstheme="majorEastAsia"/>
          <w:color w:val="auto"/>
          <w:sz w:val="28"/>
          <w:szCs w:val="28"/>
          <w:highlight w:val="none"/>
          <w:lang w:val="en-US" w:eastAsia="zh-CN"/>
        </w:rPr>
      </w:pPr>
    </w:p>
    <w:p w14:paraId="0E36EDC6">
      <w:pPr>
        <w:pStyle w:val="15"/>
        <w:rPr>
          <w:rFonts w:hint="eastAsia"/>
          <w:lang w:val="en-US" w:eastAsia="zh-CN"/>
        </w:rPr>
      </w:pPr>
    </w:p>
    <w:p w14:paraId="37380186">
      <w:pPr>
        <w:pStyle w:val="4"/>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4"/>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4"/>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89" w:name="_Toc7076"/>
      <w:r>
        <w:rPr>
          <w:rFonts w:hint="eastAsia" w:hAnsi="宋体"/>
          <w:color w:val="auto"/>
          <w:sz w:val="28"/>
          <w:szCs w:val="28"/>
          <w:highlight w:val="none"/>
          <w:lang w:val="en-US" w:eastAsia="zh-CN"/>
        </w:rPr>
        <w:br w:type="page"/>
      </w:r>
      <w:bookmarkEnd w:id="89"/>
      <w:bookmarkStart w:id="90" w:name="_Toc26186"/>
      <w:bookmarkStart w:id="91" w:name="_Toc22272"/>
    </w:p>
    <w:p w14:paraId="35B1ECF8">
      <w:pPr>
        <w:pStyle w:val="4"/>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0"/>
      <w:bookmarkEnd w:id="91"/>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2" w:name="_Toc8573"/>
      <w:bookmarkStart w:id="93" w:name="_Toc32741"/>
      <w:bookmarkStart w:id="94" w:name="_Toc2700"/>
      <w:bookmarkStart w:id="95" w:name="_Toc12703"/>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2"/>
    <w:bookmarkEnd w:id="93"/>
    <w:bookmarkEnd w:id="94"/>
    <w:bookmarkEnd w:id="95"/>
    <w:p w14:paraId="44E204E2">
      <w:pPr>
        <w:spacing w:line="360" w:lineRule="auto"/>
        <w:jc w:val="center"/>
        <w:outlineLvl w:val="0"/>
        <w:rPr>
          <w:rFonts w:hint="eastAsia" w:ascii="宋体" w:hAnsi="宋体" w:eastAsia="宋体"/>
          <w:b/>
          <w:bCs/>
          <w:color w:val="auto"/>
          <w:sz w:val="28"/>
          <w:highlight w:val="none"/>
        </w:rPr>
      </w:pPr>
      <w:bookmarkStart w:id="96" w:name="_Toc60608832"/>
      <w:bookmarkStart w:id="97" w:name="_Toc11034"/>
      <w:bookmarkStart w:id="98" w:name="_Toc10319"/>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6"/>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7"/>
      <w:bookmarkEnd w:id="98"/>
    </w:p>
    <w:p w14:paraId="52C2F990">
      <w:pPr>
        <w:spacing w:line="360" w:lineRule="auto"/>
        <w:jc w:val="center"/>
        <w:outlineLvl w:val="1"/>
        <w:rPr>
          <w:rFonts w:ascii="仿宋" w:hAnsi="仿宋" w:eastAsia="仿宋" w:cs="仿宋"/>
          <w:b/>
          <w:bCs/>
          <w:color w:val="auto"/>
          <w:sz w:val="32"/>
          <w:szCs w:val="44"/>
          <w:highlight w:val="none"/>
        </w:rPr>
      </w:pPr>
      <w:bookmarkStart w:id="99" w:name="_Toc12954"/>
      <w:r>
        <w:rPr>
          <w:rFonts w:hint="eastAsia" w:ascii="仿宋" w:hAnsi="仿宋" w:eastAsia="仿宋" w:cs="仿宋"/>
          <w:b/>
          <w:bCs/>
          <w:color w:val="auto"/>
          <w:sz w:val="32"/>
          <w:szCs w:val="44"/>
          <w:highlight w:val="none"/>
        </w:rPr>
        <w:t>询问函范本</w:t>
      </w:r>
      <w:bookmarkEnd w:id="99"/>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0" w:name="_Toc29009"/>
      <w:bookmarkStart w:id="101" w:name="_Toc23584"/>
      <w:r>
        <w:rPr>
          <w:rFonts w:hint="eastAsia" w:cs="仿宋" w:asciiTheme="minorEastAsia" w:hAnsiTheme="minorEastAsia" w:eastAsiaTheme="minorEastAsia"/>
          <w:color w:val="auto"/>
          <w:sz w:val="24"/>
          <w:szCs w:val="24"/>
          <w:highlight w:val="none"/>
        </w:rPr>
        <w:t>一、(事项一)</w:t>
      </w:r>
      <w:bookmarkEnd w:id="100"/>
      <w:bookmarkEnd w:id="101"/>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16254"/>
      <w:bookmarkStart w:id="103" w:name="_Toc18220"/>
      <w:r>
        <w:rPr>
          <w:rFonts w:hint="eastAsia" w:cs="仿宋" w:asciiTheme="minorEastAsia" w:hAnsiTheme="minorEastAsia" w:eastAsiaTheme="minorEastAsia"/>
          <w:color w:val="auto"/>
          <w:sz w:val="24"/>
          <w:szCs w:val="24"/>
          <w:highlight w:val="none"/>
        </w:rPr>
        <w:t>二、(事项二)</w:t>
      </w:r>
      <w:bookmarkEnd w:id="102"/>
      <w:bookmarkEnd w:id="103"/>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4" w:name="_Toc18073"/>
      <w:bookmarkStart w:id="105" w:name="_Toc6176"/>
      <w:r>
        <w:rPr>
          <w:rFonts w:hint="eastAsia" w:ascii="仿宋" w:hAnsi="仿宋" w:eastAsia="仿宋" w:cs="仿宋"/>
          <w:b/>
          <w:bCs/>
          <w:color w:val="auto"/>
          <w:sz w:val="32"/>
          <w:szCs w:val="44"/>
          <w:highlight w:val="none"/>
        </w:rPr>
        <w:t>质疑函范本</w:t>
      </w:r>
      <w:bookmarkEnd w:id="104"/>
      <w:bookmarkEnd w:id="105"/>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6" w:name="_Toc17682"/>
      <w:bookmarkStart w:id="107" w:name="_Toc21548"/>
      <w:r>
        <w:rPr>
          <w:rFonts w:hint="eastAsia" w:cs="仿宋" w:asciiTheme="minorEastAsia" w:hAnsiTheme="minorEastAsia" w:eastAsiaTheme="minorEastAsia"/>
          <w:b/>
          <w:bCs/>
          <w:color w:val="auto"/>
          <w:sz w:val="24"/>
          <w:szCs w:val="24"/>
          <w:highlight w:val="none"/>
        </w:rPr>
        <w:t>一、质疑供应商基本信息</w:t>
      </w:r>
      <w:bookmarkEnd w:id="106"/>
      <w:bookmarkEnd w:id="107"/>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8" w:name="_Toc9149"/>
      <w:bookmarkStart w:id="109" w:name="_Toc5180"/>
      <w:r>
        <w:rPr>
          <w:rFonts w:hint="eastAsia" w:cs="仿宋" w:asciiTheme="minorEastAsia" w:hAnsiTheme="minorEastAsia" w:eastAsiaTheme="minorEastAsia"/>
          <w:b/>
          <w:bCs/>
          <w:color w:val="auto"/>
          <w:sz w:val="24"/>
          <w:szCs w:val="24"/>
          <w:highlight w:val="none"/>
        </w:rPr>
        <w:t>二、质疑项目基本情况</w:t>
      </w:r>
      <w:bookmarkEnd w:id="108"/>
      <w:bookmarkEnd w:id="109"/>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29996"/>
      <w:bookmarkStart w:id="111" w:name="_Toc14494"/>
      <w:r>
        <w:rPr>
          <w:rFonts w:hint="eastAsia" w:cs="仿宋" w:asciiTheme="minorEastAsia" w:hAnsiTheme="minorEastAsia" w:eastAsiaTheme="minorEastAsia"/>
          <w:b/>
          <w:bCs/>
          <w:color w:val="auto"/>
          <w:sz w:val="24"/>
          <w:szCs w:val="24"/>
          <w:highlight w:val="none"/>
        </w:rPr>
        <w:t>三、质疑事项具体内容</w:t>
      </w:r>
      <w:bookmarkEnd w:id="110"/>
      <w:bookmarkEnd w:id="111"/>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814"/>
      <w:bookmarkStart w:id="113" w:name="_Toc7296"/>
      <w:r>
        <w:rPr>
          <w:rFonts w:hint="eastAsia" w:cs="仿宋" w:asciiTheme="minorEastAsia" w:hAnsiTheme="minorEastAsia" w:eastAsiaTheme="minorEastAsia"/>
          <w:b/>
          <w:bCs/>
          <w:color w:val="auto"/>
          <w:sz w:val="24"/>
          <w:szCs w:val="24"/>
          <w:highlight w:val="none"/>
        </w:rPr>
        <w:t>四、与质疑事项相关的质疑请求</w:t>
      </w:r>
      <w:bookmarkEnd w:id="112"/>
      <w:bookmarkEnd w:id="113"/>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4" w:name="_Toc3093"/>
      <w:bookmarkStart w:id="115" w:name="_Toc26567"/>
      <w:r>
        <w:rPr>
          <w:rFonts w:hint="eastAsia" w:asciiTheme="minorEastAsia" w:hAnsiTheme="minorEastAsia" w:eastAsiaTheme="minorEastAsia"/>
          <w:b/>
          <w:color w:val="auto"/>
          <w:sz w:val="28"/>
          <w:szCs w:val="32"/>
          <w:highlight w:val="none"/>
        </w:rPr>
        <w:t>质疑函制作说明：</w:t>
      </w:r>
      <w:bookmarkEnd w:id="114"/>
      <w:bookmarkEnd w:id="115"/>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15"/>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5"/>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FC674"/>
    <w:multiLevelType w:val="singleLevel"/>
    <w:tmpl w:val="FFEFC67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703"/>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BD378F6"/>
    <w:rsid w:val="0CC021A1"/>
    <w:rsid w:val="0DEF71E2"/>
    <w:rsid w:val="10E24D87"/>
    <w:rsid w:val="119A1F8D"/>
    <w:rsid w:val="11BC1998"/>
    <w:rsid w:val="12E5150C"/>
    <w:rsid w:val="13524CBA"/>
    <w:rsid w:val="13750D6C"/>
    <w:rsid w:val="137A57A0"/>
    <w:rsid w:val="13C347B9"/>
    <w:rsid w:val="13C54541"/>
    <w:rsid w:val="156A411C"/>
    <w:rsid w:val="16A92918"/>
    <w:rsid w:val="173B04EE"/>
    <w:rsid w:val="17D22769"/>
    <w:rsid w:val="18735030"/>
    <w:rsid w:val="18D92526"/>
    <w:rsid w:val="18FA2EDF"/>
    <w:rsid w:val="1A144777"/>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D93CDC"/>
    <w:rsid w:val="37321D6A"/>
    <w:rsid w:val="37736187"/>
    <w:rsid w:val="37903539"/>
    <w:rsid w:val="37A20571"/>
    <w:rsid w:val="388A16E7"/>
    <w:rsid w:val="38F3153C"/>
    <w:rsid w:val="39E33F01"/>
    <w:rsid w:val="39F03816"/>
    <w:rsid w:val="3A2A31CC"/>
    <w:rsid w:val="3B284AB3"/>
    <w:rsid w:val="3CC75F2B"/>
    <w:rsid w:val="3CF814E4"/>
    <w:rsid w:val="3D874491"/>
    <w:rsid w:val="3DD24BE8"/>
    <w:rsid w:val="3F5D7BA0"/>
    <w:rsid w:val="40694322"/>
    <w:rsid w:val="418A33DF"/>
    <w:rsid w:val="435C016E"/>
    <w:rsid w:val="43964717"/>
    <w:rsid w:val="43BE3353"/>
    <w:rsid w:val="43ED325B"/>
    <w:rsid w:val="443D4540"/>
    <w:rsid w:val="45553AE5"/>
    <w:rsid w:val="45732979"/>
    <w:rsid w:val="45974888"/>
    <w:rsid w:val="46E91D19"/>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5D05458"/>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2276CC"/>
    <w:rsid w:val="6C320AC9"/>
    <w:rsid w:val="6C550632"/>
    <w:rsid w:val="6D263022"/>
    <w:rsid w:val="6F240401"/>
    <w:rsid w:val="6F6A75EB"/>
    <w:rsid w:val="72E77E87"/>
    <w:rsid w:val="73E01C2A"/>
    <w:rsid w:val="742915A0"/>
    <w:rsid w:val="744A3547"/>
    <w:rsid w:val="753153C9"/>
    <w:rsid w:val="76764668"/>
    <w:rsid w:val="76D11EE8"/>
    <w:rsid w:val="774C5829"/>
    <w:rsid w:val="77893908"/>
    <w:rsid w:val="77E56B80"/>
    <w:rsid w:val="78526EF9"/>
    <w:rsid w:val="78A3591C"/>
    <w:rsid w:val="790E7239"/>
    <w:rsid w:val="79312F28"/>
    <w:rsid w:val="79FB4EC7"/>
    <w:rsid w:val="7B841A35"/>
    <w:rsid w:val="7C42088B"/>
    <w:rsid w:val="7CE63738"/>
    <w:rsid w:val="7D36737D"/>
    <w:rsid w:val="7D3D7B44"/>
    <w:rsid w:val="7E0155BF"/>
    <w:rsid w:val="7E835FD4"/>
    <w:rsid w:val="7EBE080D"/>
    <w:rsid w:val="7F256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annotation text"/>
    <w:basedOn w:val="1"/>
    <w:link w:val="125"/>
    <w:unhideWhenUsed/>
    <w:qFormat/>
    <w:uiPriority w:val="0"/>
    <w:pPr>
      <w:adjustRightInd/>
      <w:spacing w:line="500" w:lineRule="exact"/>
      <w:jc w:val="left"/>
    </w:pPr>
    <w:rPr>
      <w:sz w:val="20"/>
    </w:rPr>
  </w:style>
  <w:style w:type="paragraph" w:styleId="14">
    <w:name w:val="Body Text 3"/>
    <w:basedOn w:val="1"/>
    <w:link w:val="81"/>
    <w:semiHidden/>
    <w:unhideWhenUsed/>
    <w:qFormat/>
    <w:uiPriority w:val="99"/>
    <w:pPr>
      <w:spacing w:after="120"/>
    </w:pPr>
    <w:rPr>
      <w:sz w:val="16"/>
      <w:szCs w:val="16"/>
    </w:rPr>
  </w:style>
  <w:style w:type="paragraph" w:styleId="15">
    <w:name w:val="Body Text"/>
    <w:basedOn w:val="1"/>
    <w:link w:val="88"/>
    <w:autoRedefine/>
    <w:unhideWhenUsed/>
    <w:qFormat/>
    <w:uiPriority w:val="0"/>
    <w:pPr>
      <w:spacing w:after="120"/>
    </w:pPr>
  </w:style>
  <w:style w:type="paragraph" w:styleId="16">
    <w:name w:val="Body Text Indent"/>
    <w:basedOn w:val="1"/>
    <w:link w:val="71"/>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26"/>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86"/>
    <w:autoRedefine/>
    <w:semiHidden/>
    <w:unhideWhenUsed/>
    <w:qFormat/>
    <w:uiPriority w:val="99"/>
    <w:pPr>
      <w:ind w:left="100" w:leftChars="2500"/>
    </w:pPr>
  </w:style>
  <w:style w:type="paragraph" w:styleId="23">
    <w:name w:val="Body Text Indent 2"/>
    <w:basedOn w:val="1"/>
    <w:link w:val="84"/>
    <w:autoRedefine/>
    <w:unhideWhenUsed/>
    <w:qFormat/>
    <w:uiPriority w:val="99"/>
    <w:pPr>
      <w:spacing w:after="120" w:line="480" w:lineRule="auto"/>
      <w:ind w:left="420" w:leftChars="200"/>
      <w:jc w:val="left"/>
    </w:pPr>
  </w:style>
  <w:style w:type="paragraph" w:styleId="24">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36"/>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5"/>
    <w:link w:val="95"/>
    <w:autoRedefine/>
    <w:unhideWhenUsed/>
    <w:qFormat/>
    <w:uiPriority w:val="99"/>
    <w:pPr>
      <w:ind w:firstLine="420" w:firstLineChars="100"/>
    </w:pPr>
  </w:style>
  <w:style w:type="paragraph" w:styleId="39">
    <w:name w:val="Body Text First Indent 2"/>
    <w:basedOn w:val="16"/>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2"/>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2"/>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3"/>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4"/>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5"/>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6"/>
    <w:autoRedefine/>
    <w:qFormat/>
    <w:uiPriority w:val="9"/>
    <w:rPr>
      <w:rFonts w:ascii="Times New Roman" w:hAnsi="Times New Roman" w:eastAsia="宋体" w:cs="Times New Roman"/>
      <w:b/>
      <w:bCs/>
      <w:sz w:val="28"/>
      <w:szCs w:val="28"/>
    </w:rPr>
  </w:style>
  <w:style w:type="character" w:customStyle="1" w:styleId="64">
    <w:name w:val="标题 6 字符"/>
    <w:basedOn w:val="42"/>
    <w:link w:val="7"/>
    <w:autoRedefine/>
    <w:qFormat/>
    <w:uiPriority w:val="9"/>
    <w:rPr>
      <w:rFonts w:ascii="Arial" w:hAnsi="Arial" w:eastAsia="黑体" w:cs="Times New Roman"/>
      <w:b/>
      <w:bCs/>
      <w:sz w:val="24"/>
      <w:szCs w:val="24"/>
    </w:rPr>
  </w:style>
  <w:style w:type="character" w:customStyle="1" w:styleId="65">
    <w:name w:val="标题 7 字符"/>
    <w:basedOn w:val="42"/>
    <w:link w:val="8"/>
    <w:autoRedefine/>
    <w:qFormat/>
    <w:uiPriority w:val="0"/>
    <w:rPr>
      <w:rFonts w:ascii="Times New Roman" w:hAnsi="Times New Roman" w:eastAsia="宋体" w:cs="Times New Roman"/>
      <w:b/>
      <w:bCs/>
      <w:sz w:val="24"/>
      <w:szCs w:val="24"/>
    </w:rPr>
  </w:style>
  <w:style w:type="character" w:customStyle="1" w:styleId="66">
    <w:name w:val="标题 8 字符"/>
    <w:basedOn w:val="42"/>
    <w:link w:val="9"/>
    <w:autoRedefine/>
    <w:qFormat/>
    <w:uiPriority w:val="0"/>
    <w:rPr>
      <w:rFonts w:ascii="Arial" w:hAnsi="Arial" w:eastAsia="黑体" w:cs="Times New Roman"/>
      <w:sz w:val="24"/>
      <w:szCs w:val="24"/>
    </w:rPr>
  </w:style>
  <w:style w:type="character" w:customStyle="1" w:styleId="67">
    <w:name w:val="标题 9 字符"/>
    <w:basedOn w:val="42"/>
    <w:link w:val="10"/>
    <w:autoRedefine/>
    <w:qFormat/>
    <w:uiPriority w:val="9"/>
    <w:rPr>
      <w:rFonts w:ascii="Arial" w:hAnsi="Arial" w:eastAsia="黑体" w:cs="Times New Roman"/>
      <w:szCs w:val="21"/>
    </w:rPr>
  </w:style>
  <w:style w:type="character" w:customStyle="1" w:styleId="68">
    <w:name w:val="页眉 字符"/>
    <w:basedOn w:val="42"/>
    <w:link w:val="27"/>
    <w:autoRedefine/>
    <w:qFormat/>
    <w:uiPriority w:val="0"/>
    <w:rPr>
      <w:sz w:val="18"/>
      <w:szCs w:val="18"/>
    </w:rPr>
  </w:style>
  <w:style w:type="character" w:customStyle="1" w:styleId="69">
    <w:name w:val="页脚 字符"/>
    <w:basedOn w:val="42"/>
    <w:link w:val="25"/>
    <w:autoRedefine/>
    <w:qFormat/>
    <w:uiPriority w:val="0"/>
    <w:rPr>
      <w:sz w:val="18"/>
      <w:szCs w:val="18"/>
    </w:rPr>
  </w:style>
  <w:style w:type="character" w:customStyle="1" w:styleId="70">
    <w:name w:val="批注框文本 字符"/>
    <w:basedOn w:val="42"/>
    <w:link w:val="24"/>
    <w:autoRedefine/>
    <w:semiHidden/>
    <w:qFormat/>
    <w:uiPriority w:val="99"/>
    <w:rPr>
      <w:sz w:val="18"/>
      <w:szCs w:val="18"/>
    </w:rPr>
  </w:style>
  <w:style w:type="character" w:customStyle="1" w:styleId="71">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4"/>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87">
    <w:name w:val="正文缩进 字符"/>
    <w:link w:val="12"/>
    <w:autoRedefine/>
    <w:qFormat/>
    <w:uiPriority w:val="0"/>
    <w:rPr>
      <w:rFonts w:ascii="宋体"/>
      <w:sz w:val="24"/>
    </w:rPr>
  </w:style>
  <w:style w:type="character" w:customStyle="1" w:styleId="88">
    <w:name w:val="正文文本 字符"/>
    <w:basedOn w:val="42"/>
    <w:link w:val="15"/>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8"/>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3"/>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0"/>
    <w:autoRedefine/>
    <w:qFormat/>
    <w:uiPriority w:val="0"/>
    <w:rPr>
      <w:rFonts w:ascii="宋体" w:hAnsi="Courier New" w:eastAsia="宋体" w:cs="Times New Roman"/>
      <w:kern w:val="0"/>
      <w:szCs w:val="20"/>
    </w:rPr>
  </w:style>
  <w:style w:type="character" w:customStyle="1" w:styleId="127">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48</Pages>
  <Words>79</Words>
  <Characters>96</Characters>
  <Lines>29</Lines>
  <Paragraphs>8</Paragraphs>
  <TotalTime>2</TotalTime>
  <ScaleCrop>false</ScaleCrop>
  <LinksUpToDate>false</LinksUpToDate>
  <CharactersWithSpaces>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2026-10-16T07:18:00Z</cp:lastPrinted>
  <dcterms:modified xsi:type="dcterms:W3CDTF">2026-10-30T02:15:48Z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C4E64DBB19824707A1DE5F3834151E46_13</vt:lpwstr>
  </property>
  <property fmtid="{D5CDD505-2E9C-101B-9397-08002B2CF9AE}" pid="4" name="KSOTemplateDocerSaveRecord">
    <vt:lpwstr>eyJoZGlkIjoiNDFjNjc4MzM2NGNhOTY1ZjQ2ZmNmMWE4MmVlYzQxYjkiLCJ1c2VySWQiOiIzMDI1ODcyMjYifQ==</vt:lpwstr>
  </property>
</Properties>
</file>