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14"/>
        <w:ind w:left="0" w:leftChars="0" w:firstLine="0" w:firstLineChars="0"/>
      </w:pPr>
    </w:p>
    <w:p w14:paraId="71EAB638">
      <w:pPr>
        <w:spacing w:line="360" w:lineRule="auto"/>
        <w:ind w:firstLine="522" w:firstLineChars="100"/>
        <w:jc w:val="center"/>
        <w:rPr>
          <w:rFonts w:hint="default" w:ascii="宋体" w:hAnsi="宋体" w:eastAsia="宋体" w:cs="宋体"/>
          <w:b/>
          <w:color w:val="auto"/>
          <w:sz w:val="52"/>
          <w:szCs w:val="52"/>
          <w:highlight w:val="none"/>
          <w:lang w:val="en-US" w:eastAsia="zh-CN"/>
        </w:rPr>
      </w:pPr>
      <w:r>
        <w:rPr>
          <w:rFonts w:hint="eastAsia" w:ascii="宋体" w:hAnsi="宋体" w:cs="宋体"/>
          <w:b/>
          <w:color w:val="auto"/>
          <w:sz w:val="52"/>
          <w:szCs w:val="52"/>
          <w:highlight w:val="none"/>
          <w:lang w:val="en-US" w:eastAsia="zh-CN"/>
        </w:rPr>
        <w:t>桐城师范高等专科学校门禁系统维保服务采购项目</w:t>
      </w:r>
    </w:p>
    <w:p w14:paraId="012F5E32">
      <w:pPr>
        <w:pStyle w:val="50"/>
        <w:rPr>
          <w:rFonts w:hint="eastAsia"/>
          <w:color w:val="auto"/>
          <w:highlight w:val="none"/>
        </w:rPr>
      </w:pPr>
    </w:p>
    <w:p w14:paraId="16BD5BFA">
      <w:pPr>
        <w:spacing w:line="480" w:lineRule="exact"/>
        <w:rPr>
          <w:rFonts w:ascii="宋体"/>
          <w:color w:val="auto"/>
          <w:sz w:val="44"/>
          <w:szCs w:val="44"/>
          <w:highlight w:val="none"/>
        </w:rPr>
      </w:pPr>
    </w:p>
    <w:p w14:paraId="2E845CB9">
      <w:pPr>
        <w:pStyle w:val="50"/>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竞争性磋商文件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009</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hint="eastAsia" w:ascii="宋体" w:hAnsi="宋体" w:cs="仿宋_GB2312"/>
          <w:b/>
          <w:color w:val="auto"/>
          <w:spacing w:val="20"/>
          <w:sz w:val="30"/>
          <w:szCs w:val="30"/>
          <w:highlight w:val="none"/>
          <w:u w:val="single"/>
          <w:lang w:val="en-US" w:eastAsia="zh-CN"/>
        </w:rPr>
        <w:t xml:space="preserve"> </w:t>
      </w:r>
      <w:r>
        <w:rPr>
          <w:rFonts w:ascii="宋体" w:hAnsi="宋体" w:cs="仿宋_GB2312"/>
          <w:b/>
          <w:color w:val="auto"/>
          <w:spacing w:val="20"/>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安徽文都招标代理咨询有限公司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7 </w:t>
      </w:r>
      <w:r>
        <w:rPr>
          <w:rFonts w:hint="eastAsia" w:ascii="宋体" w:hAnsi="宋体" w:cs="仿宋_GB2312"/>
          <w:color w:val="auto"/>
          <w:sz w:val="32"/>
          <w:szCs w:val="32"/>
          <w:highlight w:val="none"/>
        </w:rPr>
        <w:t>月</w:t>
      </w:r>
    </w:p>
    <w:p w14:paraId="0C2CB5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p>
    <w:p w14:paraId="0910BE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pPr>
      <w:r>
        <w:rPr>
          <w:rFonts w:hint="eastAsia" w:ascii="黑体" w:hAnsi="黑体" w:eastAsia="黑体" w:cs="宋体"/>
          <w:b/>
          <w:color w:val="auto"/>
          <w:kern w:val="0"/>
          <w:sz w:val="32"/>
          <w:szCs w:val="32"/>
          <w:highlight w:val="none"/>
        </w:rPr>
        <w:t>重  要  提  醒</w:t>
      </w:r>
    </w:p>
    <w:p w14:paraId="0CD0EF50">
      <w:pPr>
        <w:pStyle w:val="2"/>
      </w:pPr>
    </w:p>
    <w:p w14:paraId="410A2A1B">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一、请各市场主体依法参与公共资源交易活动，如存在以下情形的，公共资源交易监管部门将其作为扫黑除恶专项斗争的打击重点予以处理。</w:t>
      </w:r>
    </w:p>
    <w:p w14:paraId="51761965">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1.组织、领导、实施恶意竞标、围标、串标、虚假</w:t>
      </w:r>
      <w:r>
        <w:rPr>
          <w:rFonts w:hint="eastAsia" w:ascii="宋体" w:hAnsi="宋体" w:cs="宋体"/>
          <w:b/>
          <w:color w:val="auto"/>
          <w:kern w:val="0"/>
          <w:sz w:val="24"/>
          <w:highlight w:val="none"/>
          <w:lang w:val="en-US" w:eastAsia="zh-CN"/>
        </w:rPr>
        <w:t>应标</w:t>
      </w:r>
      <w:r>
        <w:rPr>
          <w:rFonts w:hint="eastAsia" w:ascii="宋体" w:hAnsi="宋体" w:cs="宋体"/>
          <w:b/>
          <w:color w:val="auto"/>
          <w:kern w:val="0"/>
          <w:sz w:val="24"/>
          <w:highlight w:val="none"/>
        </w:rPr>
        <w:t xml:space="preserve">、挂靠、出让资质等违法活动。 </w:t>
      </w:r>
    </w:p>
    <w:p w14:paraId="1A19696E">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2.以暴力、威胁、利诱等手段强迫他人参与或者退出</w:t>
      </w:r>
      <w:r>
        <w:rPr>
          <w:rFonts w:hint="eastAsia" w:ascii="宋体" w:hAnsi="宋体" w:cs="宋体"/>
          <w:b/>
          <w:color w:val="auto"/>
          <w:kern w:val="0"/>
          <w:sz w:val="24"/>
          <w:highlight w:val="none"/>
          <w:lang w:val="en-US" w:eastAsia="zh-CN"/>
        </w:rPr>
        <w:t>磋商</w:t>
      </w:r>
      <w:r>
        <w:rPr>
          <w:rFonts w:hint="eastAsia" w:ascii="宋体" w:hAnsi="宋体" w:cs="宋体"/>
          <w:b/>
          <w:color w:val="auto"/>
          <w:kern w:val="0"/>
          <w:sz w:val="24"/>
          <w:highlight w:val="none"/>
        </w:rPr>
        <w:t>、拍卖以及强迫他人</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后放弃</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 xml:space="preserve">或转包的黑恶势力。 </w:t>
      </w:r>
    </w:p>
    <w:p w14:paraId="57A93016">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 xml:space="preserve">3.聚众围堵开、评标现场，干扰正常开评标秩序的行为。 </w:t>
      </w:r>
    </w:p>
    <w:p w14:paraId="7DDA995F">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4.在</w:t>
      </w:r>
      <w:r>
        <w:rPr>
          <w:rFonts w:hint="eastAsia" w:ascii="宋体" w:hAnsi="宋体" w:cs="宋体"/>
          <w:b/>
          <w:color w:val="auto"/>
          <w:kern w:val="0"/>
          <w:sz w:val="24"/>
          <w:highlight w:val="none"/>
          <w:lang w:val="en-US" w:eastAsia="zh-CN"/>
        </w:rPr>
        <w:t>采购活动</w:t>
      </w:r>
      <w:r>
        <w:rPr>
          <w:rFonts w:hint="eastAsia" w:ascii="宋体" w:hAnsi="宋体" w:cs="宋体"/>
          <w:b/>
          <w:color w:val="auto"/>
          <w:kern w:val="0"/>
          <w:sz w:val="24"/>
          <w:highlight w:val="none"/>
        </w:rPr>
        <w:t xml:space="preserve">过程中寻衅滋事、恶意投诉，或以投诉、信访、举报相威胁获取不正当利益的行为。 </w:t>
      </w:r>
    </w:p>
    <w:p w14:paraId="1652A241">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5.伪造资质证书、证件、提供虚假材料进行</w:t>
      </w:r>
      <w:r>
        <w:rPr>
          <w:rFonts w:hint="eastAsia" w:ascii="宋体" w:hAnsi="宋体" w:cs="宋体"/>
          <w:b/>
          <w:color w:val="auto"/>
          <w:kern w:val="0"/>
          <w:sz w:val="24"/>
          <w:highlight w:val="none"/>
          <w:lang w:val="en-US" w:eastAsia="zh-CN"/>
        </w:rPr>
        <w:t>磋商</w:t>
      </w:r>
      <w:r>
        <w:rPr>
          <w:rFonts w:hint="eastAsia" w:ascii="宋体" w:hAnsi="宋体" w:cs="宋体"/>
          <w:b/>
          <w:color w:val="auto"/>
          <w:kern w:val="0"/>
          <w:sz w:val="24"/>
          <w:highlight w:val="none"/>
        </w:rPr>
        <w:t xml:space="preserve">，谋取不正当利益的违法行为。 </w:t>
      </w:r>
    </w:p>
    <w:p w14:paraId="74EAD17B">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6.采取贿赂、暴力、欺骗、威胁等手段干扰破坏招投标监管、服务人员以及</w:t>
      </w:r>
      <w:r>
        <w:rPr>
          <w:rFonts w:hint="eastAsia" w:ascii="宋体" w:hAnsi="宋体" w:cs="宋体"/>
          <w:b/>
          <w:color w:val="auto"/>
          <w:kern w:val="0"/>
          <w:sz w:val="24"/>
          <w:highlight w:val="none"/>
          <w:lang w:val="en-US" w:eastAsia="zh-CN"/>
        </w:rPr>
        <w:t>磋商小组</w:t>
      </w:r>
      <w:r>
        <w:rPr>
          <w:rFonts w:hint="eastAsia" w:ascii="宋体" w:hAnsi="宋体" w:cs="宋体"/>
          <w:b/>
          <w:color w:val="auto"/>
          <w:kern w:val="0"/>
          <w:sz w:val="24"/>
          <w:highlight w:val="none"/>
        </w:rPr>
        <w:t xml:space="preserve">正常工作的黑恶势力。 </w:t>
      </w:r>
    </w:p>
    <w:p w14:paraId="39B9AAB1">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7.采取言语威胁、</w:t>
      </w:r>
      <w:r>
        <w:rPr>
          <w:rFonts w:hint="eastAsia" w:ascii="宋体" w:hAnsi="宋体" w:cs="宋体"/>
          <w:b/>
          <w:color w:val="auto"/>
          <w:kern w:val="0"/>
          <w:sz w:val="24"/>
          <w:highlight w:val="none"/>
          <w:lang w:eastAsia="zh-CN"/>
        </w:rPr>
        <w:t>磋商</w:t>
      </w:r>
      <w:r>
        <w:rPr>
          <w:rFonts w:hint="eastAsia" w:ascii="宋体" w:hAnsi="宋体" w:cs="宋体"/>
          <w:b/>
          <w:color w:val="auto"/>
          <w:kern w:val="0"/>
          <w:sz w:val="24"/>
          <w:highlight w:val="none"/>
        </w:rPr>
        <w:t>协商、跟踪盯梢、散播隐私、造谣诽谤、持续骚扰等软暴力手段恐吓监管服务人员、</w:t>
      </w:r>
      <w:r>
        <w:rPr>
          <w:rFonts w:hint="eastAsia" w:ascii="宋体" w:hAnsi="宋体" w:cs="宋体"/>
          <w:b/>
          <w:color w:val="auto"/>
          <w:kern w:val="0"/>
          <w:sz w:val="24"/>
          <w:highlight w:val="none"/>
          <w:lang w:val="en-US" w:eastAsia="zh-CN"/>
        </w:rPr>
        <w:t>磋商小组</w:t>
      </w:r>
      <w:r>
        <w:rPr>
          <w:rFonts w:hint="eastAsia" w:ascii="宋体" w:hAnsi="宋体" w:cs="宋体"/>
          <w:b/>
          <w:color w:val="auto"/>
          <w:kern w:val="0"/>
          <w:sz w:val="24"/>
          <w:highlight w:val="none"/>
        </w:rPr>
        <w:t xml:space="preserve">及其家属的违法犯罪行为。 </w:t>
      </w:r>
    </w:p>
    <w:p w14:paraId="3E47C022">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8.利诱、欺骗采购人违反相关规定按其意图设置</w:t>
      </w:r>
      <w:r>
        <w:rPr>
          <w:rFonts w:hint="eastAsia" w:ascii="宋体" w:hAnsi="宋体" w:cs="宋体"/>
          <w:b/>
          <w:color w:val="auto"/>
          <w:kern w:val="0"/>
          <w:sz w:val="24"/>
          <w:highlight w:val="none"/>
          <w:lang w:eastAsia="zh-CN"/>
        </w:rPr>
        <w:t>磋商 文件</w:t>
      </w:r>
      <w:r>
        <w:rPr>
          <w:rFonts w:hint="eastAsia" w:ascii="宋体" w:hAnsi="宋体" w:cs="宋体"/>
          <w:b/>
          <w:color w:val="auto"/>
          <w:kern w:val="0"/>
          <w:sz w:val="24"/>
          <w:highlight w:val="none"/>
        </w:rPr>
        <w:t xml:space="preserve">条款的违法违规行为。 </w:t>
      </w:r>
    </w:p>
    <w:p w14:paraId="089F8350">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9.窃取项目</w:t>
      </w:r>
      <w:r>
        <w:rPr>
          <w:rFonts w:hint="eastAsia" w:ascii="宋体" w:hAnsi="宋体" w:cs="宋体"/>
          <w:b/>
          <w:color w:val="auto"/>
          <w:kern w:val="0"/>
          <w:sz w:val="24"/>
          <w:highlight w:val="none"/>
          <w:lang w:eastAsia="zh-CN"/>
        </w:rPr>
        <w:t>响应人</w:t>
      </w:r>
      <w:r>
        <w:rPr>
          <w:rFonts w:hint="eastAsia" w:ascii="宋体" w:hAnsi="宋体" w:cs="宋体"/>
          <w:b/>
          <w:color w:val="auto"/>
          <w:kern w:val="0"/>
          <w:sz w:val="24"/>
          <w:highlight w:val="none"/>
        </w:rPr>
        <w:t>报名情况、</w:t>
      </w:r>
      <w:r>
        <w:rPr>
          <w:rFonts w:hint="eastAsia" w:ascii="宋体" w:hAnsi="宋体" w:cs="宋体"/>
          <w:b/>
          <w:color w:val="auto"/>
          <w:kern w:val="0"/>
          <w:sz w:val="24"/>
          <w:highlight w:val="none"/>
          <w:lang w:val="en-US" w:eastAsia="zh-CN"/>
        </w:rPr>
        <w:t>磋商小组成员</w:t>
      </w:r>
      <w:r>
        <w:rPr>
          <w:rFonts w:hint="eastAsia" w:ascii="宋体" w:hAnsi="宋体" w:cs="宋体"/>
          <w:b/>
          <w:color w:val="auto"/>
          <w:kern w:val="0"/>
          <w:sz w:val="24"/>
          <w:highlight w:val="none"/>
        </w:rPr>
        <w:t xml:space="preserve">等保密信息。 </w:t>
      </w:r>
    </w:p>
    <w:p w14:paraId="792F2A69">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10.领导干部违反规定插手干预项目</w:t>
      </w:r>
      <w:r>
        <w:rPr>
          <w:rFonts w:hint="eastAsia" w:ascii="宋体" w:hAnsi="宋体" w:cs="宋体"/>
          <w:b/>
          <w:color w:val="auto"/>
          <w:kern w:val="0"/>
          <w:sz w:val="24"/>
          <w:highlight w:val="none"/>
          <w:lang w:val="en-US" w:eastAsia="zh-CN"/>
        </w:rPr>
        <w:t xml:space="preserve">磋商 </w:t>
      </w:r>
      <w:r>
        <w:rPr>
          <w:rFonts w:hint="eastAsia" w:ascii="宋体" w:hAnsi="宋体" w:cs="宋体"/>
          <w:b/>
          <w:color w:val="auto"/>
          <w:kern w:val="0"/>
          <w:sz w:val="24"/>
          <w:highlight w:val="none"/>
        </w:rPr>
        <w:t xml:space="preserve">活动。 </w:t>
      </w:r>
    </w:p>
    <w:p w14:paraId="286F0EC0">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11.干部职工在</w:t>
      </w:r>
      <w:r>
        <w:rPr>
          <w:rFonts w:hint="eastAsia" w:ascii="宋体" w:hAnsi="宋体" w:cs="宋体"/>
          <w:b/>
          <w:color w:val="auto"/>
          <w:kern w:val="0"/>
          <w:sz w:val="24"/>
          <w:highlight w:val="none"/>
          <w:lang w:val="en-US" w:eastAsia="zh-CN"/>
        </w:rPr>
        <w:t>磋商</w:t>
      </w:r>
      <w:r>
        <w:rPr>
          <w:rFonts w:hint="eastAsia" w:ascii="宋体" w:hAnsi="宋体" w:cs="宋体"/>
          <w:b/>
          <w:color w:val="auto"/>
          <w:kern w:val="0"/>
          <w:sz w:val="24"/>
          <w:highlight w:val="none"/>
        </w:rPr>
        <w:t>活动中与黑恶势力勾结，充当保护伞。</w:t>
      </w:r>
    </w:p>
    <w:p w14:paraId="6B70AED8">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二、请各响应人认真阅读</w:t>
      </w:r>
      <w:r>
        <w:rPr>
          <w:rFonts w:hint="eastAsia" w:ascii="宋体" w:hAnsi="宋体" w:cs="宋体"/>
          <w:b/>
          <w:color w:val="auto"/>
          <w:kern w:val="0"/>
          <w:sz w:val="24"/>
          <w:szCs w:val="24"/>
          <w:highlight w:val="none"/>
          <w:lang w:val="en-US" w:eastAsia="zh-CN"/>
        </w:rPr>
        <w:t>竞争性磋商</w:t>
      </w:r>
      <w:r>
        <w:rPr>
          <w:rFonts w:hint="eastAsia" w:ascii="宋体" w:hAnsi="宋体" w:cs="宋体"/>
          <w:b/>
          <w:color w:val="auto"/>
          <w:kern w:val="0"/>
          <w:sz w:val="24"/>
          <w:szCs w:val="24"/>
          <w:highlight w:val="none"/>
        </w:rPr>
        <w:t>文件，对下述事项予以重视：</w:t>
      </w:r>
    </w:p>
    <w:p w14:paraId="18B9691F">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w:t>
      </w:r>
      <w:r>
        <w:rPr>
          <w:rFonts w:hint="eastAsia" w:ascii="宋体" w:hAnsi="宋体" w:cs="宋体"/>
          <w:b/>
          <w:color w:val="auto"/>
          <w:kern w:val="0"/>
          <w:sz w:val="24"/>
          <w:szCs w:val="24"/>
          <w:highlight w:val="none"/>
        </w:rPr>
        <w:t>请依据项目资格要求，自行核对营业执照合法有效。</w:t>
      </w:r>
    </w:p>
    <w:p w14:paraId="4C193521">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2</w:t>
      </w:r>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rPr>
        <w:t>按照</w:t>
      </w:r>
      <w:r>
        <w:rPr>
          <w:rFonts w:hint="eastAsia" w:ascii="宋体" w:hAnsi="宋体" w:cs="宋体"/>
          <w:b/>
          <w:color w:val="auto"/>
          <w:kern w:val="0"/>
          <w:sz w:val="24"/>
          <w:szCs w:val="24"/>
          <w:highlight w:val="none"/>
          <w:lang w:val="en-US" w:eastAsia="zh-CN"/>
        </w:rPr>
        <w:t>竞争性磋商</w:t>
      </w:r>
      <w:r>
        <w:rPr>
          <w:rFonts w:hint="eastAsia" w:ascii="宋体" w:hAnsi="宋体" w:cs="宋体"/>
          <w:b/>
          <w:color w:val="auto"/>
          <w:kern w:val="0"/>
          <w:sz w:val="24"/>
          <w:szCs w:val="24"/>
          <w:highlight w:val="none"/>
        </w:rPr>
        <w:t>文件要求制作响应文件，响应文件创建标识码、文件制作机器码任一项一致的将不予通过</w:t>
      </w:r>
      <w:r>
        <w:rPr>
          <w:rFonts w:hint="eastAsia" w:ascii="宋体" w:hAnsi="宋体" w:cs="宋体"/>
          <w:b/>
          <w:color w:val="auto"/>
          <w:kern w:val="0"/>
          <w:sz w:val="24"/>
          <w:szCs w:val="24"/>
          <w:highlight w:val="none"/>
          <w:lang w:val="en-US" w:eastAsia="zh-CN"/>
        </w:rPr>
        <w:t>初审</w:t>
      </w:r>
      <w:r>
        <w:rPr>
          <w:rFonts w:hint="eastAsia" w:ascii="宋体" w:hAnsi="宋体" w:cs="宋体"/>
          <w:b/>
          <w:color w:val="auto"/>
          <w:kern w:val="0"/>
          <w:sz w:val="24"/>
          <w:szCs w:val="24"/>
          <w:highlight w:val="none"/>
        </w:rPr>
        <w:t>。</w:t>
      </w:r>
    </w:p>
    <w:p w14:paraId="65B8899B">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3</w:t>
      </w:r>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rPr>
        <w:t>对</w:t>
      </w:r>
      <w:r>
        <w:rPr>
          <w:rFonts w:hint="eastAsia" w:ascii="宋体" w:hAnsi="宋体" w:cs="宋体"/>
          <w:b/>
          <w:color w:val="auto"/>
          <w:kern w:val="0"/>
          <w:sz w:val="24"/>
          <w:szCs w:val="24"/>
          <w:highlight w:val="none"/>
          <w:lang w:val="en-US" w:eastAsia="zh-CN"/>
        </w:rPr>
        <w:t>磋商</w:t>
      </w:r>
      <w:r>
        <w:rPr>
          <w:rFonts w:hint="eastAsia" w:ascii="宋体" w:hAnsi="宋体" w:cs="宋体"/>
          <w:b/>
          <w:color w:val="auto"/>
          <w:kern w:val="0"/>
          <w:sz w:val="24"/>
          <w:szCs w:val="24"/>
          <w:highlight w:val="none"/>
        </w:rPr>
        <w:t>活动中可能发生的质疑、投诉行为，须依法在规定的时间内提出。</w:t>
      </w:r>
      <w:r>
        <w:rPr>
          <w:rFonts w:ascii="宋体" w:hAnsi="宋体" w:cs="宋体"/>
          <w:b/>
          <w:color w:val="auto"/>
          <w:kern w:val="0"/>
          <w:sz w:val="24"/>
          <w:szCs w:val="24"/>
          <w:highlight w:val="none"/>
        </w:rPr>
        <w:t xml:space="preserve">  </w:t>
      </w:r>
    </w:p>
    <w:p w14:paraId="31037FE9">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sz w:val="36"/>
          <w:szCs w:val="36"/>
          <w:highlight w:val="none"/>
          <w:lang w:val="zh-CN"/>
        </w:rPr>
      </w:pPr>
      <w:r>
        <w:rPr>
          <w:rFonts w:hint="eastAsia" w:ascii="宋体" w:hAnsi="宋体" w:cs="宋体"/>
          <w:b/>
          <w:color w:val="auto"/>
          <w:kern w:val="0"/>
          <w:sz w:val="24"/>
          <w:szCs w:val="24"/>
          <w:highlight w:val="none"/>
        </w:rPr>
        <w:t>4</w:t>
      </w:r>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rPr>
        <w:t>本项目</w:t>
      </w:r>
      <w:r>
        <w:rPr>
          <w:rFonts w:hint="eastAsia" w:ascii="宋体" w:hAnsi="宋体" w:cs="宋体"/>
          <w:b/>
          <w:color w:val="auto"/>
          <w:kern w:val="0"/>
          <w:sz w:val="24"/>
          <w:szCs w:val="24"/>
          <w:highlight w:val="none"/>
          <w:lang w:eastAsia="zh-CN"/>
        </w:rPr>
        <w:t>磋商</w:t>
      </w:r>
      <w:r>
        <w:rPr>
          <w:rFonts w:hint="eastAsia" w:ascii="宋体" w:hAnsi="宋体" w:cs="宋体"/>
          <w:b/>
          <w:color w:val="auto"/>
          <w:kern w:val="0"/>
          <w:sz w:val="24"/>
          <w:szCs w:val="24"/>
          <w:highlight w:val="none"/>
        </w:rPr>
        <w:t>期间，供应商必须保证联系电话、电子邮箱通畅，因供应商通讯不畅造成的不利后果由供应商自行承担。</w:t>
      </w: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0"/>
        <w:rPr>
          <w:color w:val="auto"/>
          <w:highlight w:val="none"/>
          <w:lang w:val="zh-CN"/>
        </w:rPr>
      </w:pPr>
    </w:p>
    <w:p w14:paraId="6F456B90">
      <w:pPr>
        <w:pStyle w:val="30"/>
        <w:tabs>
          <w:tab w:val="right" w:leader="dot" w:pos="9070"/>
        </w:tabs>
        <w:spacing w:line="360" w:lineRule="auto"/>
        <w:rPr>
          <w:color w:val="auto"/>
          <w:sz w:val="28"/>
          <w:szCs w:val="24"/>
          <w:highlight w:val="none"/>
        </w:rPr>
      </w:pPr>
      <w:bookmarkStart w:id="0" w:name="_Toc21464"/>
      <w:bookmarkStart w:id="1" w:name="_Toc23467"/>
      <w:bookmarkStart w:id="2" w:name="_Toc54941328"/>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磋商邀请</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_Toc7432 \h </w:instrText>
      </w:r>
      <w:r>
        <w:rPr>
          <w:color w:val="auto"/>
          <w:sz w:val="28"/>
          <w:szCs w:val="24"/>
          <w:highlight w:val="none"/>
        </w:rPr>
        <w:fldChar w:fldCharType="separate"/>
      </w:r>
      <w:r>
        <w:rPr>
          <w:color w:val="auto"/>
          <w:sz w:val="28"/>
          <w:szCs w:val="24"/>
          <w:highlight w:val="none"/>
        </w:rPr>
        <w:t>3</w:t>
      </w:r>
      <w:r>
        <w:rPr>
          <w:color w:val="auto"/>
          <w:sz w:val="28"/>
          <w:szCs w:val="24"/>
          <w:highlight w:val="none"/>
        </w:rPr>
        <w:fldChar w:fldCharType="end"/>
      </w:r>
      <w:r>
        <w:rPr>
          <w:color w:val="auto"/>
          <w:sz w:val="28"/>
          <w:szCs w:val="40"/>
          <w:highlight w:val="none"/>
        </w:rPr>
        <w:fldChar w:fldCharType="end"/>
      </w:r>
    </w:p>
    <w:p w14:paraId="25820FA5">
      <w:pPr>
        <w:pStyle w:val="30"/>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rPr>
        <w:t>供应商</w:t>
      </w:r>
      <w:r>
        <w:rPr>
          <w:rFonts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5</w:t>
      </w:r>
      <w:r>
        <w:rPr>
          <w:color w:val="auto"/>
          <w:sz w:val="28"/>
          <w:szCs w:val="40"/>
          <w:highlight w:val="none"/>
        </w:rPr>
        <w:fldChar w:fldCharType="end"/>
      </w:r>
    </w:p>
    <w:p w14:paraId="4473F23C">
      <w:pPr>
        <w:pStyle w:val="30"/>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5</w:t>
      </w:r>
    </w:p>
    <w:p w14:paraId="4DE78E20">
      <w:pPr>
        <w:pStyle w:val="30"/>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2</w:t>
      </w:r>
    </w:p>
    <w:p w14:paraId="7143EA37">
      <w:pPr>
        <w:pStyle w:val="30"/>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6</w:t>
      </w:r>
    </w:p>
    <w:p w14:paraId="1B92A2FD">
      <w:pPr>
        <w:pStyle w:val="30"/>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color w:val="auto"/>
          <w:sz w:val="28"/>
          <w:szCs w:val="24"/>
          <w:highlight w:val="none"/>
        </w:rPr>
        <w:t>3</w:t>
      </w:r>
      <w:r>
        <w:rPr>
          <w:rFonts w:hint="eastAsia"/>
          <w:color w:val="auto"/>
          <w:sz w:val="28"/>
          <w:szCs w:val="24"/>
          <w:highlight w:val="none"/>
          <w:lang w:val="en-US" w:eastAsia="zh-CN"/>
        </w:rPr>
        <w:t>0</w:t>
      </w:r>
      <w:r>
        <w:rPr>
          <w:color w:val="auto"/>
          <w:sz w:val="28"/>
          <w:szCs w:val="24"/>
          <w:highlight w:val="none"/>
        </w:rPr>
        <w:fldChar w:fldCharType="end"/>
      </w:r>
      <w:r>
        <w:rPr>
          <w:color w:val="auto"/>
          <w:sz w:val="28"/>
          <w:szCs w:val="40"/>
          <w:highlight w:val="none"/>
        </w:rPr>
        <w:fldChar w:fldCharType="end"/>
      </w:r>
    </w:p>
    <w:p w14:paraId="78B5310B">
      <w:pPr>
        <w:pStyle w:val="30"/>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第七章  政府采购供应商询问函和质疑函范本</w:t>
      </w:r>
      <w:r>
        <w:rPr>
          <w:color w:val="auto"/>
          <w:sz w:val="28"/>
          <w:szCs w:val="24"/>
          <w:highlight w:val="none"/>
        </w:rPr>
        <w:tab/>
      </w:r>
      <w:r>
        <w:rPr>
          <w:rFonts w:hint="eastAsia"/>
          <w:color w:val="auto"/>
          <w:sz w:val="28"/>
          <w:szCs w:val="24"/>
          <w:highlight w:val="none"/>
          <w:lang w:val="en-US" w:eastAsia="zh-CN"/>
        </w:rPr>
        <w:t>4</w:t>
      </w:r>
      <w:r>
        <w:rPr>
          <w:color w:val="auto"/>
          <w:sz w:val="28"/>
          <w:szCs w:val="40"/>
          <w:highlight w:val="none"/>
        </w:rPr>
        <w:fldChar w:fldCharType="end"/>
      </w:r>
      <w:r>
        <w:rPr>
          <w:rFonts w:hint="eastAsia"/>
          <w:color w:val="auto"/>
          <w:sz w:val="28"/>
          <w:szCs w:val="40"/>
          <w:highlight w:val="none"/>
          <w:lang w:val="en-US" w:eastAsia="zh-CN"/>
        </w:rPr>
        <w:t>1</w:t>
      </w:r>
    </w:p>
    <w:p w14:paraId="6989B8C6">
      <w:pPr>
        <w:pStyle w:val="21"/>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21"/>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eastAsia="zh-CN"/>
        </w:rPr>
        <w:t>磋商</w:t>
      </w:r>
      <w:r>
        <w:rPr>
          <w:rFonts w:hint="eastAsia"/>
          <w:b/>
          <w:bCs/>
          <w:i w:val="0"/>
          <w:iCs/>
          <w:color w:val="auto"/>
          <w:sz w:val="32"/>
          <w:szCs w:val="32"/>
          <w:highlight w:val="none"/>
        </w:rPr>
        <w:t>邀请</w:t>
      </w:r>
    </w:p>
    <w:p w14:paraId="2B113C03">
      <w:pPr>
        <w:spacing w:line="360" w:lineRule="auto"/>
        <w:ind w:firstLine="435"/>
        <w:outlineLvl w:val="1"/>
        <w:rPr>
          <w:rFonts w:ascii="宋体" w:hAnsi="宋体" w:eastAsia="宋体"/>
          <w:b/>
          <w:bCs/>
          <w:color w:val="auto"/>
          <w:sz w:val="24"/>
          <w:szCs w:val="18"/>
          <w:highlight w:val="none"/>
        </w:rPr>
      </w:pPr>
      <w:bookmarkStart w:id="5" w:name="_Toc24610"/>
      <w:bookmarkStart w:id="6" w:name="_Toc21967"/>
      <w:bookmarkStart w:id="7" w:name="_Toc7340"/>
      <w:r>
        <w:rPr>
          <w:rFonts w:hint="eastAsia" w:ascii="宋体" w:hAnsi="宋体" w:eastAsia="宋体"/>
          <w:b/>
          <w:bCs/>
          <w:color w:val="auto"/>
          <w:sz w:val="24"/>
          <w:szCs w:val="18"/>
          <w:highlight w:val="none"/>
        </w:rPr>
        <w:t>一、项目名称及内容</w:t>
      </w:r>
      <w:bookmarkEnd w:id="5"/>
      <w:bookmarkEnd w:id="6"/>
      <w:bookmarkEnd w:id="7"/>
    </w:p>
    <w:p w14:paraId="77A859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TCSZCG(202</w:t>
      </w:r>
      <w:r>
        <w:rPr>
          <w:rFonts w:hint="eastAsia" w:ascii="宋体" w:hAnsi="宋体" w:eastAsia="宋体"/>
          <w:color w:val="auto"/>
          <w:sz w:val="24"/>
          <w:szCs w:val="18"/>
          <w:highlight w:val="none"/>
          <w:u w:val="single"/>
          <w:lang w:val="en-US" w:eastAsia="zh-CN"/>
        </w:rPr>
        <w:t>6</w:t>
      </w:r>
      <w:r>
        <w:rPr>
          <w:rFonts w:hint="eastAsia" w:ascii="宋体" w:hAnsi="宋体" w:eastAsia="宋体"/>
          <w:color w:val="auto"/>
          <w:sz w:val="24"/>
          <w:szCs w:val="18"/>
          <w:highlight w:val="none"/>
          <w:u w:val="single"/>
          <w:lang w:eastAsia="zh-CN"/>
        </w:rPr>
        <w:t xml:space="preserve">) </w:t>
      </w:r>
      <w:r>
        <w:rPr>
          <w:rFonts w:hint="eastAsia" w:ascii="宋体" w:hAnsi="宋体" w:eastAsia="宋体"/>
          <w:color w:val="auto"/>
          <w:sz w:val="24"/>
          <w:szCs w:val="18"/>
          <w:highlight w:val="none"/>
          <w:u w:val="single"/>
          <w:lang w:val="en-US" w:eastAsia="zh-CN"/>
        </w:rPr>
        <w:t>009</w:t>
      </w:r>
      <w:r>
        <w:rPr>
          <w:rFonts w:hint="eastAsia" w:ascii="宋体" w:hAnsi="宋体" w:eastAsia="宋体"/>
          <w:color w:val="auto"/>
          <w:sz w:val="24"/>
          <w:szCs w:val="18"/>
          <w:highlight w:val="none"/>
          <w:u w:val="single"/>
          <w:lang w:eastAsia="zh-CN"/>
        </w:rPr>
        <w:t>号</w:t>
      </w:r>
    </w:p>
    <w:p w14:paraId="7258789B">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桐城师范高等专科学校门禁系统维保服务采购项目</w:t>
      </w:r>
    </w:p>
    <w:p w14:paraId="17633DD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54648元/年</w:t>
      </w:r>
      <w:r>
        <w:rPr>
          <w:rFonts w:ascii="宋体" w:hAnsi="宋体" w:eastAsia="宋体"/>
          <w:color w:val="auto"/>
          <w:sz w:val="24"/>
          <w:szCs w:val="18"/>
          <w:highlight w:val="none"/>
          <w:u w:val="single"/>
        </w:rPr>
        <w:t xml:space="preserve"> </w:t>
      </w:r>
    </w:p>
    <w:p w14:paraId="6BA2AA9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54648元/年</w:t>
      </w:r>
      <w:r>
        <w:rPr>
          <w:rFonts w:ascii="宋体" w:hAnsi="宋体" w:eastAsia="宋体"/>
          <w:color w:val="auto"/>
          <w:sz w:val="24"/>
          <w:szCs w:val="18"/>
          <w:highlight w:val="none"/>
          <w:u w:val="single"/>
        </w:rPr>
        <w:t xml:space="preserve"> </w:t>
      </w:r>
    </w:p>
    <w:p w14:paraId="1D8C800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桐城师范高等专科学校门禁系统维保服务采购项目，详见采购需求</w:t>
      </w:r>
    </w:p>
    <w:p w14:paraId="7714AF6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两年，合同一年一签</w:t>
      </w:r>
      <w:r>
        <w:rPr>
          <w:rFonts w:ascii="宋体" w:hAnsi="宋体" w:eastAsia="宋体"/>
          <w:color w:val="auto"/>
          <w:sz w:val="24"/>
          <w:szCs w:val="18"/>
          <w:highlight w:val="none"/>
          <w:u w:val="single"/>
        </w:rPr>
        <w:t xml:space="preserve"> </w:t>
      </w:r>
    </w:p>
    <w:p w14:paraId="42AE4A25">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75FF8771">
      <w:pPr>
        <w:spacing w:line="360" w:lineRule="auto"/>
        <w:ind w:firstLine="435"/>
        <w:outlineLvl w:val="1"/>
        <w:rPr>
          <w:rFonts w:ascii="宋体" w:hAnsi="宋体" w:eastAsia="宋体"/>
          <w:b/>
          <w:bCs/>
          <w:color w:val="auto"/>
          <w:sz w:val="24"/>
          <w:szCs w:val="18"/>
          <w:highlight w:val="none"/>
        </w:rPr>
      </w:pPr>
      <w:bookmarkStart w:id="8" w:name="_Toc10226"/>
      <w:bookmarkStart w:id="9" w:name="_Toc5862"/>
      <w:bookmarkStart w:id="10" w:name="_Toc9766"/>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bookmarkEnd w:id="8"/>
      <w:r>
        <w:rPr>
          <w:rFonts w:hint="eastAsia" w:ascii="宋体" w:hAnsi="宋体" w:eastAsia="宋体"/>
          <w:b/>
          <w:bCs/>
          <w:color w:val="auto"/>
          <w:sz w:val="24"/>
          <w:szCs w:val="18"/>
          <w:highlight w:val="none"/>
        </w:rPr>
        <w:t>申请人的资格要求</w:t>
      </w:r>
      <w:bookmarkEnd w:id="9"/>
      <w:bookmarkEnd w:id="10"/>
    </w:p>
    <w:p w14:paraId="481D89B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2A9C3111">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2.落实政府采购政策需满足的资格要求</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w:t>
      </w:r>
    </w:p>
    <w:p w14:paraId="0ED5DC6F">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3.本项目的特定资格要求：</w:t>
      </w:r>
      <w:r>
        <w:rPr>
          <w:rFonts w:hint="eastAsia" w:asciiTheme="minorEastAsia" w:hAnsiTheme="minorEastAsia" w:eastAsiaTheme="minorEastAsia"/>
          <w:color w:val="auto"/>
          <w:sz w:val="24"/>
          <w:highlight w:val="none"/>
          <w:lang w:val="en-US" w:eastAsia="zh-CN"/>
        </w:rPr>
        <w:t>/。</w:t>
      </w:r>
    </w:p>
    <w:p w14:paraId="3BA13CD6">
      <w:pPr>
        <w:spacing w:line="360" w:lineRule="auto"/>
        <w:ind w:firstLine="435"/>
        <w:outlineLvl w:val="1"/>
        <w:rPr>
          <w:rFonts w:ascii="宋体" w:hAnsi="宋体" w:eastAsia="宋体"/>
          <w:b/>
          <w:bCs/>
          <w:color w:val="auto"/>
          <w:sz w:val="24"/>
          <w:szCs w:val="18"/>
          <w:highlight w:val="none"/>
        </w:rPr>
      </w:pPr>
      <w:bookmarkStart w:id="11" w:name="_Toc4607"/>
      <w:bookmarkStart w:id="12" w:name="_Toc31469"/>
      <w:bookmarkStart w:id="13" w:name="_Toc31607"/>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bookmarkEnd w:id="11"/>
      <w:r>
        <w:rPr>
          <w:rFonts w:hint="eastAsia" w:asciiTheme="minorEastAsia" w:hAnsiTheme="minorEastAsia" w:eastAsiaTheme="minorEastAsia"/>
          <w:b/>
          <w:color w:val="auto"/>
          <w:sz w:val="24"/>
          <w:highlight w:val="none"/>
        </w:rPr>
        <w:t>获取采购文件</w:t>
      </w:r>
      <w:bookmarkEnd w:id="12"/>
      <w:bookmarkEnd w:id="13"/>
    </w:p>
    <w:p w14:paraId="3DE512F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sz w:val="24"/>
          <w:szCs w:val="24"/>
          <w:highlight w:val="none"/>
        </w:rPr>
      </w:pPr>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7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27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9</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00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分前（北京时间）</w:t>
      </w:r>
    </w:p>
    <w:p w14:paraId="63649A3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Theme="minorEastAsia" w:hAnsiTheme="minorEastAsia" w:eastAsiaTheme="minorEastAsia" w:cstheme="minorEastAsia"/>
          <w:sz w:val="24"/>
          <w:szCs w:val="24"/>
          <w:highlight w:val="none"/>
          <w:u w:val="single"/>
        </w:rPr>
        <w:t>桐城师范高等专科学校官网</w:t>
      </w:r>
    </w:p>
    <w:p w14:paraId="1DFE9C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方式：</w:t>
      </w:r>
      <w:r>
        <w:rPr>
          <w:rFonts w:hint="eastAsia" w:ascii="宋体" w:hAnsi="宋体" w:eastAsia="宋体"/>
          <w:color w:val="auto"/>
          <w:sz w:val="24"/>
          <w:szCs w:val="18"/>
          <w:highlight w:val="none"/>
          <w:u w:val="single"/>
          <w:lang w:val="en-US" w:eastAsia="zh-CN"/>
        </w:rPr>
        <w:t>桐城师范高等专科学校官网和安庆市公共资源交易服务网“限额以下项目”自行下载</w:t>
      </w:r>
    </w:p>
    <w:p w14:paraId="25763F3E">
      <w:pPr>
        <w:spacing w:line="360" w:lineRule="auto"/>
        <w:ind w:firstLine="435"/>
        <w:outlineLvl w:val="1"/>
        <w:rPr>
          <w:rFonts w:ascii="宋体" w:hAnsi="宋体" w:eastAsia="宋体"/>
          <w:b/>
          <w:bCs/>
          <w:color w:val="auto"/>
          <w:sz w:val="24"/>
          <w:szCs w:val="18"/>
          <w:highlight w:val="none"/>
        </w:rPr>
      </w:pPr>
      <w:bookmarkStart w:id="14" w:name="_Toc19753"/>
      <w:bookmarkStart w:id="15" w:name="_Toc16674"/>
      <w:bookmarkStart w:id="16" w:name="_Toc346"/>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bookmarkEnd w:id="14"/>
      <w:r>
        <w:rPr>
          <w:rFonts w:hint="eastAsia" w:ascii="宋体" w:hAnsi="宋体" w:eastAsia="宋体"/>
          <w:b/>
          <w:bCs/>
          <w:color w:val="auto"/>
          <w:sz w:val="24"/>
          <w:highlight w:val="none"/>
        </w:rPr>
        <w:t>响应文件提交</w:t>
      </w:r>
      <w:bookmarkEnd w:id="15"/>
      <w:bookmarkEnd w:id="16"/>
    </w:p>
    <w:p w14:paraId="625C9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截止时间：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7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27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9</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00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w:t>
      </w:r>
      <w:r>
        <w:rPr>
          <w:rFonts w:hint="eastAsia" w:asciiTheme="minorEastAsia" w:hAnsiTheme="minorEastAsia" w:eastAsiaTheme="minorEastAsia" w:cstheme="minorEastAsia"/>
          <w:bCs/>
          <w:sz w:val="24"/>
          <w:szCs w:val="24"/>
          <w:highlight w:val="none"/>
        </w:rPr>
        <w:t>（北京时间）</w:t>
      </w:r>
    </w:p>
    <w:p w14:paraId="5AC9A5E2">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纸质响应文件提交至桐城市民营经济开发区朝阳玉雕城A-15</w:t>
      </w:r>
    </w:p>
    <w:p w14:paraId="7DDE2D61">
      <w:pPr>
        <w:spacing w:line="360" w:lineRule="auto"/>
        <w:ind w:firstLine="435"/>
        <w:outlineLvl w:val="1"/>
        <w:rPr>
          <w:rFonts w:ascii="宋体" w:hAnsi="宋体" w:eastAsia="宋体"/>
          <w:b/>
          <w:bCs/>
          <w:color w:val="auto"/>
          <w:sz w:val="24"/>
          <w:szCs w:val="18"/>
          <w:highlight w:val="none"/>
        </w:rPr>
      </w:pPr>
      <w:bookmarkStart w:id="17" w:name="_Toc8953"/>
      <w:bookmarkStart w:id="18" w:name="_Toc10846"/>
      <w:bookmarkStart w:id="19" w:name="_Toc7959"/>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highlight w:val="none"/>
        </w:rPr>
        <w:t>开启</w:t>
      </w:r>
      <w:bookmarkEnd w:id="18"/>
      <w:bookmarkEnd w:id="19"/>
    </w:p>
    <w:p w14:paraId="56F1E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u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7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27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9</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00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bCs/>
          <w:sz w:val="24"/>
          <w:szCs w:val="24"/>
          <w:highlight w:val="none"/>
        </w:rPr>
        <w:t>（北京时间）</w:t>
      </w:r>
    </w:p>
    <w:p w14:paraId="5D701E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桐城市民营经济开发区朝阳玉雕城A-15</w:t>
      </w:r>
    </w:p>
    <w:p w14:paraId="20B1FAE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0" w:name="_Toc14575"/>
      <w:bookmarkStart w:id="21" w:name="_Toc16124"/>
      <w:bookmarkStart w:id="22" w:name="_Toc16203"/>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20"/>
      <w:bookmarkEnd w:id="21"/>
    </w:p>
    <w:p w14:paraId="32F58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自本公告发布之日起3个工作日。</w:t>
      </w:r>
    </w:p>
    <w:p w14:paraId="681463C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3" w:name="_Toc21264"/>
      <w:bookmarkStart w:id="24" w:name="_Toc35393795"/>
      <w:bookmarkStart w:id="25" w:name="_Toc35393626"/>
      <w:bookmarkStart w:id="26" w:name="_Toc16366"/>
      <w:r>
        <w:rPr>
          <w:rFonts w:hint="eastAsia" w:ascii="宋体" w:hAnsi="宋体" w:eastAsia="宋体"/>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23"/>
      <w:bookmarkEnd w:id="24"/>
      <w:bookmarkEnd w:id="25"/>
      <w:bookmarkEnd w:id="26"/>
    </w:p>
    <w:p w14:paraId="264F4CFD">
      <w:pPr>
        <w:spacing w:line="360" w:lineRule="auto"/>
        <w:ind w:firstLine="435"/>
        <w:outlineLvl w:val="1"/>
        <w:rPr>
          <w:rFonts w:hint="eastAsia" w:ascii="宋体" w:hAnsi="宋体" w:eastAsia="宋体"/>
          <w:b w:val="0"/>
          <w:bCs w:val="0"/>
          <w:color w:val="auto"/>
          <w:sz w:val="24"/>
          <w:szCs w:val="18"/>
          <w:highlight w:val="none"/>
          <w:lang w:val="en-US" w:eastAsia="zh-CN"/>
        </w:rPr>
      </w:pPr>
      <w:bookmarkStart w:id="27" w:name="_Toc7755"/>
      <w:bookmarkStart w:id="28" w:name="_Toc24122"/>
      <w:r>
        <w:rPr>
          <w:rFonts w:hint="eastAsia" w:ascii="宋体" w:hAnsi="宋体" w:eastAsia="宋体"/>
          <w:b w:val="0"/>
          <w:bCs w:val="0"/>
          <w:color w:val="auto"/>
          <w:sz w:val="24"/>
          <w:szCs w:val="1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61C7E2AF">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2.中标单位应按照中标通知书要求及时与采购人签订合同并完成备案，否则将记入不良行为记录，并予以披露。</w:t>
      </w:r>
    </w:p>
    <w:p w14:paraId="685F590A">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八</w:t>
      </w:r>
      <w:r>
        <w:rPr>
          <w:rFonts w:hint="eastAsia" w:asciiTheme="minorEastAsia" w:hAnsiTheme="minorEastAsia" w:eastAsiaTheme="minorEastAsia"/>
          <w:b/>
          <w:color w:val="auto"/>
          <w:sz w:val="24"/>
          <w:highlight w:val="none"/>
        </w:rPr>
        <w:t>、</w:t>
      </w:r>
      <w:bookmarkEnd w:id="22"/>
      <w:r>
        <w:rPr>
          <w:rFonts w:hint="eastAsia" w:ascii="宋体" w:hAnsi="宋体" w:eastAsia="宋体"/>
          <w:b/>
          <w:bCs/>
          <w:color w:val="auto"/>
          <w:sz w:val="24"/>
          <w:szCs w:val="18"/>
          <w:highlight w:val="none"/>
        </w:rPr>
        <w:t>凡对本次采购提出询问，请按以下方式联系</w:t>
      </w:r>
      <w:bookmarkEnd w:id="27"/>
      <w:bookmarkEnd w:id="28"/>
    </w:p>
    <w:p w14:paraId="1060BC1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1.采购人信息</w:t>
      </w:r>
    </w:p>
    <w:p w14:paraId="58CB20EC">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名称：桐城师范高等专科学校</w:t>
      </w:r>
    </w:p>
    <w:p w14:paraId="2B14A2B5">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地址：安徽省桐城市经开区学苑路199号</w:t>
      </w:r>
    </w:p>
    <w:p w14:paraId="7A1499A1">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联系人：陶老师          联系方式：</w:t>
      </w:r>
      <w:r>
        <w:rPr>
          <w:rFonts w:hint="eastAsia" w:ascii="宋体" w:hAnsi="宋体" w:eastAsia="宋体"/>
          <w:color w:val="auto"/>
          <w:sz w:val="24"/>
          <w:szCs w:val="18"/>
          <w:highlight w:val="none"/>
        </w:rPr>
        <w:t>0556-</w:t>
      </w:r>
      <w:r>
        <w:rPr>
          <w:rFonts w:hint="eastAsia" w:ascii="宋体" w:hAnsi="宋体" w:eastAsia="宋体"/>
          <w:color w:val="auto"/>
          <w:sz w:val="24"/>
          <w:szCs w:val="18"/>
          <w:highlight w:val="none"/>
          <w:lang w:val="en-US" w:eastAsia="zh-CN"/>
        </w:rPr>
        <w:t>6181561</w:t>
      </w:r>
    </w:p>
    <w:p w14:paraId="7577A76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2.采购代理机构信息</w:t>
      </w:r>
    </w:p>
    <w:p w14:paraId="2275BE0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名称：安徽文都招标代理咨询有限公司</w:t>
      </w:r>
    </w:p>
    <w:p w14:paraId="2ADF2CD4">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地址：桐城市民营经济开发区朝阳玉雕城A-15</w:t>
      </w:r>
    </w:p>
    <w:p w14:paraId="34E18E8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联系人：叶女士           联系电话：0556-6567777</w:t>
      </w:r>
    </w:p>
    <w:p w14:paraId="00ED2FFC">
      <w:pPr>
        <w:spacing w:line="360" w:lineRule="auto"/>
        <w:ind w:firstLine="435"/>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29" w:name="_Toc11266"/>
      <w:bookmarkStart w:id="30" w:name="_Toc26069"/>
      <w:bookmarkStart w:id="31" w:name="_Toc54941329"/>
      <w:bookmarkStart w:id="32" w:name="_Toc439316872"/>
      <w:bookmarkStart w:id="33" w:name="_Toc2521"/>
      <w:bookmarkStart w:id="34" w:name="_Toc54941331"/>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bookmarkEnd w:id="29"/>
      <w:bookmarkEnd w:id="30"/>
      <w:bookmarkEnd w:id="31"/>
      <w:r>
        <w:rPr>
          <w:rFonts w:hint="eastAsia" w:ascii="Arial" w:hAnsi="Arial"/>
          <w:color w:val="auto"/>
          <w:kern w:val="2"/>
          <w:sz w:val="32"/>
          <w:szCs w:val="32"/>
          <w:highlight w:val="none"/>
        </w:rPr>
        <w:t>供应商</w:t>
      </w:r>
      <w:r>
        <w:rPr>
          <w:rFonts w:ascii="Arial" w:hAnsi="Arial"/>
          <w:color w:val="auto"/>
          <w:kern w:val="2"/>
          <w:sz w:val="32"/>
          <w:szCs w:val="32"/>
          <w:highlight w:val="none"/>
        </w:rPr>
        <w:t>须知</w:t>
      </w:r>
    </w:p>
    <w:p w14:paraId="62BB8DF9">
      <w:pPr>
        <w:pStyle w:val="4"/>
        <w:rPr>
          <w:rFonts w:hint="eastAsia" w:eastAsia="宋体" w:cs="Tahoma"/>
          <w:bCs/>
          <w:color w:val="auto"/>
          <w:kern w:val="0"/>
          <w:sz w:val="28"/>
          <w:szCs w:val="28"/>
          <w:highlight w:val="none"/>
          <w:lang w:eastAsia="zh-CN"/>
        </w:rPr>
      </w:pPr>
      <w:bookmarkStart w:id="35" w:name="_Toc439316871"/>
      <w:bookmarkStart w:id="36" w:name="_Toc54941330"/>
      <w:bookmarkStart w:id="37" w:name="_Toc17862"/>
      <w:r>
        <w:rPr>
          <w:rFonts w:hint="eastAsia" w:cs="Tahoma"/>
          <w:bCs/>
          <w:color w:val="auto"/>
          <w:kern w:val="0"/>
          <w:sz w:val="28"/>
          <w:szCs w:val="28"/>
          <w:highlight w:val="none"/>
        </w:rPr>
        <w:t>一</w:t>
      </w:r>
      <w:bookmarkEnd w:id="35"/>
      <w:bookmarkEnd w:id="36"/>
      <w:bookmarkEnd w:id="37"/>
      <w:r>
        <w:rPr>
          <w:rFonts w:hint="eastAsia" w:cs="Tahoma"/>
          <w:bCs/>
          <w:color w:val="auto"/>
          <w:kern w:val="0"/>
          <w:sz w:val="28"/>
          <w:szCs w:val="28"/>
          <w:highlight w:val="none"/>
          <w:lang w:eastAsia="zh-CN"/>
        </w:rPr>
        <w:t>、</w:t>
      </w:r>
      <w:r>
        <w:rPr>
          <w:rFonts w:hint="eastAsia" w:cs="Tahoma"/>
          <w:bCs/>
          <w:color w:val="auto"/>
          <w:kern w:val="0"/>
          <w:sz w:val="28"/>
          <w:szCs w:val="28"/>
          <w:highlight w:val="none"/>
        </w:rPr>
        <w:t>供应商</w:t>
      </w:r>
      <w:r>
        <w:rPr>
          <w:rFonts w:cs="Tahoma"/>
          <w:bCs/>
          <w:color w:val="auto"/>
          <w:kern w:val="0"/>
          <w:sz w:val="28"/>
          <w:szCs w:val="28"/>
          <w:highlight w:val="none"/>
        </w:rPr>
        <w:t>须知前附表</w:t>
      </w:r>
    </w:p>
    <w:tbl>
      <w:tblPr>
        <w:tblStyle w:val="41"/>
        <w:tblW w:w="102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6898"/>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6898"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6898"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6898"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安徽文都招标代理咨询有限公司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6898"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6898"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响应人</w:t>
            </w:r>
            <w:r>
              <w:rPr>
                <w:rFonts w:hint="eastAsia" w:asciiTheme="minorEastAsia" w:hAnsiTheme="minorEastAsia" w:eastAsiaTheme="minorEastAsia" w:cstheme="minorEastAsia"/>
              </w:rPr>
              <w:t>自行考察</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6898"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有效期</w:t>
            </w:r>
          </w:p>
        </w:tc>
        <w:tc>
          <w:tcPr>
            <w:tcW w:w="6898"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响应文件要求</w:t>
            </w:r>
          </w:p>
        </w:tc>
        <w:tc>
          <w:tcPr>
            <w:tcW w:w="6898"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（1）供应商的响应文件需胶装成册，所附材料须按规定填写，并按要求签字盖章，否则按废标处理。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6898"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5B7A9ABC">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p>
          <w:p w14:paraId="79A9EFE5">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en-US"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Times New Roman"/>
                <w:b w:val="0"/>
                <w:bCs w:val="0"/>
                <w:strike w:val="0"/>
                <w:dstrike w:val="0"/>
                <w:color w:val="auto"/>
                <w:kern w:val="2"/>
                <w:sz w:val="21"/>
                <w:szCs w:val="21"/>
                <w:highlight w:val="none"/>
                <w:lang w:val="zh-CN" w:eastAsia="zh-CN" w:bidi="ar-SA"/>
              </w:rPr>
              <w:t>项目名称：</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6898"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详见竞争性磋商公告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时间和地点</w:t>
            </w:r>
          </w:p>
        </w:tc>
        <w:tc>
          <w:tcPr>
            <w:tcW w:w="6898"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6898"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综合评分法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057"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原件</w:t>
            </w:r>
          </w:p>
        </w:tc>
        <w:tc>
          <w:tcPr>
            <w:tcW w:w="6898"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时不要求供应商携带相关证件、业绩及奖项的原件（</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6898"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磋商小组推荐成交候选供应商的数量：1家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确定成交供应商：采购人委托磋商小组确定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6898"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w:t>
            </w:r>
            <w:r>
              <w:rPr>
                <w:rFonts w:hint="eastAsia" w:asciiTheme="minorEastAsia" w:hAnsiTheme="minorEastAsia" w:eastAsiaTheme="minorEastAsia" w:cstheme="minorEastAsia"/>
              </w:rPr>
              <w:t>上发布和推送</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6898"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保证金</w:t>
            </w:r>
          </w:p>
        </w:tc>
        <w:tc>
          <w:tcPr>
            <w:tcW w:w="6898"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6898"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6898"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6898"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联系电话： </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通讯地址： </w:t>
            </w:r>
            <w:r>
              <w:rPr>
                <w:rFonts w:hint="eastAsia" w:asciiTheme="minorEastAsia" w:hAnsiTheme="minorEastAsia" w:eastAsiaTheme="minorEastAsia" w:cstheme="minorEastAsia"/>
                <w:lang w:val="en-US" w:eastAsia="zh-CN"/>
              </w:rPr>
              <w:t>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18</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6898"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、本项目所要求的业绩均须为中华人民共和国境内业绩（不含港澳台地区）</w:t>
            </w:r>
            <w:r>
              <w:rPr>
                <w:rFonts w:hint="eastAsia" w:asciiTheme="minorEastAsia" w:hAnsiTheme="minorEastAsia" w:eastAsiaTheme="minorEastAsia" w:cstheme="minorEastAsia"/>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p w14:paraId="49153585">
      <w:pPr>
        <w:pStyle w:val="14"/>
        <w:rPr>
          <w:rFonts w:hint="eastAsia" w:cs="Tahoma"/>
          <w:bCs/>
          <w:color w:val="auto"/>
          <w:kern w:val="0"/>
          <w:sz w:val="32"/>
          <w:szCs w:val="32"/>
          <w:highlight w:val="none"/>
          <w:lang w:val="en-US" w:eastAsia="zh-CN"/>
        </w:rPr>
      </w:pPr>
    </w:p>
    <w:p w14:paraId="2136D265">
      <w:pPr>
        <w:pStyle w:val="14"/>
        <w:rPr>
          <w:rFonts w:hint="eastAsia" w:cs="Tahoma"/>
          <w:bCs/>
          <w:color w:val="auto"/>
          <w:kern w:val="0"/>
          <w:sz w:val="32"/>
          <w:szCs w:val="32"/>
          <w:highlight w:val="none"/>
          <w:lang w:val="en-US" w:eastAsia="zh-CN"/>
        </w:rPr>
      </w:pPr>
    </w:p>
    <w:bookmarkEnd w:id="32"/>
    <w:bookmarkEnd w:id="33"/>
    <w:bookmarkEnd w:id="34"/>
    <w:p w14:paraId="4E509DB0">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38" w:name="_Toc12353"/>
      <w:r>
        <w:rPr>
          <w:rFonts w:hint="eastAsia" w:ascii="宋体" w:hAnsi="宋体" w:eastAsia="宋体" w:cs="宋体"/>
          <w:b/>
          <w:bCs/>
          <w:color w:val="auto"/>
          <w:kern w:val="2"/>
          <w:sz w:val="30"/>
          <w:szCs w:val="30"/>
          <w:highlight w:val="none"/>
          <w:lang w:val="zh-CN"/>
        </w:rPr>
        <w:t>二、</w:t>
      </w:r>
      <w:r>
        <w:rPr>
          <w:rFonts w:hint="eastAsia" w:ascii="宋体" w:hAnsi="宋体" w:eastAsia="宋体" w:cs="宋体"/>
          <w:b/>
          <w:bCs/>
          <w:color w:val="auto"/>
          <w:kern w:val="2"/>
          <w:sz w:val="30"/>
          <w:szCs w:val="30"/>
          <w:highlight w:val="none"/>
          <w:lang w:val="en-US" w:eastAsia="zh-CN"/>
        </w:rPr>
        <w:t>供应商</w:t>
      </w:r>
      <w:r>
        <w:rPr>
          <w:rFonts w:hint="eastAsia" w:ascii="宋体" w:hAnsi="宋体" w:eastAsia="宋体" w:cs="宋体"/>
          <w:b/>
          <w:bCs/>
          <w:color w:val="auto"/>
          <w:kern w:val="2"/>
          <w:sz w:val="30"/>
          <w:szCs w:val="30"/>
          <w:highlight w:val="none"/>
          <w:lang w:val="zh-CN"/>
        </w:rPr>
        <w:t>须知</w:t>
      </w:r>
      <w:r>
        <w:rPr>
          <w:rFonts w:hint="eastAsia" w:ascii="宋体" w:hAnsi="宋体" w:eastAsia="宋体" w:cs="宋体"/>
          <w:b/>
          <w:bCs/>
          <w:color w:val="auto"/>
          <w:kern w:val="2"/>
          <w:sz w:val="30"/>
          <w:szCs w:val="30"/>
          <w:highlight w:val="none"/>
          <w:lang w:val="en-US" w:eastAsia="zh-CN"/>
        </w:rPr>
        <w:t>正文</w:t>
      </w:r>
    </w:p>
    <w:p w14:paraId="147749FB">
      <w:pPr>
        <w:spacing w:beforeAutospacing="0" w:line="360" w:lineRule="auto"/>
        <w:outlineLvl w:val="2"/>
        <w:rPr>
          <w:rFonts w:asciiTheme="minorEastAsia" w:hAnsiTheme="minorEastAsia" w:eastAsiaTheme="minorEastAsia"/>
          <w:b/>
          <w:color w:val="auto"/>
          <w:sz w:val="24"/>
          <w:highlight w:val="none"/>
        </w:rPr>
      </w:pPr>
      <w:bookmarkStart w:id="39" w:name="_Toc21078"/>
      <w:bookmarkStart w:id="40" w:name="_Toc25270"/>
      <w:bookmarkStart w:id="41" w:name="_Toc439316873"/>
      <w:bookmarkStart w:id="42" w:name="_Toc10523"/>
      <w:bookmarkStart w:id="43" w:name="_Toc15055"/>
      <w:bookmarkStart w:id="44" w:name="_Toc439316919"/>
      <w:bookmarkStart w:id="45" w:name="_Toc7325"/>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6FE4C72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734C6E1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0D1DFCD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01B11DD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6" w:name="_Hlk60264251"/>
      <w:r>
        <w:rPr>
          <w:rFonts w:hint="eastAsia" w:ascii="宋体" w:hAnsi="宋体" w:eastAsia="宋体" w:cs="Times New Roman"/>
          <w:color w:val="auto"/>
          <w:sz w:val="24"/>
          <w:highlight w:val="none"/>
          <w:lang w:val="en-US" w:eastAsia="zh-CN"/>
        </w:rPr>
        <w:t>本项目的供应商须满足以下条件：</w:t>
      </w:r>
    </w:p>
    <w:p w14:paraId="2A3C6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0119D1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1.4.2以采购代理机构认可的方式获得了本项目的磋商文件。</w:t>
      </w:r>
    </w:p>
    <w:p w14:paraId="5A829FB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105DD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6"/>
    <w:p w14:paraId="1E07486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E3687C4">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本项目的采购人已获得足以支付本次磋商后所签订的合同项下的资金。</w:t>
      </w:r>
    </w:p>
    <w:p w14:paraId="6733A94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3.磋商费用</w:t>
      </w:r>
    </w:p>
    <w:p w14:paraId="425C645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不论磋商的结果如何，供应商应承担其所有与准备和参加磋商有关的费用。</w:t>
      </w:r>
    </w:p>
    <w:p w14:paraId="6715A07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32C857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6C63565E">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5.磋商文件构成</w:t>
      </w:r>
    </w:p>
    <w:p w14:paraId="60569A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5.1磋商文件包括下列内容：</w:t>
      </w:r>
    </w:p>
    <w:p w14:paraId="58B7EA74">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磋商邀请</w:t>
      </w:r>
    </w:p>
    <w:p w14:paraId="79D5E24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76E24B5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21427CA8">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0BB58424">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7D618819">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3089B9E2">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283450A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669313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文件所有的事项、格式、条款和技术规范等。</w:t>
      </w:r>
    </w:p>
    <w:p w14:paraId="40471A4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6.磋商文件的澄清与修改</w:t>
      </w:r>
    </w:p>
    <w:p w14:paraId="5A63D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6.1供应商如对磋商文件内容有疑问，必须在供应商须知前附表规定的网上询问截止时间前以书面提问形式提交给采购代理机构。</w:t>
      </w:r>
    </w:p>
    <w:p w14:paraId="2D4CEAF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63C9DE7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0667C11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6.4对于没有提出询问又参与了本项目磋商的供应商将被视为完全认同本磋商文件（含更正公告的内容）。</w:t>
      </w:r>
    </w:p>
    <w:p w14:paraId="60B5FDC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7.磋商范围及响应文件中标准和计量单位的使用</w:t>
      </w:r>
    </w:p>
    <w:p w14:paraId="1E46B06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1E53A4D7">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7.2供应商应当对所投分包磋商文件中“采购需求”所列的所有内容进行响应，如仅响应所投包别中的部分内容，其所投包别的响应将被认定为响应无效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6730CBC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7.3无论磋商文件中是否要求，供应商所投货物及伴随的服务和工程均应符合国家强制性标准。</w:t>
      </w:r>
    </w:p>
    <w:p w14:paraId="5A174F7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6E16DD9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7.5除磋商文件中有特殊要求外，响应文件中所使用的计量单位，应采用中华人民共和国法定计量单位。</w:t>
      </w:r>
    </w:p>
    <w:p w14:paraId="7D692A5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6A7D113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8.1供应商应完整地按磋商文件提供的响应文件格式及要求编写响应文件，具体内容详见本项目响应文件格式的相关内容。</w:t>
      </w:r>
    </w:p>
    <w:p w14:paraId="5E1FBB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8.2供应商应提交磋商文件要求的证明文件，证明其响应内容符合磋商文件规定。该证明文件是响应文件的一部分。证明文件形式可以是文字资料、图纸和数据</w:t>
      </w:r>
      <w:bookmarkStart w:id="47" w:name="_Hlk11703583"/>
      <w:r>
        <w:rPr>
          <w:rFonts w:hint="eastAsia" w:ascii="宋体" w:hAnsi="宋体" w:eastAsia="宋体" w:cs="Times New Roman"/>
          <w:color w:val="auto"/>
          <w:sz w:val="24"/>
          <w:highlight w:val="none"/>
          <w:lang w:val="en-US" w:eastAsia="zh-CN"/>
        </w:rPr>
        <w:t>。</w:t>
      </w:r>
    </w:p>
    <w:bookmarkEnd w:id="47"/>
    <w:p w14:paraId="7D5A2C0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8.3为保证公平公正，除非另有规定或说明，供应商对同一项目磋商时，不得同时提供备选磋商方案。</w:t>
      </w:r>
    </w:p>
    <w:p w14:paraId="76CA2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1658C55D">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报价应遵守《中华人民共和国价格法》。</w:t>
      </w:r>
    </w:p>
    <w:p w14:paraId="3A8EF2B8">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.2除非</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文件另有规定或经采购人同意支付的，最后报价均不得高于</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7372E1E">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6FE7EFD8">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2AB9CD1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10.磋商保证金</w:t>
      </w:r>
    </w:p>
    <w:p w14:paraId="16D6BA9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10.1本项目不收取磋商保证金。</w:t>
      </w:r>
    </w:p>
    <w:p w14:paraId="1E3DAAB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11.磋商有效期</w:t>
      </w:r>
    </w:p>
    <w:p w14:paraId="0A34E8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11.1磋商有效期为从响应文件提交截止之日算起的日历天数，磋商有效期详见</w:t>
      </w:r>
      <w:r>
        <w:rPr>
          <w:rFonts w:hint="eastAsia" w:ascii="宋体" w:hAnsi="宋体" w:eastAsia="宋体" w:cs="Times New Roman"/>
          <w:color w:val="auto"/>
          <w:sz w:val="24"/>
          <w:highlight w:val="none"/>
          <w:u w:val="single"/>
          <w:lang w:val="en-US" w:eastAsia="zh-CN"/>
        </w:rPr>
        <w:t>供应商须知前附表</w:t>
      </w:r>
      <w:r>
        <w:rPr>
          <w:rFonts w:hint="eastAsia" w:ascii="宋体" w:hAnsi="宋体" w:eastAsia="宋体" w:cs="Times New Roman"/>
          <w:color w:val="auto"/>
          <w:sz w:val="24"/>
          <w:highlight w:val="none"/>
          <w:lang w:val="en-US" w:eastAsia="zh-CN"/>
        </w:rPr>
        <w:t>。</w:t>
      </w:r>
    </w:p>
    <w:p w14:paraId="14F14B0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11.2在磋商有效期内，供应商的磋商保持有效，供应商不得要求撤销或修改其响应文件。磋商有效期不满足要求的响应，其响应文件将被认定为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4A4EC7E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5EFC4D6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2D068E2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12.1供应商应当在竞争性磋商公告规定的响应文件提交截止时间前，将密封完好的响应文件递交，逾期递交的响应文件将不予受理。</w:t>
      </w:r>
    </w:p>
    <w:p w14:paraId="4366E49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9D023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DBED6D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5E14327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13.磋商小组</w:t>
      </w:r>
    </w:p>
    <w:p w14:paraId="6097C25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13.1本项目将依法组建磋商小组，磋商小组成员由3人以上（含）单数组成，磋商小组及其成员应当依照政府采购的有关规定履行相关职责和义务。</w:t>
      </w:r>
    </w:p>
    <w:p w14:paraId="4384435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13.2磋商小组依法对响应文件进行评审，并根据磋商文件规定的程序、评定成交的标准等事项与实质性响应磋商文件要求的供应商进行磋商。</w:t>
      </w:r>
    </w:p>
    <w:p w14:paraId="7054D9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13.3磋商小组应当从质量和服务均能满足磋商文件实质性响应要求的供应商中，按照评审办法和标准推荐成交候选人，并编写评审报告。</w:t>
      </w:r>
    </w:p>
    <w:p w14:paraId="127C3A5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14.响应文件的评审与磋商</w:t>
      </w:r>
    </w:p>
    <w:p w14:paraId="12867E0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14.1采购人和采购代理机构将在竞争性磋商公告规定的时间和地点组织磋商。</w:t>
      </w:r>
    </w:p>
    <w:p w14:paraId="1EBA245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14.2竞争性磋商采用</w:t>
      </w:r>
      <w:r>
        <w:rPr>
          <w:rFonts w:hint="eastAsia" w:ascii="宋体" w:hAnsi="宋体" w:cs="Times New Roman"/>
          <w:color w:val="auto"/>
          <w:sz w:val="24"/>
          <w:highlight w:val="none"/>
          <w:lang w:val="en-US" w:eastAsia="zh-CN"/>
        </w:rPr>
        <w:t>综合评分法</w:t>
      </w:r>
      <w:r>
        <w:rPr>
          <w:rFonts w:hint="eastAsia" w:ascii="宋体" w:hAnsi="宋体" w:eastAsia="宋体" w:cs="Times New Roman"/>
          <w:color w:val="auto"/>
          <w:sz w:val="24"/>
          <w:highlight w:val="none"/>
          <w:lang w:val="en-US" w:eastAsia="zh-CN"/>
        </w:rPr>
        <w:t>评审。</w:t>
      </w:r>
    </w:p>
    <w:p w14:paraId="5B071F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综合评分法，是指响应文件满足磋商文件全部实质性要求且按评审因素的量化指标评审得分最高的供应商为成交候选供应商的评审方法。</w:t>
      </w:r>
    </w:p>
    <w:p w14:paraId="2F882F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14.3磋商小组将按照磋商文件规定的评审方法和标准对供应商独立进行评审。评审程序如下：</w:t>
      </w:r>
    </w:p>
    <w:p w14:paraId="4C0FF16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。磋商小组对供应商必须满足和实质性响应的内容进行评审，供应商未实质性响应磋商文件要求导致响应无效的，磋商小组将以书面询标的方式告知有关供应商。</w:t>
      </w:r>
    </w:p>
    <w:p w14:paraId="7B9174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30CECD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69675D6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磋商</w:t>
      </w:r>
      <w:r>
        <w:rPr>
          <w:rFonts w:hint="eastAsia" w:ascii="宋体" w:hAnsi="宋体" w:eastAsia="宋体" w:cs="Times New Roman"/>
          <w:color w:val="auto"/>
          <w:sz w:val="24"/>
          <w:highlight w:val="none"/>
          <w:lang w:val="en-US" w:eastAsia="zh-CN"/>
        </w:rPr>
        <w:t>。初审合格后，磋商小组将与单一供应商分别进行磋商，并给予所有参加磋商的供应商平等的磋商机会。</w:t>
      </w:r>
    </w:p>
    <w:p w14:paraId="4BCAB8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。磋商结束后，磋商小组应当要求所有继续参加磋商的供应商在规定时间内提交最后报价。如供应商未在规定时间内（30分钟内）提交最后报价，则视为供应商自愿退出磋商。</w:t>
      </w:r>
    </w:p>
    <w:p w14:paraId="74196698">
      <w:pPr>
        <w:spacing w:line="360" w:lineRule="auto"/>
        <w:ind w:firstLine="240" w:firstLineChars="100"/>
        <w:rPr>
          <w:rFonts w:hint="eastAsia" w:ascii="宋体" w:hAnsi="宋体" w:eastAsia="宋体" w:cs="Times New Roman"/>
          <w:b/>
          <w:bCs/>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异常低价响应审查。根据《关于推进解决政府采购异常低价问题的通知》（财库〔2026〕2号），磋商小组进行异常低价响应审查。</w:t>
      </w:r>
    </w:p>
    <w:p w14:paraId="182F2BA5">
      <w:pPr>
        <w:spacing w:line="360" w:lineRule="auto"/>
        <w:ind w:firstLine="241" w:firstLineChars="100"/>
        <w:rPr>
          <w:rFonts w:hint="default"/>
          <w:lang w:val="en-US" w:eastAsia="zh-CN"/>
        </w:rPr>
      </w:pPr>
      <w:r>
        <w:rPr>
          <w:rFonts w:hint="default" w:ascii="宋体" w:hAnsi="宋体" w:eastAsia="宋体" w:cs="Times New Roman"/>
          <w:b/>
          <w:bCs/>
          <w:color w:val="auto"/>
          <w:sz w:val="24"/>
          <w:highlight w:val="none"/>
          <w:lang w:val="en-US" w:eastAsia="zh-CN"/>
        </w:rPr>
        <w:t>14.3.5综合评分</w:t>
      </w:r>
      <w:r>
        <w:rPr>
          <w:rFonts w:hint="default" w:ascii="宋体" w:hAnsi="宋体" w:eastAsia="宋体" w:cs="Times New Roman"/>
          <w:color w:val="auto"/>
          <w:sz w:val="24"/>
          <w:highlight w:val="none"/>
          <w:lang w:val="en-US" w:eastAsia="zh-CN"/>
        </w:rPr>
        <w:t>。磋商小组只对通过初审、异常低价响应审查，实质上响应磋商文件要求的响应文件进行综合评分。经磋商确定最终采购需求和提交最后报价的供应商后，由磋商小组采用综合评分法对提交最后报价的供应商的响应文件和最后报价进行综合评分。</w:t>
      </w:r>
    </w:p>
    <w:p w14:paraId="4E91D15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6BCCDF8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14.4.1为保证磋商活动顺利进行，供应商可派相关技术人员进行现场答疑。</w:t>
      </w:r>
    </w:p>
    <w:p w14:paraId="13E5A03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磋商小组根据与供应商磋商情况可能实质性变动磋商文件的内容，包括采购需求中的技术、服务要求以及合同草案条款。磋商文件有实质性变动的，经采购人代表确认作为磋商文件的有效组成部分，磋商小组将以书面形式通知所有参加磋商的供应商。</w:t>
      </w:r>
    </w:p>
    <w:p w14:paraId="4E98C74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14.4.3无论何种原因，即使供应商磋商时携带了证书材料的原件，但响应文件中未提供与之内容完全一致的扫描件的，磋商小组可以视同其未提供。</w:t>
      </w:r>
    </w:p>
    <w:p w14:paraId="596A342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14.4.4磋商小组决定响应文件的响应性及符合性只根据响应文件本身的内容，而不寻求其他外部证据。</w:t>
      </w:r>
    </w:p>
    <w:p w14:paraId="044DD8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14.5供应商授权代表对磋商过程有疑义，以及认为采购人、采购代理机构相关工作人员有需要回避的情形的，应当场提出询问或者回避申请，并说明理由。</w:t>
      </w:r>
    </w:p>
    <w:p w14:paraId="18A42C3E">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15.终止竞争性磋商</w:t>
      </w:r>
    </w:p>
    <w:p w14:paraId="2563A1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15.1出现下列情况之一时，采购人和采购代理机构有权宣布终止竞争性磋商采购，并将理由通知所有供应商：</w:t>
      </w:r>
    </w:p>
    <w:p w14:paraId="13C845D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（1）有效供应商数量不足，导致本次磋商缺乏竞争的；</w:t>
      </w:r>
    </w:p>
    <w:p w14:paraId="3E2866C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4B1C84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40425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49151F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4A663E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332957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16.2磋商小组要求供应商澄清、说明或者更正响应文件应当以书面形式（询标）作出。供应商的澄清、说明或者更正应当由法定代表人或其授权代表签字或者加盖公章。</w:t>
      </w:r>
    </w:p>
    <w:p w14:paraId="6017B3A6">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如有询标，授权代表（或法定代表人）现场接受询标。因授权代表联系不上、没有莅临现场等情形而无法接受磋商小组询标的，供应商自行承担相关风险。</w:t>
      </w:r>
    </w:p>
    <w:p w14:paraId="128663D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7749541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17.1磋商并不限定只进行二轮报价，如果磋商小组认为有必要，可以要求供应商进行多轮报价。</w:t>
      </w:r>
    </w:p>
    <w:p w14:paraId="0BD30A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17.2在磋商内容不做实质性变更或重大调整的前提下，供应商下轮报价不得高于上一轮报价。</w:t>
      </w:r>
    </w:p>
    <w:p w14:paraId="0C7B361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5427606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23A173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r>
        <w:rPr>
          <w:rFonts w:hint="eastAsia" w:asciiTheme="minorEastAsia" w:hAnsiTheme="minorEastAsia" w:eastAsiaTheme="minorEastAsia"/>
          <w:color w:val="auto"/>
          <w:sz w:val="24"/>
          <w:highlight w:val="none"/>
          <w:lang w:val="en-US" w:eastAsia="zh-CN"/>
        </w:rPr>
        <w:t>以上均相同时，则采取磋商小组随机抽取的方式确定成交候选供应商顺序。</w:t>
      </w:r>
    </w:p>
    <w:p w14:paraId="4745CC0E">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60B4E16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w:t>
      </w:r>
      <w:r>
        <w:rPr>
          <w:rFonts w:hint="eastAsia" w:ascii="宋体" w:hAnsi="宋体" w:eastAsia="宋体"/>
          <w:color w:val="auto"/>
          <w:sz w:val="24"/>
          <w:highlight w:val="none"/>
        </w:rPr>
        <w:t>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7D57EDB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7F97749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765895C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538BAA8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641716B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4C22B6D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38EADF3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22.1为体现“公开、公平、公正”的原则，磋商结束后，采购代理机构将在桐城师范高等专科学校官网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572F95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91BEB69">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12A4CC2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4B0930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73ACA59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050A653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24.告知磋商结果</w:t>
      </w:r>
    </w:p>
    <w:p w14:paraId="60F714D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C81954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67D1BA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2E1A37D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7131E7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56618D7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0C3942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06F2CD6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4C8EEF5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w:t>
      </w:r>
      <w:r>
        <w:rPr>
          <w:rFonts w:hint="eastAsia" w:ascii="宋体" w:hAnsi="宋体" w:cs="Times New Roman"/>
          <w:color w:val="auto"/>
          <w:sz w:val="24"/>
          <w:highlight w:val="none"/>
          <w:lang w:val="en-US" w:eastAsia="zh-CN"/>
        </w:rPr>
        <w:t xml:space="preserve"> </w:t>
      </w:r>
      <w:r>
        <w:rPr>
          <w:rFonts w:hint="eastAsia" w:ascii="宋体" w:hAnsi="宋体" w:eastAsia="宋体" w:cs="Times New Roman"/>
          <w:color w:val="auto"/>
          <w:sz w:val="24"/>
          <w:highlight w:val="none"/>
          <w:lang w:val="en-US" w:eastAsia="zh-CN"/>
        </w:rPr>
        <w:t>采购人与成交供应商应当按照供应商须知前附表规定的时间内完成政府采购合同签订及合同公告。</w:t>
      </w:r>
    </w:p>
    <w:p w14:paraId="7936E8E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w:t>
      </w:r>
      <w:r>
        <w:rPr>
          <w:rFonts w:hint="eastAsia" w:ascii="宋体" w:hAnsi="宋体" w:cs="Times New Roman"/>
          <w:color w:val="auto"/>
          <w:sz w:val="24"/>
          <w:highlight w:val="none"/>
          <w:lang w:val="en-US" w:eastAsia="zh-CN"/>
        </w:rPr>
        <w:t xml:space="preserve"> </w:t>
      </w:r>
      <w:r>
        <w:rPr>
          <w:rFonts w:hint="eastAsia" w:ascii="宋体" w:hAnsi="宋体" w:eastAsia="宋体" w:cs="Times New Roman"/>
          <w:color w:val="auto"/>
          <w:sz w:val="24"/>
          <w:highlight w:val="none"/>
          <w:lang w:val="en-US" w:eastAsia="zh-CN"/>
        </w:rPr>
        <w:t>磋商文件、成交供应商的响应文件及其澄清文件等，均为签订合同的依据。</w:t>
      </w:r>
    </w:p>
    <w:p w14:paraId="1923866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635EE06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617CDD5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11434C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36FB66B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72A81DA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29.1供应商认为磋商文件、采购过程和成交结果使自己的权益受到损害的，可以在知道或者应知其权益受到损害之日起七个工作日内，以书面形式向采购人或其委托的采购代理机构提出质疑。</w:t>
      </w:r>
    </w:p>
    <w:p w14:paraId="0C6DDC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2E8BA13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7913AA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48B6C76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AFC2165">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0CC444E4">
      <w:pPr>
        <w:spacing w:line="360" w:lineRule="auto"/>
        <w:ind w:firstLine="240" w:firstLineChars="100"/>
        <w:rPr>
          <w:rFonts w:hint="default" w:ascii="宋体" w:hAnsi="宋体" w:eastAsia="宋体" w:cs="Times New Roman"/>
          <w:color w:val="auto"/>
          <w:sz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本磋商文件第五章合同格式内容以供参考，具体合同内容以采购人与成交供应商所签订的合同为准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39"/>
    <w:bookmarkEnd w:id="40"/>
    <w:bookmarkEnd w:id="41"/>
    <w:bookmarkEnd w:id="42"/>
    <w:bookmarkEnd w:id="43"/>
    <w:bookmarkEnd w:id="44"/>
    <w:bookmarkEnd w:id="45"/>
    <w:p w14:paraId="1C9EA266">
      <w:pPr>
        <w:pStyle w:val="3"/>
        <w:numPr>
          <w:ilvl w:val="0"/>
          <w:numId w:val="0"/>
        </w:numPr>
        <w:spacing w:before="0" w:beforeAutospacing="0" w:afterLines="0"/>
        <w:jc w:val="center"/>
        <w:rPr>
          <w:rFonts w:hint="eastAsia" w:ascii="Arial" w:hAnsi="Arial"/>
          <w:color w:val="auto"/>
          <w:kern w:val="2"/>
          <w:sz w:val="32"/>
          <w:szCs w:val="32"/>
          <w:highlight w:val="none"/>
          <w:lang w:val="en-US" w:eastAsia="zh-CN"/>
        </w:rPr>
      </w:pPr>
      <w:bookmarkStart w:id="132" w:name="_GoBack"/>
      <w:bookmarkEnd w:id="132"/>
      <w:r>
        <w:rPr>
          <w:rFonts w:hint="eastAsia" w:ascii="Arial" w:hAnsi="Arial"/>
          <w:color w:val="auto"/>
          <w:kern w:val="2"/>
          <w:sz w:val="32"/>
          <w:szCs w:val="32"/>
          <w:highlight w:val="none"/>
          <w:lang w:val="en-US" w:eastAsia="zh-CN"/>
        </w:rPr>
        <w:t>第三章 采购需求</w:t>
      </w:r>
      <w:bookmarkEnd w:id="38"/>
    </w:p>
    <w:p w14:paraId="57F92650">
      <w:pPr>
        <w:pStyle w:val="5"/>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bookmarkStart w:id="48" w:name="_Toc16371"/>
      <w:r>
        <w:rPr>
          <w:rFonts w:hint="eastAsia" w:ascii="宋体" w:hAnsi="宋体" w:eastAsia="宋体" w:cs="宋体"/>
          <w:b/>
          <w:bCs/>
          <w:sz w:val="24"/>
          <w:szCs w:val="24"/>
          <w:lang w:val="en-US" w:eastAsia="zh-CN" w:bidi="ar-SA"/>
        </w:rPr>
        <w:t>一、商务要求</w:t>
      </w:r>
    </w:p>
    <w:tbl>
      <w:tblPr>
        <w:tblStyle w:val="41"/>
        <w:tblW w:w="95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08"/>
        <w:gridCol w:w="6646"/>
      </w:tblGrid>
      <w:tr w14:paraId="5027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08" w:type="dxa"/>
            <w:vAlign w:val="center"/>
          </w:tcPr>
          <w:p w14:paraId="2966F35B">
            <w:pPr>
              <w:pStyle w:val="22"/>
              <w:jc w:val="center"/>
              <w:rPr>
                <w:rFonts w:cs="Wingdings" w:asciiTheme="minorEastAsia" w:hAnsiTheme="minorEastAsia"/>
                <w:b/>
                <w:sz w:val="24"/>
              </w:rPr>
            </w:pPr>
            <w:r>
              <w:rPr>
                <w:rFonts w:hint="eastAsia" w:cs="Wingdings" w:asciiTheme="minorEastAsia" w:hAnsiTheme="minorEastAsia"/>
                <w:b/>
                <w:color w:val="auto"/>
                <w:sz w:val="24"/>
                <w:highlight w:val="none"/>
              </w:rPr>
              <w:t>序号</w:t>
            </w:r>
          </w:p>
        </w:tc>
        <w:tc>
          <w:tcPr>
            <w:tcW w:w="2108" w:type="dxa"/>
            <w:vAlign w:val="center"/>
          </w:tcPr>
          <w:p w14:paraId="78ECC137">
            <w:pPr>
              <w:pStyle w:val="22"/>
              <w:jc w:val="center"/>
            </w:pPr>
            <w:r>
              <w:rPr>
                <w:rFonts w:hint="eastAsia" w:asciiTheme="minorEastAsia" w:hAnsiTheme="minorEastAsia"/>
                <w:b/>
                <w:bCs/>
                <w:color w:val="auto"/>
                <w:sz w:val="24"/>
                <w:szCs w:val="24"/>
                <w:highlight w:val="none"/>
              </w:rPr>
              <w:t>商务条款</w:t>
            </w:r>
          </w:p>
        </w:tc>
        <w:tc>
          <w:tcPr>
            <w:tcW w:w="6646" w:type="dxa"/>
            <w:vAlign w:val="center"/>
          </w:tcPr>
          <w:p w14:paraId="73136536">
            <w:pPr>
              <w:pStyle w:val="22"/>
              <w:jc w:val="center"/>
              <w:rPr>
                <w:rFonts w:cs="Wingdings" w:asciiTheme="minorEastAsia" w:hAnsiTheme="minorEastAsia"/>
                <w:b/>
                <w:sz w:val="24"/>
              </w:rPr>
            </w:pPr>
            <w:r>
              <w:rPr>
                <w:rFonts w:hint="eastAsia" w:cs="Wingdings" w:asciiTheme="minorEastAsia" w:hAnsiTheme="minorEastAsia"/>
                <w:b/>
                <w:color w:val="auto"/>
                <w:sz w:val="24"/>
                <w:highlight w:val="none"/>
                <w:lang w:eastAsia="zh-CN"/>
              </w:rPr>
              <w:t>磋商文件</w:t>
            </w:r>
            <w:r>
              <w:rPr>
                <w:rFonts w:hint="eastAsia" w:cs="Wingdings" w:asciiTheme="minorEastAsia" w:hAnsiTheme="minorEastAsia"/>
                <w:b/>
                <w:color w:val="auto"/>
                <w:sz w:val="24"/>
                <w:highlight w:val="none"/>
              </w:rPr>
              <w:t>要求</w:t>
            </w:r>
          </w:p>
        </w:tc>
      </w:tr>
      <w:tr w14:paraId="7B9D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jc w:val="center"/>
        </w:trPr>
        <w:tc>
          <w:tcPr>
            <w:tcW w:w="808" w:type="dxa"/>
            <w:vAlign w:val="center"/>
          </w:tcPr>
          <w:p w14:paraId="151E8ADE">
            <w:pPr>
              <w:jc w:val="center"/>
              <w:rPr>
                <w:rFonts w:asciiTheme="minorEastAsia" w:hAnsiTheme="minorEastAsia" w:eastAsiaTheme="minorEastAsia"/>
                <w:sz w:val="24"/>
              </w:rPr>
            </w:pPr>
            <w:r>
              <w:rPr>
                <w:rFonts w:asciiTheme="minorEastAsia" w:hAnsiTheme="minorEastAsia" w:eastAsiaTheme="minorEastAsia"/>
                <w:color w:val="auto"/>
                <w:sz w:val="24"/>
                <w:highlight w:val="none"/>
              </w:rPr>
              <w:t>1</w:t>
            </w:r>
          </w:p>
        </w:tc>
        <w:tc>
          <w:tcPr>
            <w:tcW w:w="2108" w:type="dxa"/>
            <w:vAlign w:val="center"/>
          </w:tcPr>
          <w:p w14:paraId="05793A89">
            <w:pPr>
              <w:jc w:val="center"/>
              <w:rPr>
                <w:rFonts w:ascii="宋体" w:hAnsi="宋体"/>
                <w:sz w:val="24"/>
              </w:rPr>
            </w:pPr>
            <w:r>
              <w:rPr>
                <w:rFonts w:asciiTheme="minorEastAsia" w:hAnsiTheme="minorEastAsia" w:eastAsiaTheme="minorEastAsia"/>
                <w:color w:val="auto"/>
                <w:sz w:val="24"/>
                <w:highlight w:val="none"/>
              </w:rPr>
              <w:t>付款方式</w:t>
            </w:r>
          </w:p>
        </w:tc>
        <w:tc>
          <w:tcPr>
            <w:tcW w:w="6646" w:type="dxa"/>
            <w:vAlign w:val="center"/>
          </w:tcPr>
          <w:p w14:paraId="4BD2A12B">
            <w:pPr>
              <w:pStyle w:val="49"/>
              <w:rPr>
                <w:rFonts w:hint="default"/>
                <w:lang w:val="en-US" w:eastAsia="zh-CN"/>
              </w:rPr>
            </w:pPr>
            <w:r>
              <w:rPr>
                <w:rFonts w:hint="eastAsia" w:asciiTheme="minorEastAsia" w:hAnsiTheme="minorEastAsia" w:eastAsiaTheme="minorEastAsia"/>
                <w:sz w:val="24"/>
                <w:lang w:val="en-US" w:eastAsia="zh-CN"/>
              </w:rPr>
              <w:t xml:space="preserve"> 完成本项目当年度所有服务内容并验收合格后一次性支付</w:t>
            </w:r>
          </w:p>
        </w:tc>
      </w:tr>
      <w:tr w14:paraId="6A60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808" w:type="dxa"/>
            <w:vAlign w:val="center"/>
          </w:tcPr>
          <w:p w14:paraId="35B4FD05">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2</w:t>
            </w:r>
          </w:p>
        </w:tc>
        <w:tc>
          <w:tcPr>
            <w:tcW w:w="2108" w:type="dxa"/>
            <w:vAlign w:val="center"/>
          </w:tcPr>
          <w:p w14:paraId="3927B841">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地点</w:t>
            </w:r>
          </w:p>
        </w:tc>
        <w:tc>
          <w:tcPr>
            <w:tcW w:w="6646" w:type="dxa"/>
            <w:vAlign w:val="center"/>
          </w:tcPr>
          <w:p w14:paraId="66C75729">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桐城师范高等专科学校内</w:t>
            </w:r>
          </w:p>
        </w:tc>
      </w:tr>
      <w:tr w14:paraId="49AA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319512A6">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3</w:t>
            </w:r>
          </w:p>
        </w:tc>
        <w:tc>
          <w:tcPr>
            <w:tcW w:w="2108" w:type="dxa"/>
            <w:vAlign w:val="center"/>
          </w:tcPr>
          <w:p w14:paraId="39223CE6">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期限</w:t>
            </w:r>
          </w:p>
        </w:tc>
        <w:tc>
          <w:tcPr>
            <w:tcW w:w="6646" w:type="dxa"/>
            <w:vAlign w:val="center"/>
          </w:tcPr>
          <w:p w14:paraId="1D4D2E9F">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2年</w:t>
            </w:r>
          </w:p>
        </w:tc>
      </w:tr>
    </w:tbl>
    <w:p w14:paraId="5EE72C6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olor w:val="auto"/>
          <w:sz w:val="24"/>
          <w:szCs w:val="24"/>
          <w:highlight w:val="none"/>
          <w:lang w:eastAsia="zh-CN"/>
        </w:rPr>
      </w:pPr>
    </w:p>
    <w:p w14:paraId="5CD3C8E3">
      <w:pPr>
        <w:pStyle w:val="5"/>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二、服务内容：</w:t>
      </w:r>
    </w:p>
    <w:p w14:paraId="3E88AB46">
      <w:pPr>
        <w:pStyle w:val="13"/>
        <w:autoSpaceDE/>
        <w:autoSpaceDN/>
        <w:jc w:val="left"/>
        <w:rPr>
          <w:rFonts w:hint="eastAsia" w:asciiTheme="minorEastAsia" w:hAnsiTheme="minorEastAsia" w:eastAsiaTheme="minorEastAsia" w:cstheme="minorEastAsia"/>
          <w:b w:val="0"/>
          <w:bCs/>
          <w:color w:val="auto"/>
          <w:kern w:val="0"/>
          <w:sz w:val="24"/>
          <w:szCs w:val="24"/>
          <w:highlight w:val="none"/>
          <w:lang w:val="en-US" w:eastAsia="zh-CN" w:bidi="ar-SA"/>
        </w:rPr>
      </w:pPr>
      <w:r>
        <w:rPr>
          <w:rFonts w:hint="eastAsia" w:asciiTheme="minorEastAsia" w:hAnsiTheme="minorEastAsia" w:eastAsiaTheme="minorEastAsia" w:cstheme="minorEastAsia"/>
          <w:b w:val="0"/>
          <w:bCs/>
          <w:color w:val="auto"/>
          <w:kern w:val="0"/>
          <w:sz w:val="24"/>
          <w:szCs w:val="24"/>
          <w:highlight w:val="none"/>
          <w:lang w:val="en-US" w:eastAsia="zh-CN" w:bidi="ar-SA"/>
        </w:rPr>
        <w:t>确保本校新校区校门口及学生宿舍信息化安全出入管理设备正常的工作及运转顺利进行，维保设备及系统清单如下：</w:t>
      </w:r>
    </w:p>
    <w:p w14:paraId="6CECD0A2">
      <w:pPr>
        <w:pStyle w:val="13"/>
        <w:autoSpaceDE/>
        <w:autoSpaceDN/>
        <w:ind w:firstLine="480" w:firstLineChars="200"/>
        <w:jc w:val="left"/>
        <w:rPr>
          <w:rFonts w:hint="eastAsia" w:asciiTheme="minorEastAsia" w:hAnsiTheme="minorEastAsia" w:eastAsiaTheme="minorEastAsia" w:cstheme="minorEastAsia"/>
          <w:b w:val="0"/>
          <w:bCs/>
          <w:color w:val="auto"/>
          <w:kern w:val="0"/>
          <w:sz w:val="24"/>
          <w:szCs w:val="24"/>
          <w:highlight w:val="none"/>
          <w:lang w:val="en-US" w:eastAsia="zh-CN" w:bidi="ar-SA"/>
        </w:rPr>
      </w:pPr>
      <w:r>
        <w:rPr>
          <w:rFonts w:hint="eastAsia" w:asciiTheme="minorEastAsia" w:hAnsiTheme="minorEastAsia" w:eastAsiaTheme="minorEastAsia" w:cstheme="minorEastAsia"/>
          <w:b w:val="0"/>
          <w:bCs/>
          <w:color w:val="auto"/>
          <w:kern w:val="0"/>
          <w:sz w:val="24"/>
          <w:szCs w:val="24"/>
          <w:highlight w:val="none"/>
          <w:lang w:val="en-US" w:eastAsia="zh-CN" w:bidi="ar-SA"/>
        </w:rPr>
        <w:t>1、校门口通行设备及系统维保</w:t>
      </w:r>
    </w:p>
    <w:tbl>
      <w:tblPr>
        <w:tblStyle w:val="41"/>
        <w:tblW w:w="5654" w:type="pct"/>
        <w:jc w:val="center"/>
        <w:tblLayout w:type="autofit"/>
        <w:tblCellMar>
          <w:top w:w="0" w:type="dxa"/>
          <w:left w:w="108" w:type="dxa"/>
          <w:bottom w:w="0" w:type="dxa"/>
          <w:right w:w="108" w:type="dxa"/>
        </w:tblCellMar>
      </w:tblPr>
      <w:tblGrid>
        <w:gridCol w:w="854"/>
        <w:gridCol w:w="3044"/>
        <w:gridCol w:w="3387"/>
        <w:gridCol w:w="1176"/>
        <w:gridCol w:w="1176"/>
      </w:tblGrid>
      <w:tr w14:paraId="300E9729">
        <w:tblPrEx>
          <w:tblCellMar>
            <w:top w:w="0" w:type="dxa"/>
            <w:left w:w="108" w:type="dxa"/>
            <w:bottom w:w="0" w:type="dxa"/>
            <w:right w:w="108" w:type="dxa"/>
          </w:tblCellMar>
        </w:tblPrEx>
        <w:trPr>
          <w:trHeight w:val="310" w:hRule="atLeast"/>
          <w:jc w:val="center"/>
        </w:trPr>
        <w:tc>
          <w:tcPr>
            <w:tcW w:w="443" w:type="pct"/>
            <w:tcBorders>
              <w:top w:val="single" w:color="auto" w:sz="4" w:space="0"/>
              <w:left w:val="single" w:color="auto" w:sz="4" w:space="0"/>
              <w:bottom w:val="single" w:color="auto" w:sz="4" w:space="0"/>
              <w:right w:val="single" w:color="auto" w:sz="4" w:space="0"/>
            </w:tcBorders>
            <w:noWrap w:val="0"/>
            <w:vAlign w:val="center"/>
          </w:tcPr>
          <w:p w14:paraId="7DF362B9">
            <w:pPr>
              <w:pStyle w:val="13"/>
              <w:ind w:left="0" w:leftChars="0" w:firstLine="0" w:firstLineChars="0"/>
              <w:jc w:val="center"/>
              <w:rPr>
                <w:rFonts w:hint="eastAsia"/>
                <w:b/>
                <w:bCs/>
                <w:sz w:val="24"/>
                <w:szCs w:val="32"/>
              </w:rPr>
            </w:pPr>
            <w:r>
              <w:rPr>
                <w:rFonts w:hint="eastAsia"/>
                <w:b/>
                <w:bCs/>
                <w:sz w:val="24"/>
                <w:szCs w:val="32"/>
              </w:rPr>
              <w:t>序号</w:t>
            </w:r>
          </w:p>
        </w:tc>
        <w:tc>
          <w:tcPr>
            <w:tcW w:w="1579" w:type="pct"/>
            <w:tcBorders>
              <w:top w:val="single" w:color="auto" w:sz="4" w:space="0"/>
              <w:left w:val="nil"/>
              <w:bottom w:val="single" w:color="auto" w:sz="4" w:space="0"/>
              <w:right w:val="single" w:color="auto" w:sz="4" w:space="0"/>
            </w:tcBorders>
            <w:noWrap w:val="0"/>
            <w:vAlign w:val="center"/>
          </w:tcPr>
          <w:p w14:paraId="03D31F77">
            <w:pPr>
              <w:pStyle w:val="13"/>
              <w:jc w:val="center"/>
              <w:rPr>
                <w:rFonts w:hint="eastAsia"/>
                <w:b/>
                <w:bCs/>
                <w:sz w:val="24"/>
                <w:szCs w:val="32"/>
              </w:rPr>
            </w:pPr>
            <w:r>
              <w:rPr>
                <w:rFonts w:hint="eastAsia"/>
                <w:b/>
                <w:bCs/>
                <w:sz w:val="24"/>
                <w:szCs w:val="32"/>
              </w:rPr>
              <w:t>货物名称</w:t>
            </w:r>
          </w:p>
        </w:tc>
        <w:tc>
          <w:tcPr>
            <w:tcW w:w="1757" w:type="pct"/>
            <w:tcBorders>
              <w:top w:val="single" w:color="auto" w:sz="4" w:space="0"/>
              <w:left w:val="nil"/>
              <w:bottom w:val="single" w:color="auto" w:sz="4" w:space="0"/>
              <w:right w:val="single" w:color="auto" w:sz="4" w:space="0"/>
            </w:tcBorders>
            <w:noWrap w:val="0"/>
            <w:vAlign w:val="center"/>
          </w:tcPr>
          <w:p w14:paraId="1B540359">
            <w:pPr>
              <w:pStyle w:val="13"/>
              <w:jc w:val="center"/>
              <w:rPr>
                <w:rFonts w:hint="eastAsia"/>
                <w:b/>
                <w:bCs/>
                <w:sz w:val="24"/>
                <w:szCs w:val="32"/>
              </w:rPr>
            </w:pPr>
            <w:r>
              <w:rPr>
                <w:rFonts w:hint="eastAsia"/>
                <w:b/>
                <w:bCs/>
                <w:sz w:val="24"/>
                <w:szCs w:val="32"/>
              </w:rPr>
              <w:t>品牌型号</w:t>
            </w:r>
          </w:p>
        </w:tc>
        <w:tc>
          <w:tcPr>
            <w:tcW w:w="610" w:type="pct"/>
            <w:tcBorders>
              <w:top w:val="single" w:color="auto" w:sz="4" w:space="0"/>
              <w:left w:val="nil"/>
              <w:bottom w:val="single" w:color="auto" w:sz="4" w:space="0"/>
              <w:right w:val="single" w:color="auto" w:sz="4" w:space="0"/>
            </w:tcBorders>
            <w:noWrap w:val="0"/>
            <w:vAlign w:val="center"/>
          </w:tcPr>
          <w:p w14:paraId="2485C5E8">
            <w:pPr>
              <w:pStyle w:val="13"/>
              <w:ind w:left="0" w:leftChars="0" w:firstLine="0" w:firstLineChars="0"/>
              <w:jc w:val="center"/>
              <w:rPr>
                <w:rFonts w:hint="eastAsia"/>
                <w:b/>
                <w:bCs/>
                <w:sz w:val="24"/>
                <w:szCs w:val="32"/>
              </w:rPr>
            </w:pPr>
            <w:r>
              <w:rPr>
                <w:rFonts w:hint="eastAsia"/>
                <w:b/>
                <w:bCs/>
                <w:sz w:val="24"/>
                <w:szCs w:val="32"/>
              </w:rPr>
              <w:t>单位</w:t>
            </w:r>
          </w:p>
        </w:tc>
        <w:tc>
          <w:tcPr>
            <w:tcW w:w="610" w:type="pct"/>
            <w:tcBorders>
              <w:top w:val="single" w:color="auto" w:sz="4" w:space="0"/>
              <w:left w:val="nil"/>
              <w:bottom w:val="single" w:color="auto" w:sz="4" w:space="0"/>
              <w:right w:val="single" w:color="auto" w:sz="4" w:space="0"/>
            </w:tcBorders>
            <w:noWrap w:val="0"/>
            <w:vAlign w:val="center"/>
          </w:tcPr>
          <w:p w14:paraId="02C38523">
            <w:pPr>
              <w:pStyle w:val="13"/>
              <w:ind w:left="0" w:leftChars="0" w:firstLine="0" w:firstLineChars="0"/>
              <w:jc w:val="center"/>
              <w:rPr>
                <w:rFonts w:hint="eastAsia"/>
                <w:b/>
                <w:bCs/>
                <w:sz w:val="24"/>
                <w:szCs w:val="32"/>
              </w:rPr>
            </w:pPr>
            <w:r>
              <w:rPr>
                <w:rFonts w:hint="eastAsia"/>
                <w:b/>
                <w:bCs/>
                <w:sz w:val="24"/>
                <w:szCs w:val="32"/>
              </w:rPr>
              <w:t>数量</w:t>
            </w:r>
          </w:p>
        </w:tc>
      </w:tr>
      <w:tr w14:paraId="4D972DE7">
        <w:tblPrEx>
          <w:tblCellMar>
            <w:top w:w="0" w:type="dxa"/>
            <w:left w:w="108" w:type="dxa"/>
            <w:bottom w:w="0" w:type="dxa"/>
            <w:right w:w="108" w:type="dxa"/>
          </w:tblCellMar>
        </w:tblPrEx>
        <w:trPr>
          <w:trHeight w:val="310" w:hRule="atLeast"/>
          <w:jc w:val="center"/>
        </w:trPr>
        <w:tc>
          <w:tcPr>
            <w:tcW w:w="443" w:type="pct"/>
            <w:tcBorders>
              <w:top w:val="nil"/>
              <w:left w:val="single" w:color="auto" w:sz="4" w:space="0"/>
              <w:bottom w:val="single" w:color="auto" w:sz="4" w:space="0"/>
              <w:right w:val="single" w:color="auto" w:sz="4" w:space="0"/>
            </w:tcBorders>
            <w:noWrap w:val="0"/>
            <w:vAlign w:val="center"/>
          </w:tcPr>
          <w:p w14:paraId="0CABD0C0">
            <w:pPr>
              <w:pStyle w:val="13"/>
              <w:ind w:left="0" w:leftChars="0" w:firstLine="0" w:firstLineChars="0"/>
              <w:jc w:val="center"/>
              <w:rPr>
                <w:rFonts w:hint="eastAsia"/>
                <w:sz w:val="24"/>
                <w:szCs w:val="32"/>
              </w:rPr>
            </w:pPr>
            <w:r>
              <w:rPr>
                <w:rFonts w:hint="eastAsia"/>
                <w:sz w:val="24"/>
                <w:szCs w:val="32"/>
              </w:rPr>
              <w:t>1</w:t>
            </w:r>
          </w:p>
        </w:tc>
        <w:tc>
          <w:tcPr>
            <w:tcW w:w="1579" w:type="pct"/>
            <w:tcBorders>
              <w:top w:val="single" w:color="auto" w:sz="4" w:space="0"/>
              <w:left w:val="single" w:color="auto" w:sz="4" w:space="0"/>
              <w:bottom w:val="single" w:color="auto" w:sz="4" w:space="0"/>
              <w:right w:val="single" w:color="auto" w:sz="4" w:space="0"/>
            </w:tcBorders>
            <w:noWrap w:val="0"/>
            <w:vAlign w:val="center"/>
          </w:tcPr>
          <w:p w14:paraId="2B05158A">
            <w:pPr>
              <w:pStyle w:val="13"/>
              <w:jc w:val="center"/>
              <w:rPr>
                <w:rFonts w:hint="eastAsia"/>
                <w:sz w:val="24"/>
                <w:szCs w:val="32"/>
              </w:rPr>
            </w:pPr>
            <w:r>
              <w:rPr>
                <w:rFonts w:hint="eastAsia"/>
                <w:sz w:val="24"/>
                <w:szCs w:val="32"/>
              </w:rPr>
              <w:t>人脸识别摆闸</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1E8D8D85">
            <w:pPr>
              <w:pStyle w:val="13"/>
              <w:jc w:val="center"/>
              <w:rPr>
                <w:rFonts w:hint="eastAsia"/>
                <w:sz w:val="24"/>
                <w:szCs w:val="32"/>
              </w:rPr>
            </w:pPr>
            <w:r>
              <w:rPr>
                <w:rFonts w:hint="eastAsia"/>
                <w:sz w:val="24"/>
                <w:szCs w:val="32"/>
              </w:rPr>
              <w:t>华颐HY-BZ001</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4A728834">
            <w:pPr>
              <w:pStyle w:val="13"/>
              <w:ind w:left="0" w:leftChars="0" w:firstLine="0" w:firstLineChars="0"/>
              <w:jc w:val="center"/>
              <w:rPr>
                <w:rFonts w:hint="eastAsia"/>
                <w:sz w:val="24"/>
                <w:szCs w:val="32"/>
              </w:rPr>
            </w:pPr>
            <w:r>
              <w:rPr>
                <w:rFonts w:hint="eastAsia"/>
                <w:sz w:val="24"/>
                <w:szCs w:val="32"/>
              </w:rPr>
              <w:t>台</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277D1D7E">
            <w:pPr>
              <w:pStyle w:val="13"/>
              <w:ind w:left="0" w:leftChars="0" w:firstLine="0" w:firstLineChars="0"/>
              <w:jc w:val="center"/>
              <w:rPr>
                <w:rFonts w:hint="eastAsia"/>
                <w:sz w:val="24"/>
                <w:szCs w:val="32"/>
              </w:rPr>
            </w:pPr>
            <w:r>
              <w:rPr>
                <w:rFonts w:hint="eastAsia"/>
                <w:sz w:val="24"/>
                <w:szCs w:val="32"/>
              </w:rPr>
              <w:t>11</w:t>
            </w:r>
          </w:p>
        </w:tc>
      </w:tr>
      <w:tr w14:paraId="77963DB6">
        <w:tblPrEx>
          <w:tblCellMar>
            <w:top w:w="0" w:type="dxa"/>
            <w:left w:w="108" w:type="dxa"/>
            <w:bottom w:w="0" w:type="dxa"/>
            <w:right w:w="108" w:type="dxa"/>
          </w:tblCellMar>
        </w:tblPrEx>
        <w:trPr>
          <w:trHeight w:val="310" w:hRule="atLeast"/>
          <w:jc w:val="center"/>
        </w:trPr>
        <w:tc>
          <w:tcPr>
            <w:tcW w:w="443" w:type="pct"/>
            <w:tcBorders>
              <w:top w:val="nil"/>
              <w:left w:val="single" w:color="auto" w:sz="4" w:space="0"/>
              <w:bottom w:val="single" w:color="auto" w:sz="4" w:space="0"/>
              <w:right w:val="single" w:color="auto" w:sz="4" w:space="0"/>
            </w:tcBorders>
            <w:noWrap w:val="0"/>
            <w:vAlign w:val="center"/>
          </w:tcPr>
          <w:p w14:paraId="456A533D">
            <w:pPr>
              <w:pStyle w:val="13"/>
              <w:ind w:left="0" w:leftChars="0" w:firstLine="0" w:firstLineChars="0"/>
              <w:jc w:val="center"/>
              <w:rPr>
                <w:rFonts w:hint="eastAsia"/>
                <w:sz w:val="24"/>
                <w:szCs w:val="32"/>
              </w:rPr>
            </w:pPr>
            <w:r>
              <w:rPr>
                <w:rFonts w:hint="eastAsia"/>
                <w:sz w:val="24"/>
                <w:szCs w:val="32"/>
              </w:rPr>
              <w:t>2</w:t>
            </w:r>
          </w:p>
        </w:tc>
        <w:tc>
          <w:tcPr>
            <w:tcW w:w="1579" w:type="pct"/>
            <w:tcBorders>
              <w:top w:val="single" w:color="auto" w:sz="4" w:space="0"/>
              <w:left w:val="single" w:color="auto" w:sz="4" w:space="0"/>
              <w:bottom w:val="single" w:color="auto" w:sz="4" w:space="0"/>
              <w:right w:val="single" w:color="auto" w:sz="4" w:space="0"/>
            </w:tcBorders>
            <w:noWrap w:val="0"/>
            <w:vAlign w:val="center"/>
          </w:tcPr>
          <w:p w14:paraId="762CDEC7">
            <w:pPr>
              <w:pStyle w:val="13"/>
              <w:jc w:val="center"/>
              <w:rPr>
                <w:rFonts w:hint="eastAsia"/>
                <w:sz w:val="24"/>
                <w:szCs w:val="32"/>
              </w:rPr>
            </w:pPr>
            <w:r>
              <w:rPr>
                <w:rFonts w:hint="eastAsia"/>
                <w:sz w:val="24"/>
                <w:szCs w:val="32"/>
              </w:rPr>
              <w:t>人脸识别一体机</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020A2DB7">
            <w:pPr>
              <w:pStyle w:val="13"/>
              <w:jc w:val="center"/>
              <w:rPr>
                <w:rFonts w:hint="eastAsia"/>
                <w:sz w:val="24"/>
                <w:szCs w:val="32"/>
              </w:rPr>
            </w:pPr>
            <w:r>
              <w:rPr>
                <w:rFonts w:hint="eastAsia"/>
                <w:sz w:val="24"/>
                <w:szCs w:val="32"/>
              </w:rPr>
              <w:t>旷视MegID-W2K-E</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487C4979">
            <w:pPr>
              <w:pStyle w:val="13"/>
              <w:ind w:left="0" w:leftChars="0" w:firstLine="0" w:firstLineChars="0"/>
              <w:jc w:val="center"/>
              <w:rPr>
                <w:rFonts w:hint="eastAsia"/>
                <w:sz w:val="24"/>
                <w:szCs w:val="32"/>
              </w:rPr>
            </w:pPr>
            <w:r>
              <w:rPr>
                <w:rFonts w:hint="eastAsia"/>
                <w:sz w:val="24"/>
                <w:szCs w:val="32"/>
              </w:rPr>
              <w:t>台</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5C9FF68D">
            <w:pPr>
              <w:pStyle w:val="13"/>
              <w:ind w:left="0" w:leftChars="0" w:firstLine="0" w:firstLineChars="0"/>
              <w:jc w:val="center"/>
              <w:rPr>
                <w:rFonts w:hint="eastAsia"/>
                <w:sz w:val="24"/>
                <w:szCs w:val="32"/>
              </w:rPr>
            </w:pPr>
            <w:r>
              <w:rPr>
                <w:rFonts w:hint="eastAsia"/>
                <w:sz w:val="24"/>
                <w:szCs w:val="32"/>
              </w:rPr>
              <w:t>4</w:t>
            </w:r>
          </w:p>
        </w:tc>
      </w:tr>
      <w:tr w14:paraId="42EA81CE">
        <w:tblPrEx>
          <w:tblCellMar>
            <w:top w:w="0" w:type="dxa"/>
            <w:left w:w="108" w:type="dxa"/>
            <w:bottom w:w="0" w:type="dxa"/>
            <w:right w:w="108" w:type="dxa"/>
          </w:tblCellMar>
        </w:tblPrEx>
        <w:trPr>
          <w:trHeight w:val="310" w:hRule="atLeast"/>
          <w:jc w:val="center"/>
        </w:trPr>
        <w:tc>
          <w:tcPr>
            <w:tcW w:w="443" w:type="pct"/>
            <w:tcBorders>
              <w:top w:val="nil"/>
              <w:left w:val="single" w:color="auto" w:sz="4" w:space="0"/>
              <w:bottom w:val="single" w:color="auto" w:sz="4" w:space="0"/>
              <w:right w:val="single" w:color="auto" w:sz="4" w:space="0"/>
            </w:tcBorders>
            <w:noWrap w:val="0"/>
            <w:vAlign w:val="center"/>
          </w:tcPr>
          <w:p w14:paraId="3871432E">
            <w:pPr>
              <w:pStyle w:val="13"/>
              <w:ind w:left="0" w:leftChars="0" w:firstLine="0" w:firstLineChars="0"/>
              <w:jc w:val="center"/>
              <w:rPr>
                <w:rFonts w:hint="eastAsia"/>
                <w:sz w:val="24"/>
                <w:szCs w:val="32"/>
              </w:rPr>
            </w:pPr>
            <w:r>
              <w:rPr>
                <w:rFonts w:hint="eastAsia"/>
                <w:sz w:val="24"/>
                <w:szCs w:val="32"/>
              </w:rPr>
              <w:t>3</w:t>
            </w:r>
          </w:p>
        </w:tc>
        <w:tc>
          <w:tcPr>
            <w:tcW w:w="1579" w:type="pct"/>
            <w:tcBorders>
              <w:top w:val="single" w:color="auto" w:sz="4" w:space="0"/>
              <w:left w:val="single" w:color="auto" w:sz="4" w:space="0"/>
              <w:bottom w:val="single" w:color="auto" w:sz="4" w:space="0"/>
              <w:right w:val="single" w:color="auto" w:sz="4" w:space="0"/>
            </w:tcBorders>
            <w:noWrap w:val="0"/>
            <w:vAlign w:val="center"/>
          </w:tcPr>
          <w:p w14:paraId="0E2BC01F">
            <w:pPr>
              <w:pStyle w:val="13"/>
              <w:jc w:val="center"/>
              <w:rPr>
                <w:rFonts w:hint="eastAsia"/>
                <w:sz w:val="24"/>
                <w:szCs w:val="32"/>
              </w:rPr>
            </w:pPr>
            <w:r>
              <w:rPr>
                <w:rFonts w:hint="eastAsia"/>
                <w:sz w:val="24"/>
                <w:szCs w:val="32"/>
              </w:rPr>
              <w:t>人脸识别终端</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47C065A3">
            <w:pPr>
              <w:pStyle w:val="13"/>
              <w:jc w:val="center"/>
              <w:rPr>
                <w:rFonts w:hint="eastAsia"/>
                <w:sz w:val="24"/>
                <w:szCs w:val="32"/>
              </w:rPr>
            </w:pPr>
            <w:r>
              <w:rPr>
                <w:rFonts w:hint="eastAsia"/>
                <w:sz w:val="24"/>
                <w:szCs w:val="32"/>
              </w:rPr>
              <w:t>旷视MegEye-W4K-E7</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7880EBE1">
            <w:pPr>
              <w:pStyle w:val="13"/>
              <w:ind w:left="0" w:leftChars="0" w:firstLine="0" w:firstLineChars="0"/>
              <w:jc w:val="center"/>
              <w:rPr>
                <w:rFonts w:hint="eastAsia"/>
                <w:sz w:val="24"/>
                <w:szCs w:val="32"/>
              </w:rPr>
            </w:pPr>
            <w:r>
              <w:rPr>
                <w:rFonts w:hint="eastAsia"/>
                <w:sz w:val="24"/>
                <w:szCs w:val="32"/>
              </w:rPr>
              <w:t>台</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716E0802">
            <w:pPr>
              <w:pStyle w:val="13"/>
              <w:ind w:left="0" w:leftChars="0" w:firstLine="0" w:firstLineChars="0"/>
              <w:jc w:val="center"/>
              <w:rPr>
                <w:rFonts w:hint="eastAsia"/>
                <w:sz w:val="24"/>
                <w:szCs w:val="32"/>
              </w:rPr>
            </w:pPr>
            <w:r>
              <w:rPr>
                <w:rFonts w:hint="eastAsia"/>
                <w:sz w:val="24"/>
                <w:szCs w:val="32"/>
              </w:rPr>
              <w:t>4</w:t>
            </w:r>
          </w:p>
        </w:tc>
      </w:tr>
      <w:tr w14:paraId="5F58A473">
        <w:tblPrEx>
          <w:tblCellMar>
            <w:top w:w="0" w:type="dxa"/>
            <w:left w:w="108" w:type="dxa"/>
            <w:bottom w:w="0" w:type="dxa"/>
            <w:right w:w="108" w:type="dxa"/>
          </w:tblCellMar>
        </w:tblPrEx>
        <w:trPr>
          <w:trHeight w:val="310" w:hRule="atLeast"/>
          <w:jc w:val="center"/>
        </w:trPr>
        <w:tc>
          <w:tcPr>
            <w:tcW w:w="443" w:type="pct"/>
            <w:tcBorders>
              <w:top w:val="nil"/>
              <w:left w:val="single" w:color="auto" w:sz="4" w:space="0"/>
              <w:bottom w:val="single" w:color="auto" w:sz="4" w:space="0"/>
              <w:right w:val="single" w:color="auto" w:sz="4" w:space="0"/>
            </w:tcBorders>
            <w:noWrap w:val="0"/>
            <w:vAlign w:val="center"/>
          </w:tcPr>
          <w:p w14:paraId="1A5D6DFC">
            <w:pPr>
              <w:pStyle w:val="13"/>
              <w:ind w:left="0" w:leftChars="0" w:firstLine="0" w:firstLineChars="0"/>
              <w:jc w:val="center"/>
              <w:rPr>
                <w:rFonts w:hint="eastAsia"/>
                <w:sz w:val="24"/>
                <w:szCs w:val="32"/>
              </w:rPr>
            </w:pPr>
            <w:r>
              <w:rPr>
                <w:rFonts w:hint="eastAsia"/>
                <w:sz w:val="24"/>
                <w:szCs w:val="32"/>
              </w:rPr>
              <w:t>4</w:t>
            </w:r>
          </w:p>
        </w:tc>
        <w:tc>
          <w:tcPr>
            <w:tcW w:w="1579" w:type="pct"/>
            <w:tcBorders>
              <w:top w:val="single" w:color="auto" w:sz="4" w:space="0"/>
              <w:left w:val="single" w:color="auto" w:sz="4" w:space="0"/>
              <w:bottom w:val="single" w:color="auto" w:sz="4" w:space="0"/>
              <w:right w:val="single" w:color="auto" w:sz="4" w:space="0"/>
            </w:tcBorders>
            <w:noWrap w:val="0"/>
            <w:vAlign w:val="center"/>
          </w:tcPr>
          <w:p w14:paraId="0979F573">
            <w:pPr>
              <w:pStyle w:val="13"/>
              <w:jc w:val="center"/>
              <w:rPr>
                <w:rFonts w:hint="eastAsia"/>
                <w:sz w:val="24"/>
                <w:szCs w:val="32"/>
              </w:rPr>
            </w:pPr>
            <w:r>
              <w:rPr>
                <w:rFonts w:hint="eastAsia"/>
                <w:sz w:val="24"/>
                <w:szCs w:val="32"/>
              </w:rPr>
              <w:t>出入管理系统</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03E515D3">
            <w:pPr>
              <w:pStyle w:val="13"/>
              <w:jc w:val="center"/>
              <w:rPr>
                <w:rFonts w:hint="eastAsia"/>
                <w:sz w:val="24"/>
                <w:szCs w:val="32"/>
              </w:rPr>
            </w:pPr>
            <w:r>
              <w:rPr>
                <w:rFonts w:hint="eastAsia"/>
                <w:sz w:val="24"/>
                <w:szCs w:val="32"/>
              </w:rPr>
              <w:t>华颐V1.0</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05076F20">
            <w:pPr>
              <w:pStyle w:val="13"/>
              <w:ind w:left="0" w:leftChars="0" w:firstLine="0" w:firstLineChars="0"/>
              <w:jc w:val="center"/>
              <w:rPr>
                <w:rFonts w:hint="eastAsia"/>
                <w:sz w:val="24"/>
                <w:szCs w:val="32"/>
              </w:rPr>
            </w:pPr>
            <w:r>
              <w:rPr>
                <w:rFonts w:hint="eastAsia"/>
                <w:sz w:val="24"/>
                <w:szCs w:val="32"/>
              </w:rPr>
              <w:t>套</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1FCA360C">
            <w:pPr>
              <w:pStyle w:val="13"/>
              <w:ind w:left="0" w:leftChars="0" w:firstLine="0" w:firstLineChars="0"/>
              <w:jc w:val="center"/>
              <w:rPr>
                <w:rFonts w:hint="eastAsia"/>
                <w:sz w:val="24"/>
                <w:szCs w:val="32"/>
              </w:rPr>
            </w:pPr>
            <w:r>
              <w:rPr>
                <w:rFonts w:hint="eastAsia"/>
                <w:sz w:val="24"/>
                <w:szCs w:val="32"/>
              </w:rPr>
              <w:t>1</w:t>
            </w:r>
          </w:p>
        </w:tc>
      </w:tr>
      <w:tr w14:paraId="64286F2B">
        <w:tblPrEx>
          <w:tblCellMar>
            <w:top w:w="0" w:type="dxa"/>
            <w:left w:w="108" w:type="dxa"/>
            <w:bottom w:w="0" w:type="dxa"/>
            <w:right w:w="108" w:type="dxa"/>
          </w:tblCellMar>
        </w:tblPrEx>
        <w:trPr>
          <w:trHeight w:val="310" w:hRule="atLeast"/>
          <w:jc w:val="center"/>
        </w:trPr>
        <w:tc>
          <w:tcPr>
            <w:tcW w:w="443" w:type="pct"/>
            <w:tcBorders>
              <w:top w:val="single" w:color="auto" w:sz="4" w:space="0"/>
              <w:left w:val="single" w:color="auto" w:sz="4" w:space="0"/>
              <w:bottom w:val="single" w:color="auto" w:sz="4" w:space="0"/>
              <w:right w:val="single" w:color="auto" w:sz="4" w:space="0"/>
            </w:tcBorders>
            <w:noWrap w:val="0"/>
            <w:vAlign w:val="center"/>
          </w:tcPr>
          <w:p w14:paraId="1FC7EBA0">
            <w:pPr>
              <w:pStyle w:val="13"/>
              <w:ind w:left="0" w:leftChars="0" w:firstLine="0" w:firstLineChars="0"/>
              <w:jc w:val="center"/>
              <w:rPr>
                <w:rFonts w:hint="eastAsia"/>
                <w:sz w:val="24"/>
                <w:szCs w:val="32"/>
              </w:rPr>
            </w:pPr>
            <w:r>
              <w:rPr>
                <w:rFonts w:hint="eastAsia"/>
                <w:sz w:val="24"/>
                <w:szCs w:val="32"/>
              </w:rPr>
              <w:t>5</w:t>
            </w:r>
          </w:p>
        </w:tc>
        <w:tc>
          <w:tcPr>
            <w:tcW w:w="1579" w:type="pct"/>
            <w:tcBorders>
              <w:top w:val="single" w:color="auto" w:sz="4" w:space="0"/>
              <w:left w:val="single" w:color="auto" w:sz="4" w:space="0"/>
              <w:bottom w:val="single" w:color="auto" w:sz="4" w:space="0"/>
              <w:right w:val="single" w:color="auto" w:sz="4" w:space="0"/>
            </w:tcBorders>
            <w:noWrap w:val="0"/>
            <w:vAlign w:val="center"/>
          </w:tcPr>
          <w:p w14:paraId="17AD14C1">
            <w:pPr>
              <w:pStyle w:val="13"/>
              <w:jc w:val="center"/>
              <w:rPr>
                <w:rFonts w:hint="eastAsia"/>
                <w:sz w:val="24"/>
                <w:szCs w:val="32"/>
              </w:rPr>
            </w:pPr>
            <w:r>
              <w:rPr>
                <w:rFonts w:hint="eastAsia"/>
                <w:sz w:val="24"/>
                <w:szCs w:val="32"/>
              </w:rPr>
              <w:t>服务器</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69FCA4FF">
            <w:pPr>
              <w:pStyle w:val="13"/>
              <w:jc w:val="center"/>
              <w:rPr>
                <w:rFonts w:hint="eastAsia"/>
                <w:sz w:val="24"/>
                <w:szCs w:val="32"/>
              </w:rPr>
            </w:pPr>
            <w:r>
              <w:rPr>
                <w:rFonts w:hint="eastAsia"/>
                <w:sz w:val="24"/>
                <w:szCs w:val="32"/>
              </w:rPr>
              <w:t>戴尔Power Edge R740</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477F1E32">
            <w:pPr>
              <w:pStyle w:val="13"/>
              <w:ind w:left="0" w:leftChars="0" w:firstLine="0" w:firstLineChars="0"/>
              <w:jc w:val="center"/>
              <w:rPr>
                <w:rFonts w:hint="eastAsia"/>
                <w:sz w:val="24"/>
                <w:szCs w:val="32"/>
              </w:rPr>
            </w:pPr>
            <w:r>
              <w:rPr>
                <w:rFonts w:hint="eastAsia"/>
                <w:sz w:val="24"/>
                <w:szCs w:val="32"/>
              </w:rPr>
              <w:t>台</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49BF7691">
            <w:pPr>
              <w:pStyle w:val="13"/>
              <w:ind w:left="0" w:leftChars="0" w:firstLine="0" w:firstLineChars="0"/>
              <w:jc w:val="center"/>
              <w:rPr>
                <w:rFonts w:hint="eastAsia"/>
                <w:sz w:val="24"/>
                <w:szCs w:val="32"/>
              </w:rPr>
            </w:pPr>
            <w:r>
              <w:rPr>
                <w:rFonts w:hint="eastAsia"/>
                <w:sz w:val="24"/>
                <w:szCs w:val="32"/>
              </w:rPr>
              <w:t>1</w:t>
            </w:r>
          </w:p>
        </w:tc>
      </w:tr>
      <w:tr w14:paraId="192C4CD8">
        <w:tblPrEx>
          <w:tblCellMar>
            <w:top w:w="0" w:type="dxa"/>
            <w:left w:w="108" w:type="dxa"/>
            <w:bottom w:w="0" w:type="dxa"/>
            <w:right w:w="108" w:type="dxa"/>
          </w:tblCellMar>
        </w:tblPrEx>
        <w:trPr>
          <w:trHeight w:val="319" w:hRule="atLeast"/>
          <w:jc w:val="center"/>
        </w:trPr>
        <w:tc>
          <w:tcPr>
            <w:tcW w:w="443" w:type="pct"/>
            <w:tcBorders>
              <w:top w:val="single" w:color="auto" w:sz="4" w:space="0"/>
              <w:left w:val="single" w:color="auto" w:sz="4" w:space="0"/>
              <w:bottom w:val="single" w:color="auto" w:sz="4" w:space="0"/>
              <w:right w:val="single" w:color="auto" w:sz="4" w:space="0"/>
            </w:tcBorders>
            <w:noWrap w:val="0"/>
            <w:vAlign w:val="center"/>
          </w:tcPr>
          <w:p w14:paraId="0B23330E">
            <w:pPr>
              <w:pStyle w:val="13"/>
              <w:ind w:left="0" w:leftChars="0" w:firstLine="0" w:firstLineChars="0"/>
              <w:jc w:val="center"/>
              <w:rPr>
                <w:rFonts w:hint="eastAsia"/>
                <w:sz w:val="24"/>
                <w:szCs w:val="32"/>
              </w:rPr>
            </w:pPr>
            <w:r>
              <w:rPr>
                <w:rFonts w:hint="eastAsia"/>
                <w:sz w:val="24"/>
                <w:szCs w:val="32"/>
              </w:rPr>
              <w:t>6</w:t>
            </w:r>
          </w:p>
        </w:tc>
        <w:tc>
          <w:tcPr>
            <w:tcW w:w="1579" w:type="pct"/>
            <w:tcBorders>
              <w:top w:val="single" w:color="auto" w:sz="4" w:space="0"/>
              <w:left w:val="single" w:color="auto" w:sz="4" w:space="0"/>
              <w:bottom w:val="single" w:color="auto" w:sz="4" w:space="0"/>
              <w:right w:val="single" w:color="auto" w:sz="4" w:space="0"/>
            </w:tcBorders>
            <w:noWrap w:val="0"/>
            <w:vAlign w:val="center"/>
          </w:tcPr>
          <w:p w14:paraId="2C6F43F7">
            <w:pPr>
              <w:pStyle w:val="13"/>
              <w:jc w:val="center"/>
              <w:rPr>
                <w:rFonts w:hint="eastAsia"/>
                <w:sz w:val="24"/>
                <w:szCs w:val="32"/>
              </w:rPr>
            </w:pPr>
            <w:r>
              <w:rPr>
                <w:rFonts w:hint="eastAsia"/>
                <w:sz w:val="24"/>
                <w:szCs w:val="32"/>
              </w:rPr>
              <w:t>交换机</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4B53A73E">
            <w:pPr>
              <w:pStyle w:val="13"/>
              <w:jc w:val="center"/>
              <w:rPr>
                <w:rFonts w:hint="eastAsia"/>
                <w:sz w:val="24"/>
                <w:szCs w:val="32"/>
              </w:rPr>
            </w:pPr>
            <w:r>
              <w:rPr>
                <w:rFonts w:hint="eastAsia"/>
                <w:sz w:val="24"/>
                <w:szCs w:val="32"/>
              </w:rPr>
              <w:t>华三Magic S2G</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4F1747E7">
            <w:pPr>
              <w:pStyle w:val="13"/>
              <w:ind w:left="0" w:leftChars="0" w:firstLine="0" w:firstLineChars="0"/>
              <w:jc w:val="center"/>
              <w:rPr>
                <w:rFonts w:hint="eastAsia"/>
                <w:sz w:val="24"/>
                <w:szCs w:val="32"/>
              </w:rPr>
            </w:pPr>
            <w:r>
              <w:rPr>
                <w:rFonts w:hint="eastAsia"/>
                <w:sz w:val="24"/>
                <w:szCs w:val="32"/>
              </w:rPr>
              <w:t>台</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72526CC4">
            <w:pPr>
              <w:pStyle w:val="13"/>
              <w:ind w:left="0" w:leftChars="0" w:firstLine="0" w:firstLineChars="0"/>
              <w:jc w:val="center"/>
              <w:rPr>
                <w:rFonts w:hint="eastAsia"/>
                <w:sz w:val="24"/>
                <w:szCs w:val="32"/>
              </w:rPr>
            </w:pPr>
            <w:r>
              <w:rPr>
                <w:rFonts w:hint="eastAsia"/>
                <w:sz w:val="24"/>
                <w:szCs w:val="32"/>
              </w:rPr>
              <w:t>2</w:t>
            </w:r>
          </w:p>
        </w:tc>
      </w:tr>
    </w:tbl>
    <w:p w14:paraId="35E3C658">
      <w:pPr>
        <w:pStyle w:val="13"/>
        <w:autoSpaceDE/>
        <w:autoSpaceDN/>
        <w:jc w:val="left"/>
        <w:rPr>
          <w:rFonts w:hint="eastAsia" w:asciiTheme="minorEastAsia" w:hAnsiTheme="minorEastAsia" w:eastAsiaTheme="minorEastAsia" w:cstheme="minorEastAsia"/>
          <w:b w:val="0"/>
          <w:bCs/>
          <w:color w:val="auto"/>
          <w:kern w:val="0"/>
          <w:sz w:val="24"/>
          <w:szCs w:val="24"/>
          <w:highlight w:val="none"/>
          <w:lang w:val="en-US" w:eastAsia="zh-CN" w:bidi="ar-SA"/>
        </w:rPr>
      </w:pPr>
    </w:p>
    <w:p w14:paraId="7ED56A75">
      <w:pPr>
        <w:pStyle w:val="13"/>
        <w:autoSpaceDE/>
        <w:autoSpaceDN/>
        <w:jc w:val="left"/>
        <w:rPr>
          <w:rFonts w:hint="eastAsia" w:asciiTheme="minorEastAsia" w:hAnsiTheme="minorEastAsia" w:eastAsiaTheme="minorEastAsia" w:cstheme="minorEastAsia"/>
          <w:b w:val="0"/>
          <w:bCs/>
          <w:color w:val="auto"/>
          <w:kern w:val="0"/>
          <w:sz w:val="24"/>
          <w:szCs w:val="24"/>
          <w:highlight w:val="none"/>
          <w:lang w:val="en-US" w:eastAsia="zh-CN" w:bidi="ar-SA"/>
        </w:rPr>
      </w:pPr>
      <w:r>
        <w:rPr>
          <w:rFonts w:hint="eastAsia" w:asciiTheme="minorEastAsia" w:hAnsiTheme="minorEastAsia" w:eastAsiaTheme="minorEastAsia" w:cstheme="minorEastAsia"/>
          <w:b w:val="0"/>
          <w:bCs/>
          <w:color w:val="auto"/>
          <w:kern w:val="0"/>
          <w:sz w:val="24"/>
          <w:szCs w:val="24"/>
          <w:highlight w:val="none"/>
          <w:lang w:val="en-US" w:eastAsia="zh-CN" w:bidi="ar-SA"/>
        </w:rPr>
        <w:t>2、学生宿舍通行设备及系统维保</w:t>
      </w:r>
    </w:p>
    <w:tbl>
      <w:tblPr>
        <w:tblStyle w:val="41"/>
        <w:tblW w:w="5736" w:type="pct"/>
        <w:jc w:val="center"/>
        <w:tblLayout w:type="autofit"/>
        <w:tblCellMar>
          <w:top w:w="0" w:type="dxa"/>
          <w:left w:w="108" w:type="dxa"/>
          <w:bottom w:w="0" w:type="dxa"/>
          <w:right w:w="108" w:type="dxa"/>
        </w:tblCellMar>
      </w:tblPr>
      <w:tblGrid>
        <w:gridCol w:w="1009"/>
        <w:gridCol w:w="3051"/>
        <w:gridCol w:w="3403"/>
        <w:gridCol w:w="1156"/>
        <w:gridCol w:w="1157"/>
      </w:tblGrid>
      <w:tr w14:paraId="1D1E59CD">
        <w:tblPrEx>
          <w:tblCellMar>
            <w:top w:w="0" w:type="dxa"/>
            <w:left w:w="108" w:type="dxa"/>
            <w:bottom w:w="0" w:type="dxa"/>
            <w:right w:w="108" w:type="dxa"/>
          </w:tblCellMar>
        </w:tblPrEx>
        <w:trPr>
          <w:trHeight w:val="266"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66278C88">
            <w:pPr>
              <w:pStyle w:val="13"/>
              <w:ind w:left="0" w:leftChars="0" w:firstLine="0" w:firstLineChars="0"/>
              <w:jc w:val="both"/>
              <w:rPr>
                <w:rFonts w:hint="eastAsia"/>
                <w:b/>
                <w:bCs/>
                <w:sz w:val="24"/>
                <w:szCs w:val="24"/>
              </w:rPr>
            </w:pPr>
            <w:r>
              <w:rPr>
                <w:rFonts w:hint="eastAsia"/>
                <w:b/>
                <w:bCs/>
                <w:sz w:val="24"/>
                <w:szCs w:val="24"/>
              </w:rPr>
              <w:t>序号</w:t>
            </w:r>
          </w:p>
        </w:tc>
        <w:tc>
          <w:tcPr>
            <w:tcW w:w="1560" w:type="pct"/>
            <w:tcBorders>
              <w:top w:val="single" w:color="auto" w:sz="4" w:space="0"/>
              <w:left w:val="nil"/>
              <w:bottom w:val="single" w:color="auto" w:sz="4" w:space="0"/>
              <w:right w:val="single" w:color="auto" w:sz="4" w:space="0"/>
            </w:tcBorders>
            <w:noWrap w:val="0"/>
            <w:vAlign w:val="center"/>
          </w:tcPr>
          <w:p w14:paraId="4FC4FBEF">
            <w:pPr>
              <w:pStyle w:val="13"/>
              <w:jc w:val="center"/>
              <w:rPr>
                <w:rFonts w:hint="eastAsia"/>
                <w:b/>
                <w:bCs/>
                <w:sz w:val="24"/>
                <w:szCs w:val="24"/>
              </w:rPr>
            </w:pPr>
            <w:r>
              <w:rPr>
                <w:rFonts w:hint="eastAsia"/>
                <w:b/>
                <w:bCs/>
                <w:sz w:val="24"/>
                <w:szCs w:val="24"/>
              </w:rPr>
              <w:t>货物名称</w:t>
            </w:r>
          </w:p>
        </w:tc>
        <w:tc>
          <w:tcPr>
            <w:tcW w:w="1740" w:type="pct"/>
            <w:tcBorders>
              <w:top w:val="single" w:color="auto" w:sz="4" w:space="0"/>
              <w:left w:val="nil"/>
              <w:bottom w:val="single" w:color="auto" w:sz="4" w:space="0"/>
              <w:right w:val="single" w:color="auto" w:sz="4" w:space="0"/>
            </w:tcBorders>
            <w:noWrap w:val="0"/>
            <w:vAlign w:val="center"/>
          </w:tcPr>
          <w:p w14:paraId="1BF44F9F">
            <w:pPr>
              <w:pStyle w:val="13"/>
              <w:jc w:val="center"/>
              <w:rPr>
                <w:rFonts w:hint="eastAsia"/>
                <w:b/>
                <w:bCs/>
                <w:sz w:val="24"/>
                <w:szCs w:val="24"/>
              </w:rPr>
            </w:pPr>
            <w:r>
              <w:rPr>
                <w:rFonts w:hint="eastAsia"/>
                <w:b/>
                <w:bCs/>
                <w:sz w:val="24"/>
                <w:szCs w:val="24"/>
              </w:rPr>
              <w:t>品牌型号</w:t>
            </w:r>
          </w:p>
        </w:tc>
        <w:tc>
          <w:tcPr>
            <w:tcW w:w="591" w:type="pct"/>
            <w:tcBorders>
              <w:top w:val="single" w:color="auto" w:sz="4" w:space="0"/>
              <w:left w:val="nil"/>
              <w:bottom w:val="single" w:color="auto" w:sz="4" w:space="0"/>
              <w:right w:val="single" w:color="auto" w:sz="4" w:space="0"/>
            </w:tcBorders>
            <w:noWrap w:val="0"/>
            <w:vAlign w:val="center"/>
          </w:tcPr>
          <w:p w14:paraId="44D43C5D">
            <w:pPr>
              <w:pStyle w:val="13"/>
              <w:ind w:left="0" w:leftChars="0" w:firstLine="0" w:firstLineChars="0"/>
              <w:jc w:val="both"/>
              <w:rPr>
                <w:rFonts w:hint="eastAsia"/>
                <w:b/>
                <w:bCs/>
                <w:sz w:val="24"/>
                <w:szCs w:val="24"/>
              </w:rPr>
            </w:pPr>
            <w:r>
              <w:rPr>
                <w:rFonts w:hint="eastAsia"/>
                <w:b/>
                <w:bCs/>
                <w:sz w:val="24"/>
                <w:szCs w:val="24"/>
              </w:rPr>
              <w:t>单位</w:t>
            </w:r>
          </w:p>
        </w:tc>
        <w:tc>
          <w:tcPr>
            <w:tcW w:w="591" w:type="pct"/>
            <w:tcBorders>
              <w:top w:val="single" w:color="auto" w:sz="4" w:space="0"/>
              <w:left w:val="nil"/>
              <w:bottom w:val="single" w:color="auto" w:sz="4" w:space="0"/>
              <w:right w:val="single" w:color="auto" w:sz="4" w:space="0"/>
            </w:tcBorders>
            <w:noWrap w:val="0"/>
            <w:vAlign w:val="center"/>
          </w:tcPr>
          <w:p w14:paraId="65D93494">
            <w:pPr>
              <w:pStyle w:val="13"/>
              <w:ind w:left="0" w:leftChars="0" w:firstLine="0" w:firstLineChars="0"/>
              <w:jc w:val="center"/>
              <w:rPr>
                <w:rFonts w:hint="eastAsia"/>
                <w:b/>
                <w:bCs/>
                <w:sz w:val="24"/>
                <w:szCs w:val="24"/>
              </w:rPr>
            </w:pPr>
            <w:r>
              <w:rPr>
                <w:rFonts w:hint="eastAsia"/>
                <w:b/>
                <w:bCs/>
                <w:sz w:val="24"/>
                <w:szCs w:val="24"/>
              </w:rPr>
              <w:t>数量</w:t>
            </w:r>
          </w:p>
        </w:tc>
      </w:tr>
      <w:tr w14:paraId="562A153C">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405F5CD3">
            <w:pPr>
              <w:pStyle w:val="13"/>
              <w:ind w:left="0" w:leftChars="0" w:firstLine="0" w:firstLineChars="0"/>
              <w:jc w:val="center"/>
              <w:rPr>
                <w:rFonts w:hint="eastAsia"/>
                <w:sz w:val="24"/>
                <w:szCs w:val="24"/>
              </w:rPr>
            </w:pPr>
            <w:r>
              <w:rPr>
                <w:rFonts w:hint="eastAsia"/>
                <w:sz w:val="24"/>
                <w:szCs w:val="24"/>
              </w:rPr>
              <w:t>1</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314AE76A">
            <w:pPr>
              <w:snapToGrid w:val="0"/>
              <w:spacing w:line="24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智能翼闸</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573B150B">
            <w:pPr>
              <w:pStyle w:val="13"/>
              <w:jc w:val="center"/>
              <w:rPr>
                <w:rFonts w:hint="eastAsia"/>
                <w:sz w:val="24"/>
                <w:szCs w:val="24"/>
              </w:rPr>
            </w:pPr>
            <w:r>
              <w:rPr>
                <w:rFonts w:hint="eastAsia"/>
                <w:sz w:val="24"/>
                <w:szCs w:val="24"/>
              </w:rPr>
              <w:t>华颐HY-Y035</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181586AD">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03BE9F0D">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33</w:t>
            </w:r>
          </w:p>
        </w:tc>
      </w:tr>
      <w:tr w14:paraId="2F35FDBE">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0C084D0F">
            <w:pPr>
              <w:pStyle w:val="13"/>
              <w:ind w:left="0" w:leftChars="0" w:firstLine="0" w:firstLineChars="0"/>
              <w:jc w:val="center"/>
              <w:rPr>
                <w:rFonts w:hint="eastAsia"/>
                <w:sz w:val="24"/>
                <w:szCs w:val="24"/>
              </w:rPr>
            </w:pPr>
            <w:r>
              <w:rPr>
                <w:rFonts w:hint="eastAsia"/>
                <w:sz w:val="24"/>
                <w:szCs w:val="24"/>
              </w:rPr>
              <w:t>2</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70AC2543">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宿管人脸识别组件</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68ED88DA">
            <w:pPr>
              <w:pStyle w:val="13"/>
              <w:jc w:val="center"/>
              <w:rPr>
                <w:rFonts w:hint="eastAsia"/>
                <w:sz w:val="24"/>
                <w:szCs w:val="24"/>
              </w:rPr>
            </w:pPr>
            <w:r>
              <w:rPr>
                <w:rFonts w:hint="eastAsia"/>
                <w:sz w:val="24"/>
                <w:szCs w:val="24"/>
              </w:rPr>
              <w:t>旷视MegEye-W5K-I8</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698D559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2334EA77">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44</w:t>
            </w:r>
          </w:p>
        </w:tc>
      </w:tr>
      <w:tr w14:paraId="1B4304B8">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6E829913">
            <w:pPr>
              <w:pStyle w:val="13"/>
              <w:ind w:left="0" w:leftChars="0" w:firstLine="0" w:firstLineChars="0"/>
              <w:jc w:val="center"/>
              <w:rPr>
                <w:rFonts w:hint="eastAsia"/>
                <w:sz w:val="24"/>
                <w:szCs w:val="24"/>
              </w:rPr>
            </w:pPr>
            <w:r>
              <w:rPr>
                <w:rFonts w:hint="eastAsia"/>
                <w:sz w:val="24"/>
                <w:szCs w:val="24"/>
              </w:rPr>
              <w:t>3</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09C022E3">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人脸自助采集终端</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2345ECFC">
            <w:pPr>
              <w:pStyle w:val="13"/>
              <w:jc w:val="center"/>
              <w:rPr>
                <w:rFonts w:hint="eastAsia"/>
                <w:sz w:val="24"/>
                <w:szCs w:val="24"/>
              </w:rPr>
            </w:pPr>
            <w:r>
              <w:rPr>
                <w:rFonts w:hint="eastAsia"/>
                <w:sz w:val="24"/>
                <w:szCs w:val="24"/>
              </w:rPr>
              <w:t>华颐TS-FVT-01</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63D1454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6E4A618B">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w:t>
            </w:r>
          </w:p>
        </w:tc>
      </w:tr>
      <w:tr w14:paraId="406C49AA">
        <w:tblPrEx>
          <w:tblCellMar>
            <w:top w:w="0" w:type="dxa"/>
            <w:left w:w="108" w:type="dxa"/>
            <w:bottom w:w="0" w:type="dxa"/>
            <w:right w:w="108" w:type="dxa"/>
          </w:tblCellMar>
        </w:tblPrEx>
        <w:trPr>
          <w:trHeight w:val="515"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7CA47536">
            <w:pPr>
              <w:pStyle w:val="13"/>
              <w:ind w:left="0" w:leftChars="0" w:firstLine="0" w:firstLineChars="0"/>
              <w:jc w:val="center"/>
              <w:rPr>
                <w:rFonts w:hint="eastAsia"/>
                <w:sz w:val="24"/>
                <w:szCs w:val="24"/>
              </w:rPr>
            </w:pPr>
            <w:r>
              <w:rPr>
                <w:rFonts w:hint="eastAsia"/>
                <w:sz w:val="24"/>
                <w:szCs w:val="24"/>
              </w:rPr>
              <w:t>4</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0E35197B">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信息发布屏</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600F729D">
            <w:pPr>
              <w:pStyle w:val="13"/>
              <w:jc w:val="center"/>
              <w:rPr>
                <w:rFonts w:hint="eastAsia"/>
                <w:sz w:val="24"/>
                <w:szCs w:val="24"/>
              </w:rPr>
            </w:pPr>
            <w:r>
              <w:rPr>
                <w:rFonts w:hint="eastAsia"/>
                <w:sz w:val="24"/>
                <w:szCs w:val="24"/>
              </w:rPr>
              <w:t>海康威视DS-D6065FL-B/S</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4928CA5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374E8274">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6</w:t>
            </w:r>
          </w:p>
        </w:tc>
      </w:tr>
      <w:tr w14:paraId="178341C6">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421772BE">
            <w:pPr>
              <w:pStyle w:val="13"/>
              <w:ind w:left="0" w:leftChars="0" w:firstLine="0" w:firstLineChars="0"/>
              <w:jc w:val="center"/>
              <w:rPr>
                <w:rFonts w:hint="eastAsia"/>
                <w:sz w:val="24"/>
                <w:szCs w:val="24"/>
              </w:rPr>
            </w:pPr>
            <w:r>
              <w:rPr>
                <w:rFonts w:hint="eastAsia"/>
                <w:sz w:val="24"/>
                <w:szCs w:val="24"/>
              </w:rPr>
              <w:t>5</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519E5DFB">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信息发布盒</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0CFA1AFC">
            <w:pPr>
              <w:pStyle w:val="13"/>
              <w:jc w:val="center"/>
              <w:rPr>
                <w:rFonts w:hint="eastAsia"/>
                <w:sz w:val="24"/>
                <w:szCs w:val="24"/>
              </w:rPr>
            </w:pPr>
            <w:r>
              <w:rPr>
                <w:rFonts w:hint="eastAsia"/>
                <w:sz w:val="24"/>
                <w:szCs w:val="24"/>
              </w:rPr>
              <w:t>海康威视DS-D60C-B</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09C854DE">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21844302">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6</w:t>
            </w:r>
          </w:p>
        </w:tc>
      </w:tr>
      <w:tr w14:paraId="742713A6">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7F69713A">
            <w:pPr>
              <w:pStyle w:val="13"/>
              <w:ind w:left="0" w:leftChars="0" w:firstLine="0" w:firstLineChars="0"/>
              <w:jc w:val="center"/>
              <w:rPr>
                <w:rFonts w:hint="eastAsia"/>
                <w:sz w:val="24"/>
                <w:szCs w:val="24"/>
              </w:rPr>
            </w:pPr>
            <w:r>
              <w:rPr>
                <w:rFonts w:hint="eastAsia"/>
                <w:sz w:val="24"/>
                <w:szCs w:val="24"/>
              </w:rPr>
              <w:t>6</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3C370860">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应急通道</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7041C4E3">
            <w:pPr>
              <w:pStyle w:val="13"/>
              <w:jc w:val="center"/>
              <w:rPr>
                <w:rFonts w:hint="eastAsia"/>
                <w:sz w:val="24"/>
                <w:szCs w:val="24"/>
              </w:rPr>
            </w:pPr>
            <w:r>
              <w:rPr>
                <w:rFonts w:hint="eastAsia"/>
                <w:sz w:val="24"/>
                <w:szCs w:val="24"/>
              </w:rPr>
              <w:t>佳信定制</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75C1A9F5">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个</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2F420D0B">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11</w:t>
            </w:r>
          </w:p>
        </w:tc>
      </w:tr>
      <w:tr w14:paraId="4A96059A">
        <w:tblPrEx>
          <w:tblCellMar>
            <w:top w:w="0" w:type="dxa"/>
            <w:left w:w="108" w:type="dxa"/>
            <w:bottom w:w="0" w:type="dxa"/>
            <w:right w:w="108" w:type="dxa"/>
          </w:tblCellMar>
        </w:tblPrEx>
        <w:trPr>
          <w:trHeight w:val="520"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51175B8B">
            <w:pPr>
              <w:pStyle w:val="13"/>
              <w:ind w:left="0" w:leftChars="0" w:firstLine="0" w:firstLineChars="0"/>
              <w:jc w:val="center"/>
              <w:rPr>
                <w:rFonts w:hint="eastAsia"/>
                <w:sz w:val="24"/>
                <w:szCs w:val="24"/>
              </w:rPr>
            </w:pPr>
            <w:r>
              <w:rPr>
                <w:rFonts w:hint="eastAsia"/>
                <w:sz w:val="24"/>
                <w:szCs w:val="24"/>
              </w:rPr>
              <w:t>7</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30DB7AA2">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智能人脸抓拍摄像机</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677A3554">
            <w:pPr>
              <w:pStyle w:val="13"/>
              <w:jc w:val="center"/>
              <w:rPr>
                <w:rFonts w:hint="eastAsia"/>
                <w:sz w:val="24"/>
                <w:szCs w:val="24"/>
              </w:rPr>
            </w:pPr>
            <w:r>
              <w:rPr>
                <w:rFonts w:hint="eastAsia"/>
                <w:sz w:val="24"/>
                <w:szCs w:val="24"/>
              </w:rPr>
              <w:t>海康威视DS-2CD7A4XYZUV-ABCDEF</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616AE8B4">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03088AD5">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22</w:t>
            </w:r>
          </w:p>
        </w:tc>
      </w:tr>
      <w:tr w14:paraId="2B48E310">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3198EF11">
            <w:pPr>
              <w:pStyle w:val="13"/>
              <w:ind w:left="0" w:leftChars="0" w:firstLine="0" w:firstLineChars="0"/>
              <w:jc w:val="center"/>
              <w:rPr>
                <w:rFonts w:hint="eastAsia"/>
                <w:sz w:val="24"/>
                <w:szCs w:val="24"/>
              </w:rPr>
            </w:pPr>
            <w:r>
              <w:rPr>
                <w:rFonts w:hint="eastAsia"/>
                <w:sz w:val="24"/>
                <w:szCs w:val="24"/>
              </w:rPr>
              <w:t>8</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0343FAD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宿舍管理平台</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4996F783">
            <w:pPr>
              <w:pStyle w:val="13"/>
              <w:jc w:val="center"/>
              <w:rPr>
                <w:rFonts w:hint="eastAsia"/>
                <w:sz w:val="24"/>
                <w:szCs w:val="24"/>
              </w:rPr>
            </w:pPr>
            <w:r>
              <w:rPr>
                <w:rFonts w:hint="eastAsia"/>
                <w:sz w:val="24"/>
                <w:szCs w:val="24"/>
              </w:rPr>
              <w:t>华颐V1.0</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76054478">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套</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50EBD34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w:t>
            </w:r>
          </w:p>
        </w:tc>
      </w:tr>
      <w:tr w14:paraId="31CC18AB">
        <w:tblPrEx>
          <w:tblCellMar>
            <w:top w:w="0" w:type="dxa"/>
            <w:left w:w="108" w:type="dxa"/>
            <w:bottom w:w="0" w:type="dxa"/>
            <w:right w:w="108" w:type="dxa"/>
          </w:tblCellMar>
        </w:tblPrEx>
        <w:trPr>
          <w:trHeight w:val="515"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60BAC201">
            <w:pPr>
              <w:pStyle w:val="13"/>
              <w:ind w:left="0" w:leftChars="0" w:firstLine="0" w:firstLineChars="0"/>
              <w:jc w:val="center"/>
              <w:rPr>
                <w:rFonts w:hint="eastAsia"/>
                <w:sz w:val="24"/>
                <w:szCs w:val="24"/>
              </w:rPr>
            </w:pPr>
            <w:r>
              <w:rPr>
                <w:rFonts w:hint="eastAsia"/>
                <w:sz w:val="24"/>
                <w:szCs w:val="24"/>
              </w:rPr>
              <w:t>9</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32D0F7E4">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平台服务器</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2754733E">
            <w:pPr>
              <w:pStyle w:val="13"/>
              <w:jc w:val="center"/>
              <w:rPr>
                <w:rFonts w:hint="eastAsia"/>
                <w:sz w:val="24"/>
                <w:szCs w:val="24"/>
              </w:rPr>
            </w:pPr>
            <w:r>
              <w:rPr>
                <w:rFonts w:hint="eastAsia"/>
                <w:sz w:val="24"/>
                <w:szCs w:val="24"/>
              </w:rPr>
              <w:t>联想ThinkServer SR588</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5EA81E38">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09DBA05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w:t>
            </w:r>
          </w:p>
        </w:tc>
      </w:tr>
      <w:tr w14:paraId="6CE7BD52">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560AFEA4">
            <w:pPr>
              <w:pStyle w:val="13"/>
              <w:ind w:left="0" w:leftChars="0" w:firstLine="0" w:firstLineChars="0"/>
              <w:jc w:val="center"/>
              <w:rPr>
                <w:rFonts w:hint="eastAsia"/>
                <w:sz w:val="24"/>
                <w:szCs w:val="24"/>
              </w:rPr>
            </w:pPr>
            <w:r>
              <w:rPr>
                <w:rFonts w:hint="eastAsia"/>
                <w:sz w:val="24"/>
                <w:szCs w:val="24"/>
              </w:rPr>
              <w:t>10</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25D50112">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第三方业务系统对接</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2CD11BC3">
            <w:pPr>
              <w:pStyle w:val="13"/>
              <w:jc w:val="center"/>
              <w:rPr>
                <w:rFonts w:hint="eastAsia"/>
                <w:sz w:val="24"/>
                <w:szCs w:val="24"/>
              </w:rPr>
            </w:pPr>
            <w:r>
              <w:rPr>
                <w:rFonts w:hint="eastAsia"/>
                <w:sz w:val="24"/>
                <w:szCs w:val="24"/>
              </w:rPr>
              <w:t>华颐定制</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71D26257">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套</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2B5F89B0">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w:t>
            </w:r>
          </w:p>
        </w:tc>
      </w:tr>
      <w:tr w14:paraId="20C8B15C">
        <w:tblPrEx>
          <w:tblCellMar>
            <w:top w:w="0" w:type="dxa"/>
            <w:left w:w="108" w:type="dxa"/>
            <w:bottom w:w="0" w:type="dxa"/>
            <w:right w:w="108" w:type="dxa"/>
          </w:tblCellMar>
        </w:tblPrEx>
        <w:trPr>
          <w:trHeight w:val="515"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357C0F1C">
            <w:pPr>
              <w:pStyle w:val="13"/>
              <w:ind w:left="0" w:leftChars="0" w:firstLine="0" w:firstLineChars="0"/>
              <w:jc w:val="center"/>
              <w:rPr>
                <w:rFonts w:hint="eastAsia"/>
                <w:sz w:val="24"/>
                <w:szCs w:val="24"/>
              </w:rPr>
            </w:pPr>
            <w:r>
              <w:rPr>
                <w:rFonts w:hint="eastAsia"/>
                <w:sz w:val="24"/>
                <w:szCs w:val="24"/>
              </w:rPr>
              <w:t>11</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56B18369">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平台对接中间件服务器</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7863E630">
            <w:pPr>
              <w:pStyle w:val="13"/>
              <w:jc w:val="center"/>
              <w:rPr>
                <w:rFonts w:hint="eastAsia"/>
                <w:sz w:val="24"/>
                <w:szCs w:val="24"/>
              </w:rPr>
            </w:pPr>
            <w:r>
              <w:rPr>
                <w:rFonts w:hint="eastAsia"/>
                <w:sz w:val="24"/>
                <w:szCs w:val="24"/>
              </w:rPr>
              <w:t>联想ThinkServer SR588</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1BB0ECA3">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766A721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w:t>
            </w:r>
          </w:p>
        </w:tc>
      </w:tr>
      <w:tr w14:paraId="567E2619">
        <w:tblPrEx>
          <w:tblCellMar>
            <w:top w:w="0" w:type="dxa"/>
            <w:left w:w="108" w:type="dxa"/>
            <w:bottom w:w="0" w:type="dxa"/>
            <w:right w:w="108" w:type="dxa"/>
          </w:tblCellMar>
        </w:tblPrEx>
        <w:trPr>
          <w:trHeight w:val="520"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44A8BC79">
            <w:pPr>
              <w:pStyle w:val="13"/>
              <w:ind w:left="0" w:leftChars="0" w:firstLine="0" w:firstLineChars="0"/>
              <w:jc w:val="center"/>
              <w:rPr>
                <w:rFonts w:hint="eastAsia"/>
                <w:sz w:val="24"/>
                <w:szCs w:val="24"/>
              </w:rPr>
            </w:pPr>
            <w:r>
              <w:rPr>
                <w:rFonts w:hint="eastAsia"/>
                <w:sz w:val="24"/>
                <w:szCs w:val="24"/>
              </w:rPr>
              <w:t>12</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192E29F7">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硬盘录像机</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7F93F7F9">
            <w:pPr>
              <w:pStyle w:val="13"/>
              <w:jc w:val="center"/>
              <w:rPr>
                <w:rFonts w:hint="eastAsia"/>
                <w:sz w:val="24"/>
                <w:szCs w:val="24"/>
              </w:rPr>
            </w:pPr>
            <w:r>
              <w:rPr>
                <w:rFonts w:hint="eastAsia"/>
                <w:sz w:val="24"/>
                <w:szCs w:val="24"/>
              </w:rPr>
              <w:t>海康威视iDS-9664NX-I16/X</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2D0216AD">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6AF308D9">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2</w:t>
            </w:r>
          </w:p>
        </w:tc>
      </w:tr>
      <w:tr w14:paraId="31444C73">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224781C5">
            <w:pPr>
              <w:pStyle w:val="13"/>
              <w:ind w:left="0" w:leftChars="0" w:firstLine="0" w:firstLineChars="0"/>
              <w:jc w:val="center"/>
              <w:rPr>
                <w:rFonts w:hint="eastAsia"/>
                <w:sz w:val="24"/>
                <w:szCs w:val="24"/>
              </w:rPr>
            </w:pPr>
            <w:r>
              <w:rPr>
                <w:rFonts w:hint="eastAsia"/>
                <w:sz w:val="24"/>
                <w:szCs w:val="24"/>
              </w:rPr>
              <w:t>13</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669E872E">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交换机</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60AB88D7">
            <w:pPr>
              <w:pStyle w:val="13"/>
              <w:jc w:val="center"/>
              <w:rPr>
                <w:rFonts w:hint="eastAsia"/>
                <w:sz w:val="24"/>
                <w:szCs w:val="24"/>
              </w:rPr>
            </w:pPr>
            <w:r>
              <w:rPr>
                <w:rFonts w:hint="eastAsia"/>
                <w:sz w:val="24"/>
                <w:szCs w:val="24"/>
              </w:rPr>
              <w:t>华三Magic S2G</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340B86A8">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个</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2FD8F65D">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6</w:t>
            </w:r>
          </w:p>
        </w:tc>
      </w:tr>
      <w:tr w14:paraId="3D35347E">
        <w:tblPrEx>
          <w:tblCellMar>
            <w:top w:w="0" w:type="dxa"/>
            <w:left w:w="108" w:type="dxa"/>
            <w:bottom w:w="0" w:type="dxa"/>
            <w:right w:w="108" w:type="dxa"/>
          </w:tblCellMar>
        </w:tblPrEx>
        <w:trPr>
          <w:trHeight w:val="515"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7F369347">
            <w:pPr>
              <w:pStyle w:val="13"/>
              <w:ind w:left="0" w:leftChars="0" w:firstLine="0" w:firstLineChars="0"/>
              <w:jc w:val="center"/>
              <w:rPr>
                <w:rFonts w:hint="eastAsia"/>
                <w:sz w:val="24"/>
                <w:szCs w:val="24"/>
              </w:rPr>
            </w:pPr>
            <w:r>
              <w:rPr>
                <w:rFonts w:hint="eastAsia"/>
                <w:sz w:val="24"/>
                <w:szCs w:val="24"/>
              </w:rPr>
              <w:t>14</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382192ED">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管理电脑</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6EDE7A66">
            <w:pPr>
              <w:pStyle w:val="13"/>
              <w:jc w:val="center"/>
              <w:rPr>
                <w:rFonts w:hint="eastAsia"/>
                <w:sz w:val="24"/>
                <w:szCs w:val="24"/>
              </w:rPr>
            </w:pPr>
            <w:r>
              <w:rPr>
                <w:rFonts w:hint="eastAsia"/>
                <w:sz w:val="24"/>
                <w:szCs w:val="24"/>
              </w:rPr>
              <w:t>戴尔Vostro 3881-R14N8R</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69E60446">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747CA0EA">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2</w:t>
            </w:r>
          </w:p>
        </w:tc>
      </w:tr>
      <w:tr w14:paraId="43672DF5">
        <w:tblPrEx>
          <w:tblCellMar>
            <w:top w:w="0" w:type="dxa"/>
            <w:left w:w="108" w:type="dxa"/>
            <w:bottom w:w="0" w:type="dxa"/>
            <w:right w:w="108" w:type="dxa"/>
          </w:tblCellMar>
        </w:tblPrEx>
        <w:trPr>
          <w:trHeight w:val="532"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3BD9A311">
            <w:pPr>
              <w:pStyle w:val="13"/>
              <w:ind w:left="0" w:leftChars="0" w:firstLine="0" w:firstLineChars="0"/>
              <w:jc w:val="center"/>
              <w:rPr>
                <w:rFonts w:hint="eastAsia"/>
                <w:sz w:val="24"/>
                <w:szCs w:val="24"/>
              </w:rPr>
            </w:pPr>
            <w:r>
              <w:rPr>
                <w:rFonts w:hint="eastAsia"/>
                <w:sz w:val="24"/>
                <w:szCs w:val="24"/>
              </w:rPr>
              <w:t>15</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0DB3382C">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总控室显示大屏</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17CAE006">
            <w:pPr>
              <w:pStyle w:val="13"/>
              <w:jc w:val="center"/>
              <w:rPr>
                <w:rFonts w:hint="eastAsia"/>
                <w:sz w:val="24"/>
                <w:szCs w:val="24"/>
              </w:rPr>
            </w:pPr>
            <w:r>
              <w:rPr>
                <w:rFonts w:hint="eastAsia"/>
                <w:sz w:val="24"/>
                <w:szCs w:val="24"/>
              </w:rPr>
              <w:t>海康威视DS-D5055UL-B</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7B1A433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套</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13ADCE4D">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w:t>
            </w:r>
          </w:p>
        </w:tc>
      </w:tr>
    </w:tbl>
    <w:p w14:paraId="6B592CAC">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 </w:t>
      </w:r>
    </w:p>
    <w:p w14:paraId="701C9C32">
      <w:pPr>
        <w:pStyle w:val="5"/>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三、服务要求</w:t>
      </w:r>
    </w:p>
    <w:p w14:paraId="1A4D6242">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1、服务响应及故障处理时间</w:t>
      </w:r>
    </w:p>
    <w:p w14:paraId="0A2781AC">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确保校门口及学生宿舍闸机通道系统（含人脸识别）全天稳定运行，保障师生正常通行和有关管理工作有序开展。供应商需建立7×24小时全天候服务响应机制，设立专属服务热线、微信或企业微信等多渠道报障方式，确保报障信息快速接收、精准记录。接到用户报障或服务需求后，需在30分钟内响应，明确告知用户处理流程、预计到场时间及联系人信息，不得出现拖延、推诿情况。如需现场处理的，服务人员需在接到报障后2小时内抵达现场开展故障排查及处置工作，不得无故延迟到场；若因特殊情况（如极端天气、交通管制等）无法按时到场，需提前1小时主动与用户沟通，说明原因并协商确定新的到场时间，同时提供临时应急解决方案，最大限度降低系统故障对校园管理的影响。现场处置过程中，供应商需高效排查故障原因，一般故障需在到场后8小时内完成修复，恢复系统正常运行；复杂故障（如核心硬件损坏、系统崩溃等）需在到场后24小时内完成修复，若24小时内无法彻底解决，需立即提供同等性能的临时替代设备或应急方案，确保系统基本功能正常，直至故障完全修复。此外，供应商需建立服务跟踪机制，故障修复后24小时内进行电话回访，确认系统运行正常，了解用户满意度，及时处理后续衍生问题。若未能按照上述约定及时提供服务的，采购人有权行使相应处罚权，如超过三次，将视为未能完全履行相关义务，合同终止，项目重新招标。</w:t>
      </w:r>
    </w:p>
    <w:p w14:paraId="2329AE4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2、硬件设备维保服务</w:t>
      </w:r>
    </w:p>
    <w:p w14:paraId="4CE6A608">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本次维保涵盖本项目所有硬件设备，供应商需对所有硬件设备提供全面、专业的维保服务，整体保障硬件设备正常运行、性能稳定。供应商需建立硬件设备定期巡检机制，每月开展1次全面巡检，巡检内容包括设备运行状态检查、线路连接检查、设备清洁、部件损耗检测、性能调试等，及时发现设备潜在故障及安全隐患，提前进行处置，避免故障扩大。巡检完成后，需出具详细的巡检报告，明确设备运行状况、发现的问题及处理措施、后续维护建议，经学校相关负责人（学生处、安全管理处）确认后留存归档。</w:t>
      </w:r>
    </w:p>
    <w:p w14:paraId="7187F62A">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针对硬件设备出现的故障，供应商需提供免费维修服务，维修过程中所需的零部件（如闸机机芯、识别模块、电源、接口等）需选用与原设备品牌、规格一致或兼容且质量合格的产品，确保维修后设备性能与原设备一致，零部件更换需提前告知学校，经同意后再进行更换。对于无法维修或维修后无法达到正常使用标准的设备，供应商需提供详细的设备报废评估报告，提出合理的更换建议，协助学校完成设备更换相关事宜。此外，供应商需对所有硬件设备提供日常维护指导，定期对学校管理人员进行硬件设备日常操作、简单故障排查、日常保养等知识培训，提升管理人员的操作能力，减少因操作不当导致的设备故障。</w:t>
      </w:r>
    </w:p>
    <w:p w14:paraId="5316CDED">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3、软件系统维保服务</w:t>
      </w:r>
    </w:p>
    <w:p w14:paraId="6D098025">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软件系统维保范围包括校门口出入管理系统、学生宿舍管理平台以及第三方对接开发平台系统等，供应商需提供全面的软件系统维保服务，保障软件系统稳定运行、功能正常，满足学校公寓管理及师生使用需求。供应商需建立软件系统7×24小时运行监控机制，实时监测软件系统的运行状态，及时发现软件卡顿、崩溃、功能异常等问题，第一时间进行排查和修复，确保软件系统不间断运行。针对软件系统出现的各类故障，如登录异常、人脸识别失败、数据查询错误、功能无法正常使用等，供应商需按照规定的响应时间及故障处理时间要求，快速开展故障排查和修复工作，确保故障及时解决，不影响师生正常使用和公寓管理工作。</w:t>
      </w:r>
    </w:p>
    <w:p w14:paraId="71E08D9E">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中标供应商需提供软件系统日常维护服务，包括系统参数调试、功能优化、垃圾数据清理、系统日志整理分析等，定期对软件系统进行性能优化，提升系统运行速度和稳定性，避免因系统冗余、参数异常导致的故障。同时，供应商需根据学校通行管理工作的实际需求，对软件系统的现有功能进行合理优化调整，提供个性化的技术支持，解决软件使用过程中出现的各类疑问和问题。此外，供应商需建立软件系统使用培训机制，定期对学校管理人员进行软件系统操作、功能应用、故障排查等培训（每年至少2次），确保管理人员能够熟练掌握软件系统的使用方法，提高管理效率。同时，供应商需安排专人负责对接软件系统相关事宜，及时响应学校的各类软件使用需求，提供专业的技术咨询和指导服务。</w:t>
      </w:r>
    </w:p>
    <w:p w14:paraId="1C4D1504">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4、软件系统升级服务</w:t>
      </w:r>
    </w:p>
    <w:p w14:paraId="7DE3990C">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需提供软件系统全周期升级服务，有关升级服务的全部费用及安全责任，由供应商承担。供应商确保软件系统始终保持最新稳定版本，功能满足学校通行管理的不断需求，同时保障升级过程安全、顺畅，不影响系统正常运行和师生使用。软件系统升级需遵循可追溯、可回滚、可验证、低影响四大原则，符合ISO/IEC 20000信息技术服务管理规范与GB/T 44496-2024软件升级通用技术要求，所有升级操作需留存完整日志，包括版本号、校验值、操作人、时间、结果、异常处理等，满足合规审计与问题追溯需求。供应商需定期关注软件系统厂商发布的升级补丁、版本更新信息，及时对软件系统进行升级，升级内容包括安全补丁更新、功能优化升级、漏洞修复升级等，确保软件系统的安全性、稳定性和功能性。</w:t>
      </w:r>
    </w:p>
    <w:p w14:paraId="672A9AEB">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需提供目前已开发的第三方接口维护，包括学校一卡通系统对接、学籍系统对接、教务系统对接等，确保数据交互平台数据归集、数据清洗、数据比对、数据校验、数据分发、任务调度、接口管理和权限管理的交换体系运行正常。根据学校业务周期的不同，提前设置同步规则和同步频率，定时排查各数据同步运行情况，及时处理异常失败数据，包括在双方系统升级时，更新接口。</w:t>
      </w:r>
    </w:p>
    <w:p w14:paraId="730337ED">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软件系统升级前，供应商需对升级需求进行评估，明确升级目标、版本范围、功能变更、修复内容及影响范围，编制《升级可行性报告》和详细的升级方案，明确升级时间、升级步骤、回滚方案、应急措施及责任人，提前3个工作日书面告知学校，经学校同意后，选择非高峰时段（如夜间、周末）进行升级，避免影响师生正常通行和有关管理工作。升级过程中，供应商需安排专业技术人员全程值守，实时监控升级进度，及时处理升级过程中出现的各类异常问题，确保升级顺利完成。升级完成后，供应商需对软件系统进行全面测试，验证系统功能、性能、兼容性是否正常，数据是否完整无误，确保升级后系统运行稳定、功能正常。同时，中标供应商需提供升级后的技术支持和操作培训，指导学校管理人员熟悉升级后的软件功能和操作方法，及时解决升级后出现的各类问题。若升级过程中出现故障或升级后系统无法正常运行，供应商需立即启动回滚方案，恢复系统至升级前状态，并在规定时间内排查解决问题，重新组织升级。</w:t>
      </w:r>
    </w:p>
    <w:p w14:paraId="12BAC482">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5、系统数据库维护</w:t>
      </w:r>
    </w:p>
    <w:p w14:paraId="114A647B">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系统数据库维护涵盖本项目所有软件系统配套的数据库，包括人脸特征库、系统管理数据、通行记录数据、用户信息数据等，供应商需提供专业的数据库维护服务，保障数据库安全、稳定运行，确保数据完整、准确、可追溯，防止数据丢失、泄露、损坏等情况发生。供应商需建立数据库定期备份机制，每日进行1次增量备份，每周进行1次全量备份，每月进行1次备份验证，备份数据需存储在安全可靠的存储设备中，实行异地备份，确保备份数据可正常恢复。备份完成后，需详细记录备份情况，包括备份时间、备份内容、备份位置等信息，建立备份档案，定期对备份数据进行检查，确保备份数据的完整性和可用性。</w:t>
      </w:r>
    </w:p>
    <w:p w14:paraId="54DB7079">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需定期对数据库进行维护优化，包括数据库索引优化、查询语句优化、数据碎片清理、存储空间整理等，提升数据库运行速度和效率，避免因数据库卡顿、拥堵导致软件系统运行异常。同时，供应商需对数据库进行实时监控，及时发现数据库运行过程中出现的异常情况，如数据错误、数据库崩溃、存储空间不足等，第一时间进行排查和处理，确保数据库正常运行。针对数据库数据，供应商需提供数据整理、数据恢复、数据查询等服务，根据学校需求，协助学校进行数据统计、分析和导出，为学校通行管理工作提供数据支持。此外，供应商需严格遵守数据安全管理规定，建立数据安全防护机制，严禁泄露、篡改、滥用数据库中的各类数据，尤其是师生个人信息、人脸特征等敏感数据，确保数据安全。若发生数据丢失、泄露等情况，供应商需承担相应责任，并及时采取补救措施，减少损失。</w:t>
      </w:r>
    </w:p>
    <w:p w14:paraId="4AF7712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6、人员隐私数据管理保密</w:t>
      </w:r>
    </w:p>
    <w:p w14:paraId="16F7727C">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本项目维保服务涉及本校学生、管理人员等相关人员的人脸图像、身份信息等核心隐私数据，供应商须严格遵守《中华人民共和国民法典》《中华人民共和国网络安全法》《中华人民共和国个人信息保护法》等相关法律法规及采购人相关管理规定，建立完善的隐私数据安全管理体系，全面保障人员隐私数据的保密性、完整性和可用性。</w:t>
      </w:r>
    </w:p>
    <w:p w14:paraId="6BE5FF81">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在维保服务过程中，仅可在采购人授权范围内获取、使用相关隐私数据，严禁超出授权范围采集、存储、传输、泄露、篡改、出售或非法提供给任何第三方。针对人脸识别等涉及隐私数据的设备和系统，供应商须采取加密存储、访问权限管控、操作日志留存等安全技术措施，对数据进行分级分类管理，防止数据泄露、丢失或被非法访问。</w:t>
      </w:r>
    </w:p>
    <w:p w14:paraId="05E5F1B3">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应建立隐私数据保密管理制度，明确保密责任，对参与本项目的所有工作人员进行保密培训和考核，签订保密协议，明确保密义务及违约责任。保密义务不因本项目维保服务期限届满而终止，在服务终止后，供应商须按照采购人要求，及时删除或销毁所有获取的隐私数据及相关备份，不得留存任何副本；如需留存用于后续技术支持，须提前书面征得采购人同意，并持续履行保密义务。若发生隐私数据泄露、滥用等情况，供应商须第一时间向采购人报告，并采取有效措施挽回损失，同时承担由此给采购人造成的全部经济损失和法律责任。</w:t>
      </w:r>
    </w:p>
    <w:p w14:paraId="4F8C87AE">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7、系统功能调整优化</w:t>
      </w:r>
    </w:p>
    <w:p w14:paraId="5FEB8B0C">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供应商须结合采购人学校管理工作的实际需求，以及校园管理模式、政策要求的变化，为采购人提供灵活、高效的系统功能调整优化服务，确保闸机通道系统始终适配采购人的业务管理需求。</w:t>
      </w:r>
    </w:p>
    <w:p w14:paraId="700B2228">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针对系统平台软件的维保服务，供应商须建立常态化需求对接机制，定期与采购人沟通，了解业务需求变化情况，及时响应功能调整优化请求。调整优化内容包括但不限于：系统操作界面优化、用户权限调整、数据统计分析维度优化、业务流程适配、新增简易功能模块（如访客管理优化、通行记录查询优化等）、与学校现有管理系统的数据对接优化等。</w:t>
      </w:r>
    </w:p>
    <w:p w14:paraId="574D7B6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系统功能调整优化须遵循安全、稳定、高效的原则，供应商在实施调整前，须向采购人提交详细的调整方案，明确调整内容、实施步骤、所需时间、风险防控措施及测试方案，经采购人书面确认后方可实施。调整过程中，须做好数据备份和系统测试工作，避免影响系统正常运行和数据安全；调整完成后，须组织采购人相关人员进行验收，确保调整后的功能满足需求、运行稳定，同时提供详细的操作说明和技术文档。对于采购人提出的合理功能调整优化需求，供应商须在约定时间内完成，不得无故拖延或拒绝。</w:t>
      </w:r>
    </w:p>
    <w:p w14:paraId="375971E3">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8、系统功能模块优化升级</w:t>
      </w:r>
    </w:p>
    <w:p w14:paraId="48A6066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可以视图化方式实时统计、展示学生宿舍楼总览信息，内容包括房间总数、入住房间、入住人数、空余房间、剩余床位数、空余房间号等，并实时展示学生床位列表与在寝数据,内容包括学生个人在寝、未归、请假、实习等状态，可实现相关数据字段的导入导出等功能。</w:t>
      </w:r>
    </w:p>
    <w:p w14:paraId="592BFF2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9、线上报修服务</w:t>
      </w:r>
    </w:p>
    <w:p w14:paraId="25A560F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须搭建完善的线上报修服务，为采购人提供高效、便捷、透明的报修服务。供应商须安排专人负责线上报修服务的日常运维，确保系统24小时稳定运行，无卡顿、崩溃等情况；及时处理系统使用过程中出现的问题，为采购人管理人员和维修人员提供必要的操作指导。同时，建立报修响应机制，对于线上提交的报修申请，供应商须在30分钟内完成派单，确保维修工作及时启动，全程可追溯、可监督。</w:t>
      </w:r>
    </w:p>
    <w:p w14:paraId="391D25D9">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10、定期巡检</w:t>
      </w:r>
    </w:p>
    <w:p w14:paraId="6A89411D">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供应商须建立常态化定期巡检机制，对本项目涉及的所有设备和系统进行全面、细致的巡检，及时发现设备隐患、系统漏洞，提前进行维护和处理，降低故障发生率，延长设备使用寿命，保障系统长期稳定运行。</w:t>
      </w:r>
    </w:p>
    <w:p w14:paraId="066469A1">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巡检周期及内容：每月开展1次常规巡检，每季度开展1次全面巡检，每年开展1次专项巡检（针对核心设备和系统进行深度检测），包括寒暑假。常规巡检内容包括：各类闸机（单机芯、双机芯）的运行状态、开关门灵敏度、机械部件磨损情况；人脸识别设备的识别准确率、摄像头清晰度、网络连接情况；服务器、交换机等配套设备的运行状态、温度、网络连接稳定性；管理电脑、显示设备的运行状态、软件版本更新情况；管理平台系统的运行稳定性、数据同步情况、日志记录情况；护栏门的完好情况、防护措施落实情况等。全面巡检在常规巡检基础上，增加设备内部清洁、线路检查、软件漏洞扫描、系统性能优化、数据备份检测等内容；专项巡检重点针对核心设备（如服务器、系统管理平台等）进行深度检测、性能测试和隐患排查，确保核心设备无重大安全隐患。</w:t>
      </w:r>
    </w:p>
    <w:p w14:paraId="4E1A06F2">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巡检要求：供应商须制定详细的巡检计划，明确巡检时间、巡检人员、巡检内容、巡检标准及责任分工，每次巡检前提前通知采购人相关负责人，配合采购人开展巡检工作。巡检过程中，须做好详细的巡检记录，记录设备运行状态、发现的问题、处理措施及处理结果，巡检完成后，须向采购人提交巡检报告，由双方签字确认。对于巡检中发现的一般隐患，须当场整改；对于无法当场整改的重大隐患，须立即向采购人报告，提交隐患整改方案，明确整改措施、整改时间及责任人，经采购人确认后及时组织整改，整改完成后须进行复检，确保隐患彻底消除。同时，供应商须根据巡检情况，定期分析设备运行规律和故障高发点，提出针对性的维护建议，协助采购人优化设备管理工作。若未能按照上述约定及时提供服务的，采购人有权行使相应处罚权，如超过三次，将视为未能完全履行相关义务，合同终止，项目重新招标。</w:t>
      </w:r>
    </w:p>
    <w:p w14:paraId="71BF1A34">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11、备品备件</w:t>
      </w:r>
    </w:p>
    <w:p w14:paraId="0DBD8117">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须建立完善的备品备件管理制度，配备充足的备品备件，确保在设备故障、部件损坏时能够及时更换，保障维修工作顺利开展，缩短故障处置时间，避免因备品备件短缺导致系统长时间无法运行。备品备件的质量、规格须与本项目现有设备完全匹配，符合国家相关标准和设备厂家要求，确保更换后能够正常使用，且使用寿命不低于原有部件。</w:t>
      </w:r>
    </w:p>
    <w:p w14:paraId="23EF41F4">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备品备件储备要求：供应商须根据本项目设备清单，结合设备运行规律、易损部件特点，储备必要的备品备件，包括但不限于：闸机机芯、人脸识别面板机摄像头、传感器、电源适配器、网络模块、交换机端口、显示终端屏幕、高清线、保险丝等易损部件，以及核心设备的关键备件。备品备件的储备数量须满足应急维修和日常维护需求，其中核心易损部件的储备数量不低于对应设备数量的5%，关键备件须至少储备1套。供应商须建立备品备件台账，详细记录备品备件的名称、规格、型号、数量、采购时间、存放地点、领用情况等信息，定期对备品备件进行检查、维护和更新，确保备品备件处于良好状态，避免因存放不当、过期等导致无法使用。</w:t>
      </w:r>
    </w:p>
    <w:p w14:paraId="5EBFDA0D">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备品备件使用及补充：在维修过程中，如需使用备品备件，供应商须提前向采购人说明备品备件的名称、规格、用途及使用数量，经采购人确认后方可使用。使用后的废旧部件，须交由采购人统一处理，供应商不得擅自丢弃或带走。备品备件使用后，供应商须在15日内及时补充，确保备品备件储备量恢复至规定标准。若因特殊情况，部分备品备件无法及时补充，供应商须提前书面告知采购人，说明原因及预计补充时间，并采取临时替代措施，确保不影响维修工作和系统运行。此外，供应商须提供备品备件的质量保证，对所提供的备品备件实行不少于1年的质量保修，在保修期限内，若备品备件出现质量问题，供应商须免费更换。</w:t>
      </w:r>
    </w:p>
    <w:p w14:paraId="36A71E4F">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12、其他</w:t>
      </w:r>
    </w:p>
    <w:p w14:paraId="0130E6CE">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12.1系统改造和升级</w:t>
      </w:r>
    </w:p>
    <w:p w14:paraId="13D6C7BD">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如遇系统软件平台升级、设备迁移、业务部门规整等工作，中标人必须配合采购人和第三方进行工作。</w:t>
      </w:r>
    </w:p>
    <w:p w14:paraId="2C233D6F">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12.2业务技能培训</w:t>
      </w:r>
    </w:p>
    <w:p w14:paraId="64B4876B">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对采购人提出的培训要求，中标人将根据采购人的实际需求，积极配合采购人的工作，定期组织相关培训，完成一本维护保养常见问题的操作手册。</w:t>
      </w:r>
    </w:p>
    <w:p w14:paraId="3C699B8A">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★12.3技术服务支持</w:t>
      </w:r>
    </w:p>
    <w:p w14:paraId="75E42CA4">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投标人须承诺，基于本维保服务项目中的校门口出入管理系统、学生宿舍管理平台、第三方对接开发平台系统等软件系统产品，能够与学校现有设备（名称、型号详见维保需求）无缝对接并提供相应技术支持服务。投标人须在投标文件中提供承诺函文件并加盖公章，投标人须对其真实性负责。（如存在虚假承诺或承诺后无法实际履行义务的，采购人有权取消其中标资格，并追究其相应的责任后果）</w:t>
      </w:r>
    </w:p>
    <w:p w14:paraId="2F8EBCAC">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12.4供应商的提供的拟派本项目服务团队，在服务前需提供包含但不限于姓名、身份证、联系方式等，形成备忘录以供学校备案。服务期内，人员不可随意调换，若因不可抗力因素确需调换的，因提前5个日历天内，以书面形式递交报告至采购人，采购人同意后方可调换，调换的人员水平、职业资格等级等不得低于拟派本项目团队成员。</w:t>
      </w:r>
    </w:p>
    <w:p w14:paraId="19B86E64">
      <w:pPr>
        <w:pStyle w:val="49"/>
        <w:numPr>
          <w:ilvl w:val="0"/>
          <w:numId w:val="0"/>
        </w:numPr>
        <w:rPr>
          <w:rFonts w:hint="default"/>
          <w:lang w:val="en-US" w:eastAsia="zh-CN"/>
        </w:rPr>
      </w:pPr>
    </w:p>
    <w:p w14:paraId="0DAFB8FE">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Arial" w:hAnsi="Arial"/>
          <w:color w:val="auto"/>
          <w:kern w:val="2"/>
          <w:sz w:val="32"/>
          <w:szCs w:val="32"/>
          <w:highlight w:val="none"/>
          <w:lang w:val="en-US" w:eastAsia="zh-CN"/>
        </w:rPr>
      </w:pPr>
      <w:r>
        <w:rPr>
          <w:rFonts w:hint="eastAsia" w:ascii="宋体" w:hAnsi="宋体" w:eastAsia="宋体" w:cs="宋体"/>
          <w:color w:val="FF0000"/>
          <w:kern w:val="2"/>
          <w:sz w:val="22"/>
          <w:szCs w:val="22"/>
          <w:lang w:val="en-US" w:eastAsia="zh-CN" w:bidi="ar-SA"/>
        </w:rPr>
        <w:t xml:space="preserve">   </w:t>
      </w:r>
    </w:p>
    <w:p w14:paraId="0A659059">
      <w:pPr>
        <w:pStyle w:val="14"/>
        <w:rPr>
          <w:rFonts w:hint="eastAsia" w:ascii="Arial" w:hAnsi="Arial"/>
          <w:color w:val="auto"/>
          <w:kern w:val="2"/>
          <w:sz w:val="32"/>
          <w:szCs w:val="32"/>
          <w:highlight w:val="none"/>
          <w:lang w:val="en-US" w:eastAsia="zh-CN"/>
        </w:rPr>
      </w:pPr>
    </w:p>
    <w:p w14:paraId="66B07C57">
      <w:pPr>
        <w:pStyle w:val="14"/>
        <w:ind w:left="0" w:leftChars="0" w:firstLine="0" w:firstLineChars="0"/>
        <w:rPr>
          <w:rFonts w:hint="eastAsia" w:ascii="Arial" w:hAnsi="Arial"/>
          <w:color w:val="auto"/>
          <w:kern w:val="2"/>
          <w:sz w:val="32"/>
          <w:szCs w:val="32"/>
          <w:highlight w:val="none"/>
          <w:lang w:val="en-US" w:eastAsia="zh-CN"/>
        </w:rPr>
      </w:pPr>
    </w:p>
    <w:p w14:paraId="21087EDD">
      <w:pPr>
        <w:rPr>
          <w:rFonts w:hint="eastAsia" w:ascii="Arial" w:hAnsi="Arial"/>
          <w:color w:val="auto"/>
          <w:kern w:val="2"/>
          <w:sz w:val="32"/>
          <w:szCs w:val="32"/>
          <w:highlight w:val="none"/>
          <w:lang w:val="en-US" w:eastAsia="zh-CN"/>
        </w:rPr>
      </w:pPr>
    </w:p>
    <w:p w14:paraId="25A3D5CF">
      <w:pPr>
        <w:rPr>
          <w:rFonts w:hint="eastAsia" w:ascii="Arial" w:hAnsi="Arial"/>
          <w:color w:val="auto"/>
          <w:kern w:val="2"/>
          <w:sz w:val="32"/>
          <w:szCs w:val="32"/>
          <w:highlight w:val="none"/>
          <w:lang w:val="en-US" w:eastAsia="zh-CN"/>
        </w:rPr>
      </w:pPr>
    </w:p>
    <w:p w14:paraId="01F6DFA5">
      <w:pPr>
        <w:rPr>
          <w:rFonts w:hint="eastAsia" w:ascii="Arial" w:hAnsi="Arial"/>
          <w:color w:val="auto"/>
          <w:kern w:val="2"/>
          <w:sz w:val="32"/>
          <w:szCs w:val="32"/>
          <w:highlight w:val="none"/>
          <w:lang w:val="en-US" w:eastAsia="zh-CN"/>
        </w:rPr>
      </w:pPr>
    </w:p>
    <w:p w14:paraId="02AEC6B9">
      <w:pPr>
        <w:rPr>
          <w:rFonts w:hint="eastAsia" w:ascii="Arial" w:hAnsi="Arial"/>
          <w:color w:val="auto"/>
          <w:kern w:val="2"/>
          <w:sz w:val="32"/>
          <w:szCs w:val="32"/>
          <w:highlight w:val="none"/>
          <w:lang w:val="en-US" w:eastAsia="zh-CN"/>
        </w:rPr>
      </w:pPr>
    </w:p>
    <w:p w14:paraId="73403C8D">
      <w:pPr>
        <w:rPr>
          <w:rFonts w:hint="eastAsia" w:ascii="Arial" w:hAnsi="Arial"/>
          <w:color w:val="auto"/>
          <w:kern w:val="2"/>
          <w:sz w:val="32"/>
          <w:szCs w:val="32"/>
          <w:highlight w:val="none"/>
          <w:lang w:val="en-US" w:eastAsia="zh-CN"/>
        </w:rPr>
      </w:pPr>
    </w:p>
    <w:p w14:paraId="240AD916">
      <w:pPr>
        <w:rPr>
          <w:rFonts w:hint="eastAsia" w:ascii="Arial" w:hAnsi="Arial"/>
          <w:color w:val="auto"/>
          <w:kern w:val="2"/>
          <w:sz w:val="32"/>
          <w:szCs w:val="32"/>
          <w:highlight w:val="none"/>
          <w:lang w:val="en-US" w:eastAsia="zh-CN"/>
        </w:rPr>
      </w:pPr>
    </w:p>
    <w:p w14:paraId="225A7D8C">
      <w:pPr>
        <w:rPr>
          <w:rFonts w:hint="eastAsia" w:ascii="Arial" w:hAnsi="Arial"/>
          <w:color w:val="auto"/>
          <w:kern w:val="2"/>
          <w:sz w:val="32"/>
          <w:szCs w:val="32"/>
          <w:highlight w:val="none"/>
          <w:lang w:val="en-US" w:eastAsia="zh-CN"/>
        </w:rPr>
      </w:pPr>
    </w:p>
    <w:p w14:paraId="5DE98C2E">
      <w:pPr>
        <w:rPr>
          <w:rFonts w:hint="eastAsia" w:ascii="Arial" w:hAnsi="Arial"/>
          <w:color w:val="auto"/>
          <w:kern w:val="2"/>
          <w:sz w:val="32"/>
          <w:szCs w:val="32"/>
          <w:highlight w:val="none"/>
          <w:lang w:val="en-US" w:eastAsia="zh-CN"/>
        </w:rPr>
      </w:pPr>
    </w:p>
    <w:p w14:paraId="3B97AA2B">
      <w:pPr>
        <w:rPr>
          <w:rFonts w:hint="eastAsia" w:ascii="Arial" w:hAnsi="Arial"/>
          <w:color w:val="auto"/>
          <w:kern w:val="2"/>
          <w:sz w:val="32"/>
          <w:szCs w:val="32"/>
          <w:highlight w:val="none"/>
          <w:lang w:val="en-US" w:eastAsia="zh-CN"/>
        </w:rPr>
      </w:pPr>
    </w:p>
    <w:p w14:paraId="08DDB913">
      <w:pPr>
        <w:rPr>
          <w:rFonts w:hint="eastAsia" w:ascii="Arial" w:hAnsi="Arial"/>
          <w:color w:val="auto"/>
          <w:kern w:val="2"/>
          <w:sz w:val="32"/>
          <w:szCs w:val="32"/>
          <w:highlight w:val="none"/>
          <w:lang w:val="en-US" w:eastAsia="zh-CN"/>
        </w:rPr>
      </w:pPr>
    </w:p>
    <w:p w14:paraId="29F9C5B2">
      <w:pPr>
        <w:rPr>
          <w:rFonts w:hint="eastAsia" w:ascii="Arial" w:hAnsi="Arial"/>
          <w:color w:val="auto"/>
          <w:kern w:val="2"/>
          <w:sz w:val="32"/>
          <w:szCs w:val="32"/>
          <w:highlight w:val="none"/>
          <w:lang w:val="en-US" w:eastAsia="zh-CN"/>
        </w:rPr>
      </w:pPr>
    </w:p>
    <w:p w14:paraId="340F95AA">
      <w:pPr>
        <w:rPr>
          <w:rFonts w:hint="eastAsia" w:ascii="Arial" w:hAnsi="Arial"/>
          <w:color w:val="auto"/>
          <w:kern w:val="2"/>
          <w:sz w:val="32"/>
          <w:szCs w:val="32"/>
          <w:highlight w:val="none"/>
          <w:lang w:val="en-US" w:eastAsia="zh-CN"/>
        </w:rPr>
      </w:pPr>
    </w:p>
    <w:p w14:paraId="58F86E94">
      <w:pPr>
        <w:rPr>
          <w:rFonts w:hint="eastAsia" w:ascii="Arial" w:hAnsi="Arial"/>
          <w:color w:val="auto"/>
          <w:kern w:val="2"/>
          <w:sz w:val="32"/>
          <w:szCs w:val="32"/>
          <w:highlight w:val="none"/>
          <w:lang w:val="en-US" w:eastAsia="zh-CN"/>
        </w:rPr>
      </w:pPr>
    </w:p>
    <w:p w14:paraId="28D4ED91">
      <w:pPr>
        <w:pStyle w:val="3"/>
        <w:pageBreakBefore w:val="0"/>
        <w:numPr>
          <w:ilvl w:val="0"/>
          <w:numId w:val="0"/>
        </w:numPr>
        <w:kinsoku/>
        <w:overflowPunct/>
        <w:topLinePunct w:val="0"/>
        <w:autoSpaceDE/>
        <w:autoSpaceDN/>
        <w:bidi w:val="0"/>
        <w:spacing w:beforeAutospacing="0" w:after="0" w:afterAutospacing="0" w:line="500" w:lineRule="exact"/>
        <w:ind w:left="0" w:leftChars="0" w:right="0" w:firstLine="640" w:firstLineChars="20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第四章 评</w:t>
      </w:r>
      <w:r>
        <w:rPr>
          <w:rFonts w:hint="eastAsia" w:ascii="Arial" w:hAnsi="Arial"/>
          <w:strike w:val="0"/>
          <w:dstrike w:val="0"/>
          <w:color w:val="auto"/>
          <w:kern w:val="2"/>
          <w:sz w:val="32"/>
          <w:szCs w:val="32"/>
          <w:highlight w:val="none"/>
          <w:lang w:val="en-US" w:eastAsia="zh-CN"/>
        </w:rPr>
        <w:t>审方</w:t>
      </w:r>
      <w:r>
        <w:rPr>
          <w:rFonts w:hint="eastAsia" w:ascii="Arial" w:hAnsi="Arial"/>
          <w:color w:val="auto"/>
          <w:kern w:val="2"/>
          <w:sz w:val="32"/>
          <w:szCs w:val="32"/>
          <w:highlight w:val="none"/>
          <w:lang w:val="en-US" w:eastAsia="zh-CN"/>
        </w:rPr>
        <w:t>法与标准</w:t>
      </w:r>
      <w:bookmarkEnd w:id="48"/>
    </w:p>
    <w:p w14:paraId="5A12204F">
      <w:pPr>
        <w:numPr>
          <w:ilvl w:val="0"/>
          <w:numId w:val="0"/>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widowControl/>
        <w:numPr>
          <w:ilvl w:val="0"/>
          <w:numId w:val="0"/>
        </w:num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本项目将按照磋商文件第二章 供应商须知的相关要求及本章的规定评</w:t>
      </w:r>
      <w:r>
        <w:rPr>
          <w:rFonts w:hint="eastAsia"/>
          <w:strike w:val="0"/>
          <w:dstrike w:val="0"/>
          <w:color w:val="auto"/>
          <w:highlight w:val="none"/>
          <w:lang w:val="en-US" w:eastAsia="zh-CN"/>
        </w:rPr>
        <w:t>审</w:t>
      </w:r>
      <w:r>
        <w:rPr>
          <w:rFonts w:hint="eastAsia"/>
          <w:color w:val="auto"/>
          <w:highlight w:val="none"/>
          <w:lang w:val="en-US" w:eastAsia="zh-CN"/>
        </w:rPr>
        <w:t>。</w:t>
      </w:r>
    </w:p>
    <w:p w14:paraId="3224582E">
      <w:pPr>
        <w:numPr>
          <w:ilvl w:val="0"/>
          <w:numId w:val="1"/>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评审方法：</w:t>
      </w:r>
    </w:p>
    <w:p w14:paraId="37AF9AB9">
      <w:pPr>
        <w:numPr>
          <w:ilvl w:val="0"/>
          <w:numId w:val="0"/>
        </w:numPr>
        <w:spacing w:line="360" w:lineRule="auto"/>
        <w:ind w:firstLine="420" w:firstLineChars="200"/>
        <w:rPr>
          <w:rFonts w:hint="default"/>
          <w:color w:val="auto"/>
          <w:sz w:val="21"/>
          <w:szCs w:val="21"/>
          <w:highlight w:val="none"/>
          <w:lang w:val="en-US" w:eastAsia="zh-CN"/>
        </w:rPr>
      </w:pPr>
      <w:r>
        <w:rPr>
          <w:rFonts w:hint="eastAsia"/>
          <w:color w:val="auto"/>
          <w:sz w:val="21"/>
          <w:szCs w:val="21"/>
          <w:highlight w:val="none"/>
          <w:lang w:val="en-US" w:eastAsia="zh-CN"/>
        </w:rPr>
        <w:t>磋商</w:t>
      </w:r>
      <w:r>
        <w:rPr>
          <w:rFonts w:hint="default"/>
          <w:color w:val="auto"/>
          <w:sz w:val="21"/>
          <w:szCs w:val="21"/>
          <w:highlight w:val="none"/>
          <w:lang w:val="en-US" w:eastAsia="zh-CN"/>
        </w:rPr>
        <w:t>小组对供应商的响应文件进行初审，以确定其是否满足</w:t>
      </w:r>
      <w:r>
        <w:rPr>
          <w:rFonts w:hint="eastAsia"/>
          <w:color w:val="auto"/>
          <w:sz w:val="21"/>
          <w:szCs w:val="21"/>
          <w:highlight w:val="none"/>
          <w:lang w:val="en-US" w:eastAsia="zh-CN"/>
        </w:rPr>
        <w:t>磋商</w:t>
      </w:r>
      <w:r>
        <w:rPr>
          <w:rFonts w:hint="default"/>
          <w:color w:val="auto"/>
          <w:sz w:val="21"/>
          <w:szCs w:val="21"/>
          <w:highlight w:val="none"/>
          <w:lang w:val="en-US" w:eastAsia="zh-CN"/>
        </w:rPr>
        <w:t>文件的实质性要求。</w:t>
      </w:r>
    </w:p>
    <w:p w14:paraId="20C01C30">
      <w:pPr>
        <w:numPr>
          <w:ilvl w:val="0"/>
          <w:numId w:val="0"/>
        </w:numPr>
        <w:spacing w:line="360" w:lineRule="auto"/>
        <w:rPr>
          <w:rFonts w:hint="default"/>
          <w:color w:val="auto"/>
          <w:sz w:val="21"/>
          <w:szCs w:val="21"/>
          <w:highlight w:val="none"/>
          <w:lang w:val="en-US"/>
        </w:rPr>
      </w:pPr>
      <w:r>
        <w:rPr>
          <w:rFonts w:hint="default"/>
          <w:color w:val="auto"/>
          <w:sz w:val="21"/>
          <w:szCs w:val="21"/>
          <w:highlight w:val="none"/>
          <w:lang w:val="en-US" w:eastAsia="zh-CN"/>
        </w:rPr>
        <w:t>初审表如下</w:t>
      </w:r>
      <w:r>
        <w:rPr>
          <w:rFonts w:hint="eastAsia"/>
          <w:color w:val="auto"/>
          <w:sz w:val="21"/>
          <w:szCs w:val="21"/>
          <w:highlight w:val="none"/>
          <w:lang w:val="en-US" w:eastAsia="zh-CN"/>
        </w:rPr>
        <w:t>：</w:t>
      </w:r>
    </w:p>
    <w:tbl>
      <w:tblPr>
        <w:tblStyle w:val="41"/>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912"/>
        <w:gridCol w:w="4763"/>
        <w:gridCol w:w="1943"/>
      </w:tblGrid>
      <w:tr w14:paraId="7B9A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86" w:type="dxa"/>
            <w:gridSpan w:val="4"/>
            <w:tcBorders>
              <w:bottom w:val="single" w:color="auto" w:sz="4" w:space="0"/>
            </w:tcBorders>
            <w:vAlign w:val="center"/>
          </w:tcPr>
          <w:p w14:paraId="1EE22967">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b/>
                <w:color w:val="auto"/>
                <w:sz w:val="21"/>
                <w:szCs w:val="21"/>
                <w:highlight w:val="none"/>
                <w:lang w:val="en-US" w:eastAsia="zh-CN"/>
              </w:rPr>
              <w:t>初审表</w:t>
            </w:r>
          </w:p>
        </w:tc>
      </w:tr>
      <w:tr w14:paraId="1709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tcBorders>
              <w:bottom w:val="single" w:color="auto" w:sz="4" w:space="0"/>
            </w:tcBorders>
            <w:vAlign w:val="center"/>
          </w:tcPr>
          <w:p w14:paraId="59EFF6B4">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1912" w:type="dxa"/>
            <w:tcBorders>
              <w:bottom w:val="single" w:color="auto" w:sz="4" w:space="0"/>
            </w:tcBorders>
            <w:vAlign w:val="center"/>
          </w:tcPr>
          <w:p w14:paraId="2604D046">
            <w:pPr>
              <w:pStyle w:val="133"/>
              <w:pBdr>
                <w:bottom w:val="none" w:color="auto" w:sz="0" w:space="0"/>
              </w:pBdr>
              <w:tabs>
                <w:tab w:val="clear" w:pos="4153"/>
                <w:tab w:val="clear" w:pos="8306"/>
              </w:tabs>
              <w:snapToGrid w:val="0"/>
              <w:spacing w:line="360" w:lineRule="auto"/>
              <w:ind w:right="-10"/>
              <w:jc w:val="center"/>
              <w:textAlignment w:val="auto"/>
              <w:rPr>
                <w:rFonts w:ascii="宋体" w:hAnsi="宋体" w:cs="宋体"/>
                <w:b/>
                <w:bCs/>
                <w:color w:val="auto"/>
                <w:kern w:val="2"/>
                <w:sz w:val="21"/>
                <w:szCs w:val="21"/>
                <w:highlight w:val="none"/>
              </w:rPr>
            </w:pPr>
            <w:r>
              <w:rPr>
                <w:rFonts w:hint="eastAsia" w:ascii="宋体" w:hAnsi="宋体" w:cs="宋体"/>
                <w:b/>
                <w:bCs/>
                <w:color w:val="auto"/>
                <w:kern w:val="2"/>
                <w:sz w:val="21"/>
                <w:szCs w:val="21"/>
                <w:highlight w:val="none"/>
                <w:lang w:val="en-US" w:eastAsia="zh-CN"/>
              </w:rPr>
              <w:t>审查</w:t>
            </w:r>
            <w:r>
              <w:rPr>
                <w:rFonts w:hint="eastAsia" w:ascii="宋体" w:hAnsi="宋体" w:cs="宋体"/>
                <w:b/>
                <w:bCs/>
                <w:color w:val="auto"/>
                <w:kern w:val="2"/>
                <w:sz w:val="21"/>
                <w:szCs w:val="21"/>
                <w:highlight w:val="none"/>
              </w:rPr>
              <w:t>指标</w:t>
            </w:r>
          </w:p>
        </w:tc>
        <w:tc>
          <w:tcPr>
            <w:tcW w:w="4763" w:type="dxa"/>
            <w:tcBorders>
              <w:bottom w:val="single" w:color="auto" w:sz="4" w:space="0"/>
            </w:tcBorders>
            <w:vAlign w:val="center"/>
          </w:tcPr>
          <w:p w14:paraId="2AF914D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审查</w:t>
            </w:r>
            <w:r>
              <w:rPr>
                <w:rFonts w:hint="eastAsia" w:ascii="宋体" w:hAnsi="宋体" w:cs="宋体"/>
                <w:b/>
                <w:bCs/>
                <w:color w:val="auto"/>
                <w:sz w:val="21"/>
                <w:szCs w:val="21"/>
                <w:highlight w:val="none"/>
              </w:rPr>
              <w:t>标准</w:t>
            </w:r>
          </w:p>
        </w:tc>
        <w:tc>
          <w:tcPr>
            <w:tcW w:w="1943" w:type="dxa"/>
            <w:tcBorders>
              <w:bottom w:val="single" w:color="auto" w:sz="4" w:space="0"/>
            </w:tcBorders>
            <w:vAlign w:val="center"/>
          </w:tcPr>
          <w:p w14:paraId="223E4E9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格式要求</w:t>
            </w:r>
          </w:p>
        </w:tc>
      </w:tr>
      <w:tr w14:paraId="3598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68" w:type="dxa"/>
            <w:vAlign w:val="center"/>
          </w:tcPr>
          <w:p w14:paraId="284B7FFB">
            <w:pPr>
              <w:adjustRightInd w:val="0"/>
              <w:snapToGrid w:val="0"/>
              <w:spacing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12" w:type="dxa"/>
            <w:vAlign w:val="center"/>
          </w:tcPr>
          <w:p w14:paraId="2CA9A6B2">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营业执照等</w:t>
            </w:r>
          </w:p>
          <w:p w14:paraId="1FDD76E0">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证明文件</w:t>
            </w:r>
          </w:p>
        </w:tc>
        <w:tc>
          <w:tcPr>
            <w:tcW w:w="4763" w:type="dxa"/>
            <w:tcBorders>
              <w:bottom w:val="single" w:color="auto" w:sz="4" w:space="0"/>
            </w:tcBorders>
            <w:vAlign w:val="center"/>
          </w:tcPr>
          <w:p w14:paraId="054729C8">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为企业（包括合伙企业）的，应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供有效的营业执照；</w:t>
            </w:r>
          </w:p>
          <w:p w14:paraId="76B2CB9E">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为事业单位的，应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供有效的事业单位法人证书；</w:t>
            </w:r>
          </w:p>
          <w:p w14:paraId="054359BF">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是非企业机构的，应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供有效的执业许可证</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登记证书等证明文件；</w:t>
            </w:r>
          </w:p>
          <w:p w14:paraId="23D005CB">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是个体工商户的，应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供有效的个体工商户营业执照；</w:t>
            </w:r>
          </w:p>
          <w:p w14:paraId="56B3597D">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是自然人的，应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供有效的自然人身份证明。</w:t>
            </w:r>
          </w:p>
        </w:tc>
        <w:tc>
          <w:tcPr>
            <w:tcW w:w="1943" w:type="dxa"/>
            <w:vAlign w:val="center"/>
          </w:tcPr>
          <w:p w14:paraId="3920FDCB">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lang w:eastAsia="zh-CN"/>
              </w:rPr>
              <w:t>扫描件</w:t>
            </w:r>
            <w:r>
              <w:rPr>
                <w:rFonts w:hint="eastAsia" w:ascii="宋体" w:hAnsi="宋体" w:eastAsia="宋体" w:cs="宋体"/>
                <w:color w:val="auto"/>
                <w:sz w:val="21"/>
                <w:szCs w:val="21"/>
                <w:highlight w:val="none"/>
                <w:lang w:val="en-US" w:eastAsia="zh-CN"/>
              </w:rPr>
              <w:t>或电子证照</w:t>
            </w:r>
            <w:r>
              <w:rPr>
                <w:rFonts w:hint="eastAsia" w:ascii="宋体" w:hAnsi="宋体" w:eastAsia="宋体" w:cs="宋体"/>
                <w:color w:val="auto"/>
                <w:sz w:val="21"/>
                <w:szCs w:val="21"/>
                <w:highlight w:val="none"/>
                <w:lang w:eastAsia="zh-CN"/>
              </w:rPr>
              <w:t>，应完整的体现出</w:t>
            </w:r>
            <w:r>
              <w:rPr>
                <w:rFonts w:hint="eastAsia" w:ascii="宋体" w:hAnsi="宋体" w:eastAsia="宋体" w:cs="宋体"/>
                <w:color w:val="auto"/>
                <w:sz w:val="21"/>
                <w:szCs w:val="21"/>
                <w:highlight w:val="none"/>
                <w:lang w:val="en-US" w:eastAsia="zh-CN"/>
              </w:rPr>
              <w:t>材料或电子证照</w:t>
            </w:r>
            <w:r>
              <w:rPr>
                <w:rFonts w:hint="eastAsia" w:ascii="宋体" w:hAnsi="宋体" w:eastAsia="宋体" w:cs="宋体"/>
                <w:color w:val="auto"/>
                <w:sz w:val="21"/>
                <w:szCs w:val="21"/>
                <w:highlight w:val="none"/>
                <w:lang w:eastAsia="zh-CN"/>
              </w:rPr>
              <w:t>全部内容。联合体</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lang w:eastAsia="zh-CN"/>
              </w:rPr>
              <w:t>的联合体各方均须提供。</w:t>
            </w:r>
          </w:p>
        </w:tc>
      </w:tr>
      <w:tr w14:paraId="1736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8" w:type="dxa"/>
            <w:tcBorders>
              <w:bottom w:val="single" w:color="auto" w:sz="4" w:space="0"/>
            </w:tcBorders>
            <w:vAlign w:val="center"/>
          </w:tcPr>
          <w:p w14:paraId="49318B3E">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912" w:type="dxa"/>
            <w:tcBorders>
              <w:bottom w:val="single" w:color="auto" w:sz="4" w:space="0"/>
            </w:tcBorders>
            <w:vAlign w:val="center"/>
          </w:tcPr>
          <w:p w14:paraId="6F5564F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供应商资格声明书</w:t>
            </w:r>
          </w:p>
        </w:tc>
        <w:tc>
          <w:tcPr>
            <w:tcW w:w="4763" w:type="dxa"/>
            <w:tcBorders>
              <w:bottom w:val="single" w:color="auto" w:sz="4" w:space="0"/>
            </w:tcBorders>
            <w:vAlign w:val="center"/>
          </w:tcPr>
          <w:p w14:paraId="2DC38C9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供符合</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资格声明书》</w:t>
            </w:r>
            <w:r>
              <w:rPr>
                <w:rFonts w:hint="eastAsia" w:ascii="宋体" w:hAnsi="宋体" w:eastAsia="宋体" w:cs="宋体"/>
                <w:color w:val="auto"/>
                <w:sz w:val="21"/>
                <w:szCs w:val="21"/>
                <w:highlight w:val="none"/>
                <w:lang w:eastAsia="zh-CN"/>
              </w:rPr>
              <w:t>。</w:t>
            </w:r>
          </w:p>
        </w:tc>
        <w:tc>
          <w:tcPr>
            <w:tcW w:w="1943" w:type="dxa"/>
            <w:tcBorders>
              <w:bottom w:val="single" w:color="auto" w:sz="4" w:space="0"/>
            </w:tcBorders>
            <w:vAlign w:val="center"/>
          </w:tcPr>
          <w:p w14:paraId="4EF23DD3">
            <w:pPr>
              <w:spacing w:line="360" w:lineRule="auto"/>
              <w:jc w:val="center"/>
              <w:rPr>
                <w:rFonts w:hint="eastAsia"/>
                <w:sz w:val="21"/>
                <w:szCs w:val="21"/>
              </w:rPr>
            </w:pPr>
            <w:r>
              <w:rPr>
                <w:rFonts w:hint="eastAsia"/>
                <w:sz w:val="21"/>
                <w:szCs w:val="21"/>
              </w:rPr>
              <w:t>详见第六章</w:t>
            </w:r>
            <w:r>
              <w:rPr>
                <w:rFonts w:hint="eastAsia"/>
                <w:sz w:val="21"/>
                <w:szCs w:val="21"/>
                <w:lang w:val="en-US" w:eastAsia="zh-CN"/>
              </w:rPr>
              <w:t>响应</w:t>
            </w:r>
            <w:r>
              <w:rPr>
                <w:rFonts w:hint="eastAsia"/>
                <w:sz w:val="21"/>
                <w:szCs w:val="21"/>
              </w:rPr>
              <w:t>文件格式</w:t>
            </w:r>
            <w:r>
              <w:rPr>
                <w:rFonts w:hint="eastAsia"/>
                <w:sz w:val="21"/>
                <w:szCs w:val="21"/>
                <w:lang w:eastAsia="zh-CN"/>
              </w:rPr>
              <w:t>。</w:t>
            </w:r>
          </w:p>
        </w:tc>
      </w:tr>
      <w:tr w14:paraId="52AF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tcBorders>
              <w:bottom w:val="single" w:color="auto" w:sz="4" w:space="0"/>
            </w:tcBorders>
            <w:vAlign w:val="center"/>
          </w:tcPr>
          <w:p w14:paraId="73580BA3">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912" w:type="dxa"/>
            <w:tcBorders>
              <w:bottom w:val="single" w:color="auto" w:sz="4" w:space="0"/>
            </w:tcBorders>
            <w:vAlign w:val="center"/>
          </w:tcPr>
          <w:p w14:paraId="55D43FDD">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供应商信用记录</w:t>
            </w:r>
          </w:p>
        </w:tc>
        <w:tc>
          <w:tcPr>
            <w:tcW w:w="4763" w:type="dxa"/>
            <w:tcBorders>
              <w:bottom w:val="single" w:color="auto" w:sz="4" w:space="0"/>
            </w:tcBorders>
            <w:vAlign w:val="center"/>
          </w:tcPr>
          <w:p w14:paraId="71749F0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不得存在</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须知正文第1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3条中</w:t>
            </w:r>
            <w:r>
              <w:rPr>
                <w:rFonts w:hint="eastAsia" w:ascii="宋体" w:hAnsi="宋体" w:eastAsia="宋体" w:cs="宋体"/>
                <w:color w:val="auto"/>
                <w:sz w:val="21"/>
                <w:szCs w:val="21"/>
                <w:highlight w:val="none"/>
              </w:rPr>
              <w:t>的不良信用记录情形</w:t>
            </w:r>
          </w:p>
        </w:tc>
        <w:tc>
          <w:tcPr>
            <w:tcW w:w="1943" w:type="dxa"/>
            <w:tcBorders>
              <w:bottom w:val="single" w:color="auto" w:sz="4" w:space="0"/>
            </w:tcBorders>
            <w:vAlign w:val="center"/>
          </w:tcPr>
          <w:p w14:paraId="6347C87C">
            <w:pPr>
              <w:spacing w:line="360" w:lineRule="auto"/>
              <w:jc w:val="center"/>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无须</w:t>
            </w:r>
            <w:r>
              <w:rPr>
                <w:rFonts w:hint="default" w:ascii="宋体" w:hAnsi="宋体" w:eastAsia="宋体" w:cs="宋体"/>
                <w:color w:val="auto"/>
                <w:sz w:val="21"/>
                <w:szCs w:val="21"/>
                <w:highlight w:val="none"/>
                <w:lang w:val="en-US" w:eastAsia="zh-CN"/>
              </w:rPr>
              <w:t>供应商提</w:t>
            </w:r>
            <w:r>
              <w:rPr>
                <w:rFonts w:hint="default" w:ascii="宋体" w:hAnsi="宋体" w:eastAsia="宋体" w:cs="宋体"/>
                <w:color w:val="auto"/>
                <w:sz w:val="21"/>
                <w:szCs w:val="21"/>
                <w:highlight w:val="none"/>
                <w:lang w:val="en-US"/>
              </w:rPr>
              <w:t>供，由采购人或采购代理机构查询。</w:t>
            </w:r>
          </w:p>
        </w:tc>
      </w:tr>
      <w:tr w14:paraId="55FF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Align w:val="center"/>
          </w:tcPr>
          <w:p w14:paraId="62A476E2">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912" w:type="dxa"/>
            <w:vAlign w:val="center"/>
          </w:tcPr>
          <w:p w14:paraId="03CB29AA">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磋商响应函</w:t>
            </w:r>
          </w:p>
        </w:tc>
        <w:tc>
          <w:tcPr>
            <w:tcW w:w="4763" w:type="dxa"/>
            <w:vAlign w:val="center"/>
          </w:tcPr>
          <w:p w14:paraId="50E5D2E1">
            <w:pPr>
              <w:spacing w:after="50"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格式、填写要求符合磋商文件规定并</w:t>
            </w:r>
            <w:r>
              <w:rPr>
                <w:rFonts w:hint="eastAsia" w:ascii="宋体" w:hAnsi="宋体" w:cs="宋体"/>
                <w:color w:val="auto"/>
                <w:sz w:val="21"/>
                <w:szCs w:val="21"/>
                <w:highlight w:val="none"/>
                <w:lang w:val="en-US" w:eastAsia="zh-CN"/>
              </w:rPr>
              <w:t>签章</w:t>
            </w:r>
          </w:p>
        </w:tc>
        <w:tc>
          <w:tcPr>
            <w:tcW w:w="1943" w:type="dxa"/>
            <w:vAlign w:val="center"/>
          </w:tcPr>
          <w:p w14:paraId="52BB4524">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详见第六章响应文件格式。</w:t>
            </w:r>
          </w:p>
        </w:tc>
      </w:tr>
      <w:tr w14:paraId="5889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Align w:val="center"/>
          </w:tcPr>
          <w:p w14:paraId="785D24C0">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912" w:type="dxa"/>
            <w:vAlign w:val="center"/>
          </w:tcPr>
          <w:p w14:paraId="7E69903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授权书</w:t>
            </w:r>
          </w:p>
        </w:tc>
        <w:tc>
          <w:tcPr>
            <w:tcW w:w="4763" w:type="dxa"/>
            <w:vAlign w:val="center"/>
          </w:tcPr>
          <w:p w14:paraId="59ADEC2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格式、填写要求符合磋商文件规定并签章</w:t>
            </w:r>
          </w:p>
        </w:tc>
        <w:tc>
          <w:tcPr>
            <w:tcW w:w="1943" w:type="dxa"/>
            <w:vAlign w:val="center"/>
          </w:tcPr>
          <w:p w14:paraId="5949B6B4">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法定代表人参加磋商的无需此件，提供身份证明即可。详见第六章响应文件格式。</w:t>
            </w:r>
          </w:p>
        </w:tc>
      </w:tr>
      <w:tr w14:paraId="65D8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668" w:type="dxa"/>
            <w:vAlign w:val="center"/>
          </w:tcPr>
          <w:p w14:paraId="3F3601DB">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912" w:type="dxa"/>
            <w:vAlign w:val="center"/>
          </w:tcPr>
          <w:p w14:paraId="6C8C2FFC">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磋商</w:t>
            </w:r>
            <w:r>
              <w:rPr>
                <w:rFonts w:hint="eastAsia" w:asciiTheme="minorEastAsia" w:hAnsiTheme="minorEastAsia" w:eastAsiaTheme="minorEastAsia"/>
                <w:color w:val="auto"/>
                <w:sz w:val="21"/>
                <w:szCs w:val="21"/>
                <w:highlight w:val="none"/>
              </w:rPr>
              <w:t>报价</w:t>
            </w:r>
          </w:p>
        </w:tc>
        <w:tc>
          <w:tcPr>
            <w:tcW w:w="4763" w:type="dxa"/>
            <w:vAlign w:val="center"/>
          </w:tcPr>
          <w:p w14:paraId="60966DE8">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符合磋商文件供应商须知正文第9条要求</w:t>
            </w:r>
          </w:p>
        </w:tc>
        <w:tc>
          <w:tcPr>
            <w:tcW w:w="1943" w:type="dxa"/>
            <w:vAlign w:val="center"/>
          </w:tcPr>
          <w:p w14:paraId="4A4B7CA9">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详见第六章响应文件格式。  </w:t>
            </w:r>
          </w:p>
        </w:tc>
      </w:tr>
      <w:tr w14:paraId="6999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68" w:type="dxa"/>
            <w:vAlign w:val="center"/>
          </w:tcPr>
          <w:p w14:paraId="3A33AB54">
            <w:pPr>
              <w:adjustRightInd w:val="0"/>
              <w:snapToGrid w:val="0"/>
              <w:spacing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912" w:type="dxa"/>
            <w:vAlign w:val="center"/>
          </w:tcPr>
          <w:p w14:paraId="5986EBEB">
            <w:pPr>
              <w:spacing w:after="50" w:line="360" w:lineRule="auto"/>
              <w:ind w:right="-1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其他要求</w:t>
            </w:r>
          </w:p>
        </w:tc>
        <w:tc>
          <w:tcPr>
            <w:tcW w:w="4763" w:type="dxa"/>
            <w:vAlign w:val="center"/>
          </w:tcPr>
          <w:p w14:paraId="50E6B8BF">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符合法律、行政法规</w:t>
            </w:r>
          </w:p>
        </w:tc>
        <w:tc>
          <w:tcPr>
            <w:tcW w:w="1943" w:type="dxa"/>
            <w:vAlign w:val="center"/>
          </w:tcPr>
          <w:p w14:paraId="5F9AA852">
            <w:pPr>
              <w:spacing w:after="50" w:line="360" w:lineRule="auto"/>
              <w:ind w:right="-10" w:rightChars="0"/>
              <w:jc w:val="center"/>
              <w:rPr>
                <w:rFonts w:hint="eastAsia" w:ascii="宋体" w:hAnsi="宋体" w:eastAsia="宋体" w:cs="宋体"/>
                <w:color w:val="auto"/>
                <w:sz w:val="21"/>
                <w:szCs w:val="21"/>
                <w:highlight w:val="none"/>
              </w:rPr>
            </w:pPr>
          </w:p>
        </w:tc>
      </w:tr>
    </w:tbl>
    <w:p w14:paraId="1279881D">
      <w:pPr>
        <w:numPr>
          <w:ilvl w:val="0"/>
          <w:numId w:val="0"/>
        </w:numPr>
        <w:ind w:firstLine="211" w:firstLineChars="100"/>
        <w:rPr>
          <w:rFonts w:hint="eastAsia" w:ascii="宋体" w:hAnsi="宋体" w:cs="宋体"/>
          <w:b w:val="0"/>
          <w:bCs/>
          <w:color w:val="auto"/>
          <w:sz w:val="21"/>
          <w:szCs w:val="21"/>
          <w:highlight w:val="none"/>
          <w:lang w:val="en-US" w:eastAsia="zh-CN"/>
        </w:rPr>
      </w:pPr>
      <w:bookmarkStart w:id="49" w:name="_Toc28300"/>
      <w:bookmarkStart w:id="50" w:name="_Toc3977"/>
      <w:bookmarkStart w:id="51" w:name="_Toc7241"/>
      <w:bookmarkStart w:id="52" w:name="_Toc27586"/>
      <w:bookmarkStart w:id="53" w:name="_Toc431"/>
      <w:r>
        <w:rPr>
          <w:rFonts w:hint="eastAsia" w:ascii="宋体" w:hAnsi="宋体" w:cs="宋体"/>
          <w:b/>
          <w:bCs w:val="0"/>
          <w:color w:val="auto"/>
          <w:sz w:val="21"/>
          <w:szCs w:val="21"/>
          <w:highlight w:val="none"/>
          <w:lang w:val="en-US" w:eastAsia="zh-CN"/>
        </w:rPr>
        <w:t>初审指标通过标准：</w:t>
      </w:r>
      <w:r>
        <w:rPr>
          <w:rFonts w:hint="eastAsia" w:ascii="宋体" w:hAnsi="宋体" w:cs="宋体"/>
          <w:b w:val="0"/>
          <w:bCs/>
          <w:color w:val="auto"/>
          <w:sz w:val="21"/>
          <w:szCs w:val="21"/>
          <w:highlight w:val="none"/>
          <w:lang w:val="en-US" w:eastAsia="zh-CN"/>
        </w:rPr>
        <w:t>供应商必须通过初审表中的全部评审指标。</w:t>
      </w:r>
    </w:p>
    <w:p w14:paraId="36AFE1D6">
      <w:pPr>
        <w:numPr>
          <w:ilvl w:val="0"/>
          <w:numId w:val="0"/>
        </w:numPr>
        <w:rPr>
          <w:rFonts w:hint="eastAsia" w:ascii="宋体" w:hAnsi="宋体" w:cs="宋体"/>
          <w:b w:val="0"/>
          <w:bCs/>
          <w:color w:val="auto"/>
          <w:sz w:val="21"/>
          <w:szCs w:val="21"/>
          <w:highlight w:val="none"/>
          <w:lang w:val="en-US" w:eastAsia="zh-CN"/>
        </w:rPr>
      </w:pPr>
    </w:p>
    <w:p w14:paraId="1801C756">
      <w:pPr>
        <w:spacing w:line="360" w:lineRule="auto"/>
        <w:ind w:firstLine="210" w:firstLineChars="1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2、异常低价响应审查</w:t>
      </w:r>
    </w:p>
    <w:tbl>
      <w:tblPr>
        <w:tblStyle w:val="41"/>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0A55AF2A">
            <w:pPr>
              <w:spacing w:line="360" w:lineRule="auto"/>
              <w:jc w:val="center"/>
              <w:rPr>
                <w:rFonts w:ascii="宋体" w:hAnsi="宋体" w:eastAsia="宋体"/>
                <w:sz w:val="21"/>
                <w:szCs w:val="21"/>
                <w:highlight w:val="none"/>
              </w:rPr>
            </w:pPr>
            <w:r>
              <w:rPr>
                <w:rFonts w:hint="eastAsia" w:ascii="宋体" w:hAnsi="宋体" w:eastAsia="宋体" w:cs="宋体"/>
                <w:b/>
                <w:bCs/>
                <w:color w:val="auto"/>
                <w:sz w:val="21"/>
                <w:szCs w:val="21"/>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24C6633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1260" w:type="dxa"/>
            <w:tcBorders>
              <w:bottom w:val="single" w:color="auto" w:sz="4" w:space="0"/>
            </w:tcBorders>
            <w:vAlign w:val="center"/>
          </w:tcPr>
          <w:p w14:paraId="242D753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评审指标</w:t>
            </w:r>
          </w:p>
        </w:tc>
        <w:tc>
          <w:tcPr>
            <w:tcW w:w="5380" w:type="dxa"/>
            <w:tcBorders>
              <w:bottom w:val="single" w:color="auto" w:sz="4" w:space="0"/>
            </w:tcBorders>
            <w:vAlign w:val="center"/>
          </w:tcPr>
          <w:p w14:paraId="63EC831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5326260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260" w:type="dxa"/>
            <w:tcBorders>
              <w:bottom w:val="single" w:color="auto" w:sz="4" w:space="0"/>
            </w:tcBorders>
            <w:vAlign w:val="center"/>
          </w:tcPr>
          <w:p w14:paraId="4828CEF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异常低价响应审查</w:t>
            </w:r>
          </w:p>
        </w:tc>
        <w:tc>
          <w:tcPr>
            <w:tcW w:w="5380" w:type="dxa"/>
            <w:tcBorders>
              <w:bottom w:val="single" w:color="auto" w:sz="4" w:space="0"/>
            </w:tcBorders>
            <w:vAlign w:val="center"/>
          </w:tcPr>
          <w:p w14:paraId="14855D1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（4）谈判小组基于专业判断，认为供应商报价过低，有可能影响产品质量或者不能诚信履约的其他情形。</w:t>
            </w:r>
          </w:p>
          <w:p w14:paraId="14FCFEF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提醒：</w:t>
            </w:r>
          </w:p>
          <w:p w14:paraId="0BE4D07D">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（2）上述报价均为供应商最后报价。</w:t>
            </w:r>
          </w:p>
        </w:tc>
        <w:tc>
          <w:tcPr>
            <w:tcW w:w="2260" w:type="dxa"/>
            <w:vAlign w:val="center"/>
          </w:tcPr>
          <w:p w14:paraId="4F4E35CC">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2155601">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注：</w:t>
      </w:r>
      <w:bookmarkEnd w:id="49"/>
      <w:bookmarkEnd w:id="50"/>
      <w:bookmarkEnd w:id="51"/>
      <w:bookmarkEnd w:id="52"/>
      <w:bookmarkEnd w:id="53"/>
      <w:r>
        <w:rPr>
          <w:rFonts w:hint="eastAsia" w:ascii="宋体" w:hAnsi="宋体" w:eastAsia="宋体" w:cs="Times New Roman"/>
          <w:sz w:val="21"/>
          <w:szCs w:val="21"/>
          <w:highlight w:val="none"/>
          <w:lang w:val="en-US" w:eastAsia="zh-CN"/>
        </w:rPr>
        <w:t>根据《关于推动解决政府采购异常低价问题的通知》（财库〔2026〕2号），采购人可以结合具体项目实际情况，提高上述评审标准第（1）项至第（3）项中的数值标准，但是最高不得超过65%。</w:t>
      </w:r>
    </w:p>
    <w:p w14:paraId="4F06E39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49988AE8">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59F55300">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lang w:val="en-US" w:eastAsia="zh-CN" w:bidi="ar-SA"/>
        </w:rPr>
      </w:pPr>
      <w:r>
        <w:rPr>
          <w:rFonts w:hint="eastAsia" w:ascii="宋体" w:hAnsi="宋体" w:eastAsia="宋体" w:cs="Times New Roman"/>
          <w:sz w:val="21"/>
          <w:szCs w:val="21"/>
          <w:highlight w:val="none"/>
          <w:lang w:val="en-US" w:eastAsia="zh-CN"/>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0A09E5D0">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cs="宋体"/>
          <w:b w:val="0"/>
          <w:bCs/>
          <w:color w:val="auto"/>
          <w:sz w:val="21"/>
          <w:szCs w:val="21"/>
          <w:lang w:val="en-US" w:eastAsia="zh-CN" w:bidi="ar-SA"/>
        </w:rPr>
      </w:pPr>
    </w:p>
    <w:p w14:paraId="421662E4">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lang w:val="en-US" w:eastAsia="zh-CN" w:bidi="ar-SA"/>
        </w:rPr>
      </w:pPr>
      <w:r>
        <w:rPr>
          <w:rFonts w:hint="eastAsia" w:ascii="宋体" w:hAnsi="宋体" w:cs="宋体"/>
          <w:b w:val="0"/>
          <w:bCs/>
          <w:color w:val="auto"/>
          <w:sz w:val="21"/>
          <w:szCs w:val="21"/>
          <w:lang w:val="en-US" w:eastAsia="zh-CN" w:bidi="ar-SA"/>
        </w:rPr>
        <w:t>3、</w:t>
      </w:r>
      <w:r>
        <w:rPr>
          <w:rFonts w:hint="eastAsia" w:ascii="宋体" w:hAnsi="宋体" w:eastAsia="宋体" w:cs="宋体"/>
          <w:b w:val="0"/>
          <w:bCs/>
          <w:color w:val="auto"/>
          <w:sz w:val="21"/>
          <w:szCs w:val="21"/>
          <w:lang w:val="en-US" w:eastAsia="zh-CN" w:bidi="ar-SA"/>
        </w:rPr>
        <w:t xml:space="preserve">综合评分 </w:t>
      </w:r>
    </w:p>
    <w:p w14:paraId="4094E454">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 xml:space="preserve">3.1 磋商小组按照下表对进入综合评分的所有供应商的响应文件进行综合评分。 </w:t>
      </w:r>
    </w:p>
    <w:p w14:paraId="1A28ADCA">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3.2 本项目综合评分满分均为100分，其中：技术资信分值占总分值的权重为 70  %，价格分值（投标费率）占总分值的权重为 30  %。具体评分细则如下：</w:t>
      </w:r>
    </w:p>
    <w:tbl>
      <w:tblPr>
        <w:tblStyle w:val="41"/>
        <w:tblW w:w="6440" w:type="pct"/>
        <w:jc w:val="center"/>
        <w:tblLayout w:type="fixed"/>
        <w:tblCellMar>
          <w:top w:w="0" w:type="dxa"/>
          <w:left w:w="108" w:type="dxa"/>
          <w:bottom w:w="0" w:type="dxa"/>
          <w:right w:w="108" w:type="dxa"/>
        </w:tblCellMar>
      </w:tblPr>
      <w:tblGrid>
        <w:gridCol w:w="1388"/>
        <w:gridCol w:w="1252"/>
        <w:gridCol w:w="7018"/>
        <w:gridCol w:w="1319"/>
      </w:tblGrid>
      <w:tr w14:paraId="048BF0BA">
        <w:tblPrEx>
          <w:tblCellMar>
            <w:top w:w="0" w:type="dxa"/>
            <w:left w:w="108" w:type="dxa"/>
            <w:bottom w:w="0" w:type="dxa"/>
            <w:right w:w="108" w:type="dxa"/>
          </w:tblCellMar>
        </w:tblPrEx>
        <w:trPr>
          <w:trHeight w:val="90" w:hRule="atLeast"/>
          <w:jc w:val="center"/>
        </w:trPr>
        <w:tc>
          <w:tcPr>
            <w:tcW w:w="1388" w:type="dxa"/>
            <w:tcBorders>
              <w:top w:val="single" w:color="auto" w:sz="4" w:space="0"/>
              <w:left w:val="single" w:color="auto" w:sz="4" w:space="0"/>
              <w:bottom w:val="single" w:color="auto" w:sz="4" w:space="0"/>
              <w:right w:val="single" w:color="auto" w:sz="4" w:space="0"/>
            </w:tcBorders>
            <w:noWrap/>
            <w:vAlign w:val="center"/>
          </w:tcPr>
          <w:p w14:paraId="079CA6AB">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类别</w:t>
            </w:r>
          </w:p>
        </w:tc>
        <w:tc>
          <w:tcPr>
            <w:tcW w:w="1252" w:type="dxa"/>
            <w:tcBorders>
              <w:top w:val="single" w:color="auto" w:sz="4" w:space="0"/>
              <w:left w:val="nil"/>
              <w:bottom w:val="single" w:color="auto" w:sz="4" w:space="0"/>
              <w:right w:val="single" w:color="auto" w:sz="4" w:space="0"/>
            </w:tcBorders>
            <w:noWrap/>
            <w:vAlign w:val="center"/>
          </w:tcPr>
          <w:p w14:paraId="18E96439">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评分内容</w:t>
            </w:r>
          </w:p>
        </w:tc>
        <w:tc>
          <w:tcPr>
            <w:tcW w:w="7018" w:type="dxa"/>
            <w:tcBorders>
              <w:top w:val="single" w:color="auto" w:sz="4" w:space="0"/>
              <w:left w:val="nil"/>
              <w:bottom w:val="single" w:color="auto" w:sz="4" w:space="0"/>
              <w:right w:val="single" w:color="auto" w:sz="4" w:space="0"/>
            </w:tcBorders>
            <w:noWrap/>
            <w:vAlign w:val="center"/>
          </w:tcPr>
          <w:p w14:paraId="244F0B2A">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评分标准</w:t>
            </w:r>
          </w:p>
        </w:tc>
        <w:tc>
          <w:tcPr>
            <w:tcW w:w="1319" w:type="dxa"/>
            <w:tcBorders>
              <w:top w:val="single" w:color="auto" w:sz="4" w:space="0"/>
              <w:left w:val="nil"/>
              <w:bottom w:val="single" w:color="auto" w:sz="4" w:space="0"/>
              <w:right w:val="single" w:color="auto" w:sz="4" w:space="0"/>
            </w:tcBorders>
            <w:shd w:val="clear" w:color="auto" w:fill="auto"/>
            <w:noWrap/>
            <w:vAlign w:val="center"/>
          </w:tcPr>
          <w:p w14:paraId="11BA73A1">
            <w:pPr>
              <w:spacing w:line="400" w:lineRule="exact"/>
              <w:jc w:val="center"/>
              <w:rPr>
                <w:rFonts w:hint="eastAsia" w:ascii="宋体" w:hAnsi="宋体" w:eastAsia="宋体" w:cs="仿宋"/>
                <w:color w:val="auto"/>
                <w:sz w:val="21"/>
                <w:szCs w:val="21"/>
                <w:highlight w:val="none"/>
                <w:lang w:val="en-US" w:eastAsia="zh-CN" w:bidi="ar-SA"/>
              </w:rPr>
            </w:pPr>
            <w:r>
              <w:rPr>
                <w:rFonts w:hint="eastAsia" w:ascii="宋体" w:hAnsi="宋体" w:eastAsia="宋体" w:cs="宋体"/>
                <w:b/>
                <w:bCs/>
                <w:color w:val="auto"/>
                <w:sz w:val="21"/>
                <w:szCs w:val="21"/>
              </w:rPr>
              <w:t>分值范围</w:t>
            </w:r>
          </w:p>
        </w:tc>
      </w:tr>
      <w:tr w14:paraId="2BB8D7BC">
        <w:tblPrEx>
          <w:tblCellMar>
            <w:top w:w="0" w:type="dxa"/>
            <w:left w:w="108" w:type="dxa"/>
            <w:bottom w:w="0" w:type="dxa"/>
            <w:right w:w="108" w:type="dxa"/>
          </w:tblCellMar>
        </w:tblPrEx>
        <w:trPr>
          <w:trHeight w:val="2110" w:hRule="atLeast"/>
          <w:jc w:val="center"/>
        </w:trPr>
        <w:tc>
          <w:tcPr>
            <w:tcW w:w="1388" w:type="dxa"/>
            <w:vMerge w:val="restart"/>
            <w:tcBorders>
              <w:top w:val="nil"/>
              <w:left w:val="single" w:color="auto" w:sz="4" w:space="0"/>
              <w:right w:val="single" w:color="auto" w:sz="4" w:space="0"/>
            </w:tcBorders>
            <w:noWrap w:val="0"/>
            <w:vAlign w:val="center"/>
          </w:tcPr>
          <w:p w14:paraId="5CA590EF">
            <w:pPr>
              <w:widowControl/>
              <w:jc w:val="center"/>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技术分</w:t>
            </w:r>
          </w:p>
          <w:p w14:paraId="70C2E29F">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宋体"/>
                <w:b/>
                <w:bCs/>
                <w:color w:val="auto"/>
                <w:kern w:val="0"/>
                <w:sz w:val="21"/>
                <w:szCs w:val="21"/>
                <w:lang w:bidi="ar"/>
              </w:rPr>
              <w:t>（</w:t>
            </w:r>
            <w:r>
              <w:rPr>
                <w:rFonts w:hint="eastAsia" w:ascii="宋体" w:hAnsi="宋体" w:eastAsia="宋体" w:cs="宋体"/>
                <w:b/>
                <w:bCs/>
                <w:color w:val="auto"/>
                <w:kern w:val="0"/>
                <w:sz w:val="21"/>
                <w:szCs w:val="21"/>
                <w:lang w:val="en-US" w:eastAsia="zh-CN" w:bidi="ar"/>
              </w:rPr>
              <w:t>7</w:t>
            </w:r>
            <w:r>
              <w:rPr>
                <w:rFonts w:hint="eastAsia" w:ascii="宋体" w:hAnsi="宋体" w:eastAsia="宋体" w:cs="宋体"/>
                <w:b/>
                <w:bCs/>
                <w:color w:val="auto"/>
                <w:kern w:val="0"/>
                <w:sz w:val="21"/>
                <w:szCs w:val="21"/>
                <w:lang w:bidi="ar"/>
              </w:rPr>
              <w:t>0 分）</w:t>
            </w:r>
          </w:p>
        </w:tc>
        <w:tc>
          <w:tcPr>
            <w:tcW w:w="1252" w:type="dxa"/>
            <w:tcBorders>
              <w:top w:val="nil"/>
              <w:left w:val="nil"/>
              <w:bottom w:val="single" w:color="auto" w:sz="4" w:space="0"/>
              <w:right w:val="single" w:color="auto" w:sz="4" w:space="0"/>
            </w:tcBorders>
            <w:noWrap w:val="0"/>
            <w:vAlign w:val="center"/>
          </w:tcPr>
          <w:p w14:paraId="679457C1">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企业资质</w:t>
            </w:r>
          </w:p>
        </w:tc>
        <w:tc>
          <w:tcPr>
            <w:tcW w:w="7018" w:type="dxa"/>
            <w:tcBorders>
              <w:top w:val="nil"/>
              <w:left w:val="nil"/>
              <w:bottom w:val="single" w:color="auto" w:sz="4" w:space="0"/>
              <w:right w:val="single" w:color="auto" w:sz="4" w:space="0"/>
            </w:tcBorders>
            <w:noWrap w:val="0"/>
            <w:vAlign w:val="center"/>
          </w:tcPr>
          <w:p w14:paraId="6181F710">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投标人具有</w:t>
            </w:r>
          </w:p>
          <w:p w14:paraId="1BD2FE29">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1、信息安全管理体系ISO27001认证；</w:t>
            </w:r>
          </w:p>
          <w:p w14:paraId="677C1902">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2、隐私信息管理体系ISO27701认证。</w:t>
            </w:r>
          </w:p>
          <w:p w14:paraId="2CB4D60F">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每提供一项得3分，最多得6分，没有不得分。</w:t>
            </w:r>
          </w:p>
          <w:p w14:paraId="0395933D">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（证书需在有效期内，提供复印件并加盖公章）</w:t>
            </w:r>
          </w:p>
        </w:tc>
        <w:tc>
          <w:tcPr>
            <w:tcW w:w="1319" w:type="dxa"/>
            <w:tcBorders>
              <w:top w:val="nil"/>
              <w:left w:val="nil"/>
              <w:bottom w:val="single" w:color="auto" w:sz="4" w:space="0"/>
              <w:right w:val="single" w:color="auto" w:sz="4" w:space="0"/>
            </w:tcBorders>
            <w:shd w:val="clear" w:color="auto" w:fill="auto"/>
            <w:noWrap w:val="0"/>
            <w:vAlign w:val="center"/>
          </w:tcPr>
          <w:p w14:paraId="2F4CC152">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6</w:t>
            </w:r>
            <w:r>
              <w:rPr>
                <w:rFonts w:hint="eastAsia" w:ascii="宋体" w:hAnsi="宋体" w:eastAsia="宋体" w:cs="仿宋"/>
                <w:color w:val="auto"/>
                <w:sz w:val="21"/>
                <w:szCs w:val="21"/>
                <w:highlight w:val="none"/>
                <w:lang w:eastAsia="zh-CN"/>
              </w:rPr>
              <w:t>分</w:t>
            </w:r>
          </w:p>
        </w:tc>
      </w:tr>
      <w:tr w14:paraId="37996C13">
        <w:tblPrEx>
          <w:tblCellMar>
            <w:top w:w="0" w:type="dxa"/>
            <w:left w:w="108" w:type="dxa"/>
            <w:bottom w:w="0" w:type="dxa"/>
            <w:right w:w="108" w:type="dxa"/>
          </w:tblCellMar>
        </w:tblPrEx>
        <w:trPr>
          <w:trHeight w:val="3446" w:hRule="atLeast"/>
          <w:jc w:val="center"/>
        </w:trPr>
        <w:tc>
          <w:tcPr>
            <w:tcW w:w="1388" w:type="dxa"/>
            <w:vMerge w:val="continue"/>
            <w:tcBorders>
              <w:left w:val="single" w:color="auto" w:sz="4" w:space="0"/>
              <w:right w:val="single" w:color="auto" w:sz="4" w:space="0"/>
            </w:tcBorders>
            <w:noWrap w:val="0"/>
            <w:vAlign w:val="center"/>
          </w:tcPr>
          <w:p w14:paraId="7F274FC7">
            <w:pPr>
              <w:snapToGrid w:val="0"/>
              <w:spacing w:line="360" w:lineRule="auto"/>
              <w:jc w:val="left"/>
              <w:rPr>
                <w:rFonts w:hint="eastAsia" w:ascii="宋体" w:hAnsi="宋体" w:eastAsia="宋体" w:cs="仿宋"/>
                <w:color w:val="auto"/>
                <w:sz w:val="21"/>
                <w:szCs w:val="21"/>
                <w:highlight w:val="none"/>
              </w:rPr>
            </w:pPr>
          </w:p>
        </w:tc>
        <w:tc>
          <w:tcPr>
            <w:tcW w:w="1252" w:type="dxa"/>
            <w:tcBorders>
              <w:top w:val="nil"/>
              <w:left w:val="nil"/>
              <w:bottom w:val="single" w:color="auto" w:sz="4" w:space="0"/>
              <w:right w:val="single" w:color="auto" w:sz="4" w:space="0"/>
            </w:tcBorders>
            <w:noWrap w:val="0"/>
            <w:vAlign w:val="center"/>
          </w:tcPr>
          <w:p w14:paraId="0168F421">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人员证书</w:t>
            </w:r>
          </w:p>
        </w:tc>
        <w:tc>
          <w:tcPr>
            <w:tcW w:w="7018" w:type="dxa"/>
            <w:tcBorders>
              <w:top w:val="nil"/>
              <w:left w:val="nil"/>
              <w:bottom w:val="single" w:color="auto" w:sz="4" w:space="0"/>
              <w:right w:val="single" w:color="auto" w:sz="4" w:space="0"/>
            </w:tcBorders>
            <w:noWrap w:val="0"/>
            <w:vAlign w:val="center"/>
          </w:tcPr>
          <w:p w14:paraId="25638037">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1、投标人为本项目拟派项目经理（负责整个项目的统筹管理），具有智能化系统集成项目经理资格证书的，得5分，不提供不得分。（提供复印件并加盖公章）</w:t>
            </w:r>
          </w:p>
          <w:p w14:paraId="59C34566">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2、投标人为本项目拟派服务团队成员（负责整个项目日常维护、维修等工作）具有系统集成项目管理工程师、安防系统工程师、电气自动化工程师等资格证书的，每提供1份得5分，最多得15分，不提供不得分。（提供复印件并加盖公章）</w:t>
            </w:r>
          </w:p>
          <w:p w14:paraId="27CABEAD">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（须出具证书复印件及投标人为上述人员缴纳的</w:t>
            </w:r>
            <w:r>
              <w:rPr>
                <w:rFonts w:hint="eastAsia" w:ascii="宋体" w:hAnsi="宋体" w:eastAsia="宋体" w:cs="仿宋"/>
                <w:color w:val="auto"/>
                <w:sz w:val="21"/>
                <w:szCs w:val="21"/>
                <w:highlight w:val="none"/>
                <w:lang w:val="en-US" w:eastAsia="zh-CN"/>
              </w:rPr>
              <w:t>自2026年1月1日起至今的任意一个月的</w:t>
            </w:r>
            <w:r>
              <w:rPr>
                <w:rFonts w:hint="eastAsia" w:ascii="宋体" w:hAnsi="宋体" w:eastAsia="宋体" w:cs="仿宋"/>
                <w:color w:val="auto"/>
                <w:sz w:val="21"/>
                <w:szCs w:val="21"/>
                <w:highlight w:val="none"/>
              </w:rPr>
              <w:t>社保证明材料，证书须提供查验网址）</w:t>
            </w:r>
          </w:p>
        </w:tc>
        <w:tc>
          <w:tcPr>
            <w:tcW w:w="1319" w:type="dxa"/>
            <w:tcBorders>
              <w:top w:val="nil"/>
              <w:left w:val="nil"/>
              <w:bottom w:val="single" w:color="auto" w:sz="4" w:space="0"/>
              <w:right w:val="single" w:color="auto" w:sz="4" w:space="0"/>
            </w:tcBorders>
            <w:shd w:val="clear" w:color="auto" w:fill="auto"/>
            <w:noWrap w:val="0"/>
            <w:vAlign w:val="center"/>
          </w:tcPr>
          <w:p w14:paraId="6BF42868">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20</w:t>
            </w:r>
            <w:r>
              <w:rPr>
                <w:rFonts w:hint="eastAsia" w:ascii="宋体" w:hAnsi="宋体" w:eastAsia="宋体" w:cs="仿宋"/>
                <w:color w:val="auto"/>
                <w:sz w:val="21"/>
                <w:szCs w:val="21"/>
                <w:highlight w:val="none"/>
                <w:lang w:eastAsia="zh-CN"/>
              </w:rPr>
              <w:t>分</w:t>
            </w:r>
          </w:p>
        </w:tc>
      </w:tr>
      <w:tr w14:paraId="33AC6817">
        <w:tblPrEx>
          <w:tblCellMar>
            <w:top w:w="0" w:type="dxa"/>
            <w:left w:w="108" w:type="dxa"/>
            <w:bottom w:w="0" w:type="dxa"/>
            <w:right w:w="108" w:type="dxa"/>
          </w:tblCellMar>
        </w:tblPrEx>
        <w:trPr>
          <w:trHeight w:val="1550" w:hRule="atLeast"/>
          <w:jc w:val="center"/>
        </w:trPr>
        <w:tc>
          <w:tcPr>
            <w:tcW w:w="1388" w:type="dxa"/>
            <w:vMerge w:val="continue"/>
            <w:tcBorders>
              <w:left w:val="single" w:color="auto" w:sz="4" w:space="0"/>
              <w:right w:val="single" w:color="auto" w:sz="4" w:space="0"/>
            </w:tcBorders>
            <w:noWrap w:val="0"/>
            <w:vAlign w:val="center"/>
          </w:tcPr>
          <w:p w14:paraId="2081C771">
            <w:pPr>
              <w:snapToGrid w:val="0"/>
              <w:spacing w:line="360" w:lineRule="auto"/>
              <w:jc w:val="left"/>
              <w:rPr>
                <w:rFonts w:hint="eastAsia" w:ascii="宋体" w:hAnsi="宋体" w:eastAsia="宋体" w:cs="仿宋"/>
                <w:color w:val="auto"/>
                <w:sz w:val="21"/>
                <w:szCs w:val="21"/>
                <w:highlight w:val="none"/>
              </w:rPr>
            </w:pPr>
          </w:p>
        </w:tc>
        <w:tc>
          <w:tcPr>
            <w:tcW w:w="1252" w:type="dxa"/>
            <w:tcBorders>
              <w:top w:val="nil"/>
              <w:left w:val="nil"/>
              <w:bottom w:val="single" w:color="auto" w:sz="4" w:space="0"/>
              <w:right w:val="single" w:color="auto" w:sz="4" w:space="0"/>
            </w:tcBorders>
            <w:noWrap w:val="0"/>
            <w:vAlign w:val="center"/>
          </w:tcPr>
          <w:p w14:paraId="2AC44327">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业绩案例</w:t>
            </w:r>
          </w:p>
        </w:tc>
        <w:tc>
          <w:tcPr>
            <w:tcW w:w="7018" w:type="dxa"/>
            <w:tcBorders>
              <w:top w:val="nil"/>
              <w:left w:val="nil"/>
              <w:bottom w:val="single" w:color="auto" w:sz="4" w:space="0"/>
              <w:right w:val="single" w:color="auto" w:sz="4" w:space="0"/>
            </w:tcBorders>
            <w:noWrap w:val="0"/>
            <w:vAlign w:val="center"/>
          </w:tcPr>
          <w:p w14:paraId="614D244C">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投标人提供2023年7月1日以来（以合同签订时间为准）自身成交的人脸识别门禁项目系统维保业绩证明材料，每提供一份有效材料得3分，最多得9分。</w:t>
            </w:r>
          </w:p>
          <w:p w14:paraId="3022E4B4">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（须同时提供中标通知书或中标公告截图、项目合同等</w:t>
            </w:r>
            <w:r>
              <w:rPr>
                <w:rFonts w:hint="eastAsia" w:ascii="宋体" w:hAnsi="宋体" w:eastAsia="宋体" w:cs="仿宋"/>
                <w:color w:val="auto"/>
                <w:sz w:val="21"/>
                <w:szCs w:val="21"/>
                <w:highlight w:val="none"/>
                <w:lang w:val="en-US" w:eastAsia="zh-CN"/>
              </w:rPr>
              <w:t>影印件</w:t>
            </w:r>
            <w:r>
              <w:rPr>
                <w:rFonts w:hint="eastAsia" w:ascii="宋体" w:hAnsi="宋体" w:eastAsia="宋体" w:cs="仿宋"/>
                <w:color w:val="auto"/>
                <w:sz w:val="21"/>
                <w:szCs w:val="21"/>
                <w:highlight w:val="none"/>
              </w:rPr>
              <w:t>并加盖公章，且合同内容中须包含人脸识别类产品，否则不予计分）</w:t>
            </w:r>
          </w:p>
        </w:tc>
        <w:tc>
          <w:tcPr>
            <w:tcW w:w="1319" w:type="dxa"/>
            <w:tcBorders>
              <w:top w:val="nil"/>
              <w:left w:val="nil"/>
              <w:bottom w:val="single" w:color="auto" w:sz="4" w:space="0"/>
              <w:right w:val="single" w:color="auto" w:sz="4" w:space="0"/>
            </w:tcBorders>
            <w:shd w:val="clear" w:color="auto" w:fill="auto"/>
            <w:noWrap w:val="0"/>
            <w:vAlign w:val="center"/>
          </w:tcPr>
          <w:p w14:paraId="02F21C20">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9</w:t>
            </w:r>
            <w:r>
              <w:rPr>
                <w:rFonts w:hint="eastAsia" w:ascii="宋体" w:hAnsi="宋体" w:eastAsia="宋体" w:cs="仿宋"/>
                <w:color w:val="auto"/>
                <w:sz w:val="21"/>
                <w:szCs w:val="21"/>
                <w:highlight w:val="none"/>
                <w:lang w:eastAsia="zh-CN"/>
              </w:rPr>
              <w:t>分</w:t>
            </w:r>
          </w:p>
        </w:tc>
      </w:tr>
      <w:tr w14:paraId="2DCE7F4E">
        <w:tblPrEx>
          <w:tblCellMar>
            <w:top w:w="0" w:type="dxa"/>
            <w:left w:w="108" w:type="dxa"/>
            <w:bottom w:w="0" w:type="dxa"/>
            <w:right w:w="108" w:type="dxa"/>
          </w:tblCellMar>
        </w:tblPrEx>
        <w:trPr>
          <w:trHeight w:val="1581" w:hRule="atLeast"/>
          <w:jc w:val="center"/>
        </w:trPr>
        <w:tc>
          <w:tcPr>
            <w:tcW w:w="1388" w:type="dxa"/>
            <w:vMerge w:val="continue"/>
            <w:tcBorders>
              <w:left w:val="single" w:color="auto" w:sz="4" w:space="0"/>
              <w:right w:val="single" w:color="auto" w:sz="4" w:space="0"/>
            </w:tcBorders>
            <w:noWrap w:val="0"/>
            <w:vAlign w:val="center"/>
          </w:tcPr>
          <w:p w14:paraId="22CDEAB2">
            <w:pPr>
              <w:snapToGrid w:val="0"/>
              <w:spacing w:line="360" w:lineRule="auto"/>
              <w:jc w:val="left"/>
              <w:rPr>
                <w:rFonts w:hint="eastAsia" w:ascii="宋体" w:hAnsi="宋体" w:eastAsia="宋体" w:cs="仿宋"/>
                <w:color w:val="auto"/>
                <w:sz w:val="21"/>
                <w:szCs w:val="21"/>
                <w:highlight w:val="none"/>
              </w:rPr>
            </w:pPr>
          </w:p>
        </w:tc>
        <w:tc>
          <w:tcPr>
            <w:tcW w:w="1252" w:type="dxa"/>
            <w:tcBorders>
              <w:top w:val="nil"/>
              <w:left w:val="nil"/>
              <w:bottom w:val="single" w:color="auto" w:sz="4" w:space="0"/>
              <w:right w:val="single" w:color="auto" w:sz="4" w:space="0"/>
            </w:tcBorders>
            <w:noWrap w:val="0"/>
            <w:vAlign w:val="center"/>
          </w:tcPr>
          <w:p w14:paraId="48E87D50">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研发能力</w:t>
            </w:r>
          </w:p>
        </w:tc>
        <w:tc>
          <w:tcPr>
            <w:tcW w:w="7018" w:type="dxa"/>
            <w:tcBorders>
              <w:top w:val="nil"/>
              <w:left w:val="nil"/>
              <w:bottom w:val="single" w:color="auto" w:sz="4" w:space="0"/>
              <w:right w:val="single" w:color="auto" w:sz="4" w:space="0"/>
            </w:tcBorders>
            <w:noWrap w:val="0"/>
            <w:vAlign w:val="center"/>
          </w:tcPr>
          <w:p w14:paraId="68575512">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投标人提供本企业认证的“人脸识别”类计算机软件著作权登记证书证明材料，每提供</w:t>
            </w:r>
            <w:r>
              <w:rPr>
                <w:rFonts w:hint="eastAsia" w:ascii="宋体" w:hAnsi="宋体" w:eastAsia="宋体" w:cs="仿宋"/>
                <w:color w:val="auto"/>
                <w:sz w:val="21"/>
                <w:szCs w:val="21"/>
                <w:highlight w:val="none"/>
                <w:lang w:val="en-US" w:eastAsia="zh-CN"/>
              </w:rPr>
              <w:t>1</w:t>
            </w:r>
            <w:r>
              <w:rPr>
                <w:rFonts w:hint="eastAsia" w:ascii="宋体" w:hAnsi="宋体" w:eastAsia="宋体" w:cs="仿宋"/>
                <w:color w:val="auto"/>
                <w:sz w:val="21"/>
                <w:szCs w:val="21"/>
                <w:highlight w:val="none"/>
              </w:rPr>
              <w:t>份得1分，最多得4分</w:t>
            </w:r>
            <w:r>
              <w:rPr>
                <w:rFonts w:hint="eastAsia" w:ascii="宋体" w:hAnsi="宋体" w:eastAsia="宋体" w:cs="仿宋"/>
                <w:color w:val="auto"/>
                <w:sz w:val="21"/>
                <w:szCs w:val="21"/>
                <w:highlight w:val="none"/>
                <w:lang w:eastAsia="zh-CN"/>
              </w:rPr>
              <w:t>，</w:t>
            </w:r>
            <w:r>
              <w:rPr>
                <w:rFonts w:hint="eastAsia" w:ascii="宋体" w:hAnsi="宋体" w:eastAsia="宋体" w:cs="仿宋"/>
                <w:color w:val="auto"/>
                <w:sz w:val="21"/>
                <w:szCs w:val="21"/>
                <w:highlight w:val="none"/>
                <w:lang w:val="en-US" w:eastAsia="zh-CN"/>
              </w:rPr>
              <w:t>不提供不得分</w:t>
            </w:r>
            <w:r>
              <w:rPr>
                <w:rFonts w:hint="eastAsia" w:ascii="宋体" w:hAnsi="宋体" w:eastAsia="宋体" w:cs="仿宋"/>
                <w:color w:val="auto"/>
                <w:sz w:val="21"/>
                <w:szCs w:val="21"/>
                <w:highlight w:val="none"/>
              </w:rPr>
              <w:t>。</w:t>
            </w:r>
          </w:p>
          <w:p w14:paraId="6AB830B9">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投标人提供本企业认证的“人脸识别”或“闸机”类专利证书证明材料，每提供</w:t>
            </w:r>
            <w:r>
              <w:rPr>
                <w:rFonts w:hint="eastAsia" w:ascii="宋体" w:hAnsi="宋体" w:eastAsia="宋体" w:cs="仿宋"/>
                <w:color w:val="auto"/>
                <w:sz w:val="21"/>
                <w:szCs w:val="21"/>
                <w:highlight w:val="none"/>
                <w:lang w:val="en-US" w:eastAsia="zh-CN"/>
              </w:rPr>
              <w:t>1</w:t>
            </w:r>
            <w:r>
              <w:rPr>
                <w:rFonts w:hint="eastAsia" w:ascii="宋体" w:hAnsi="宋体" w:eastAsia="宋体" w:cs="仿宋"/>
                <w:color w:val="auto"/>
                <w:sz w:val="21"/>
                <w:szCs w:val="21"/>
                <w:highlight w:val="none"/>
              </w:rPr>
              <w:t>份得1分，最多得3分</w:t>
            </w:r>
            <w:r>
              <w:rPr>
                <w:rFonts w:hint="eastAsia" w:ascii="宋体" w:hAnsi="宋体" w:eastAsia="宋体" w:cs="仿宋"/>
                <w:color w:val="auto"/>
                <w:sz w:val="21"/>
                <w:szCs w:val="21"/>
                <w:highlight w:val="none"/>
                <w:lang w:eastAsia="zh-CN"/>
              </w:rPr>
              <w:t>，</w:t>
            </w:r>
            <w:r>
              <w:rPr>
                <w:rFonts w:hint="eastAsia" w:ascii="宋体" w:hAnsi="宋体" w:eastAsia="宋体" w:cs="仿宋"/>
                <w:color w:val="auto"/>
                <w:sz w:val="21"/>
                <w:szCs w:val="21"/>
                <w:highlight w:val="none"/>
                <w:lang w:val="en-US" w:eastAsia="zh-CN"/>
              </w:rPr>
              <w:t>不提供不得分</w:t>
            </w:r>
            <w:r>
              <w:rPr>
                <w:rFonts w:hint="eastAsia" w:ascii="宋体" w:hAnsi="宋体" w:eastAsia="宋体" w:cs="仿宋"/>
                <w:color w:val="auto"/>
                <w:sz w:val="21"/>
                <w:szCs w:val="21"/>
                <w:highlight w:val="none"/>
              </w:rPr>
              <w:t>。</w:t>
            </w:r>
          </w:p>
        </w:tc>
        <w:tc>
          <w:tcPr>
            <w:tcW w:w="1319" w:type="dxa"/>
            <w:tcBorders>
              <w:top w:val="nil"/>
              <w:left w:val="nil"/>
              <w:bottom w:val="single" w:color="auto" w:sz="4" w:space="0"/>
              <w:right w:val="single" w:color="auto" w:sz="4" w:space="0"/>
            </w:tcBorders>
            <w:shd w:val="clear" w:color="auto" w:fill="auto"/>
            <w:noWrap w:val="0"/>
            <w:vAlign w:val="center"/>
          </w:tcPr>
          <w:p w14:paraId="056EAEF8">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7</w:t>
            </w:r>
            <w:r>
              <w:rPr>
                <w:rFonts w:hint="eastAsia" w:ascii="宋体" w:hAnsi="宋体" w:eastAsia="宋体" w:cs="仿宋"/>
                <w:color w:val="auto"/>
                <w:sz w:val="21"/>
                <w:szCs w:val="21"/>
                <w:highlight w:val="none"/>
                <w:lang w:eastAsia="zh-CN"/>
              </w:rPr>
              <w:t>分</w:t>
            </w:r>
          </w:p>
        </w:tc>
      </w:tr>
      <w:tr w14:paraId="35F02A58">
        <w:tblPrEx>
          <w:tblCellMar>
            <w:top w:w="0" w:type="dxa"/>
            <w:left w:w="108" w:type="dxa"/>
            <w:bottom w:w="0" w:type="dxa"/>
            <w:right w:w="108" w:type="dxa"/>
          </w:tblCellMar>
        </w:tblPrEx>
        <w:trPr>
          <w:trHeight w:val="2176" w:hRule="atLeast"/>
          <w:jc w:val="center"/>
        </w:trPr>
        <w:tc>
          <w:tcPr>
            <w:tcW w:w="1388" w:type="dxa"/>
            <w:vMerge w:val="continue"/>
            <w:tcBorders>
              <w:left w:val="single" w:color="auto" w:sz="4" w:space="0"/>
              <w:right w:val="single" w:color="auto" w:sz="4" w:space="0"/>
            </w:tcBorders>
            <w:noWrap w:val="0"/>
            <w:vAlign w:val="center"/>
          </w:tcPr>
          <w:p w14:paraId="419F2DC1">
            <w:pPr>
              <w:snapToGrid w:val="0"/>
              <w:spacing w:line="360" w:lineRule="auto"/>
              <w:jc w:val="center"/>
              <w:rPr>
                <w:rFonts w:hint="eastAsia" w:ascii="宋体" w:hAnsi="宋体" w:eastAsia="宋体" w:cs="仿宋"/>
                <w:color w:val="auto"/>
                <w:sz w:val="21"/>
                <w:szCs w:val="21"/>
                <w:highlight w:val="none"/>
              </w:rPr>
            </w:pPr>
          </w:p>
        </w:tc>
        <w:tc>
          <w:tcPr>
            <w:tcW w:w="1252" w:type="dxa"/>
            <w:tcBorders>
              <w:top w:val="single" w:color="auto" w:sz="4" w:space="0"/>
              <w:left w:val="nil"/>
              <w:bottom w:val="single" w:color="auto" w:sz="4" w:space="0"/>
              <w:right w:val="single" w:color="auto" w:sz="4" w:space="0"/>
            </w:tcBorders>
            <w:noWrap w:val="0"/>
            <w:vAlign w:val="center"/>
          </w:tcPr>
          <w:p w14:paraId="1FA549F9">
            <w:pPr>
              <w:widowControl/>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服务总体设计方案</w:t>
            </w:r>
          </w:p>
        </w:tc>
        <w:tc>
          <w:tcPr>
            <w:tcW w:w="7018" w:type="dxa"/>
            <w:tcBorders>
              <w:top w:val="single" w:color="auto" w:sz="4" w:space="0"/>
              <w:left w:val="nil"/>
              <w:bottom w:val="single" w:color="auto" w:sz="4" w:space="0"/>
              <w:right w:val="single" w:color="auto" w:sz="4" w:space="0"/>
            </w:tcBorders>
            <w:noWrap w:val="0"/>
            <w:vAlign w:val="center"/>
          </w:tcPr>
          <w:p w14:paraId="1D60C024">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根据采购文件要求及投标人提供的服务总体设计方案情况进行综合评分，方案内容须包括：①项目服务响应程度、②项目服务实施方案、③物资装备配套情况、④备品备件库。</w:t>
            </w:r>
          </w:p>
          <w:p w14:paraId="0C5C43CF">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评委根据方案内容完整性、可行性进行评审赋分，内容齐全且符合采购人实际要求的，得8分，方案内容缺项或不符合采购人实际要求的，每一项扣2分。</w:t>
            </w:r>
          </w:p>
        </w:tc>
        <w:tc>
          <w:tcPr>
            <w:tcW w:w="1319" w:type="dxa"/>
            <w:tcBorders>
              <w:top w:val="single" w:color="auto" w:sz="4" w:space="0"/>
              <w:left w:val="nil"/>
              <w:bottom w:val="single" w:color="auto" w:sz="4" w:space="0"/>
              <w:right w:val="single" w:color="auto" w:sz="4" w:space="0"/>
            </w:tcBorders>
            <w:shd w:val="clear" w:color="auto" w:fill="auto"/>
            <w:noWrap w:val="0"/>
            <w:vAlign w:val="center"/>
          </w:tcPr>
          <w:p w14:paraId="47CD1630">
            <w:pPr>
              <w:widowControl/>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8</w:t>
            </w:r>
            <w:r>
              <w:rPr>
                <w:rFonts w:hint="eastAsia" w:ascii="宋体" w:hAnsi="宋体" w:eastAsia="宋体" w:cs="仿宋"/>
                <w:color w:val="auto"/>
                <w:sz w:val="21"/>
                <w:szCs w:val="21"/>
                <w:highlight w:val="none"/>
                <w:lang w:eastAsia="zh-CN"/>
              </w:rPr>
              <w:t>分</w:t>
            </w:r>
          </w:p>
        </w:tc>
      </w:tr>
      <w:tr w14:paraId="4B894E3C">
        <w:tblPrEx>
          <w:tblCellMar>
            <w:top w:w="0" w:type="dxa"/>
            <w:left w:w="108" w:type="dxa"/>
            <w:bottom w:w="0" w:type="dxa"/>
            <w:right w:w="108" w:type="dxa"/>
          </w:tblCellMar>
        </w:tblPrEx>
        <w:trPr>
          <w:trHeight w:val="1992" w:hRule="atLeast"/>
          <w:jc w:val="center"/>
        </w:trPr>
        <w:tc>
          <w:tcPr>
            <w:tcW w:w="1388" w:type="dxa"/>
            <w:vMerge w:val="continue"/>
            <w:tcBorders>
              <w:left w:val="single" w:color="auto" w:sz="4" w:space="0"/>
              <w:right w:val="single" w:color="auto" w:sz="4" w:space="0"/>
            </w:tcBorders>
            <w:noWrap w:val="0"/>
            <w:vAlign w:val="center"/>
          </w:tcPr>
          <w:p w14:paraId="369BD932">
            <w:pPr>
              <w:snapToGrid w:val="0"/>
              <w:spacing w:line="360" w:lineRule="auto"/>
              <w:jc w:val="center"/>
              <w:rPr>
                <w:rFonts w:hint="eastAsia" w:ascii="宋体" w:hAnsi="宋体" w:eastAsia="宋体" w:cs="仿宋"/>
                <w:color w:val="auto"/>
                <w:sz w:val="21"/>
                <w:szCs w:val="21"/>
                <w:highlight w:val="none"/>
              </w:rPr>
            </w:pPr>
          </w:p>
        </w:tc>
        <w:tc>
          <w:tcPr>
            <w:tcW w:w="1252" w:type="dxa"/>
            <w:tcBorders>
              <w:top w:val="single" w:color="auto" w:sz="4" w:space="0"/>
              <w:left w:val="nil"/>
              <w:bottom w:val="single" w:color="auto" w:sz="4" w:space="0"/>
              <w:right w:val="single" w:color="auto" w:sz="4" w:space="0"/>
            </w:tcBorders>
            <w:noWrap w:val="0"/>
            <w:vAlign w:val="center"/>
          </w:tcPr>
          <w:p w14:paraId="76A98AD9">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维保计划方案</w:t>
            </w:r>
          </w:p>
        </w:tc>
        <w:tc>
          <w:tcPr>
            <w:tcW w:w="7018" w:type="dxa"/>
            <w:tcBorders>
              <w:top w:val="single" w:color="auto" w:sz="4" w:space="0"/>
              <w:left w:val="nil"/>
              <w:bottom w:val="single" w:color="auto" w:sz="4" w:space="0"/>
              <w:right w:val="single" w:color="auto" w:sz="4" w:space="0"/>
            </w:tcBorders>
            <w:noWrap w:val="0"/>
            <w:vAlign w:val="center"/>
          </w:tcPr>
          <w:p w14:paraId="04D86D73">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根据采购文件要求及投标人提供的维保计划方案情况进行综合评分，方案内容须包括：①故障处理措施、②风险预警机制、③应急方案。</w:t>
            </w:r>
          </w:p>
          <w:p w14:paraId="170A9053">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评委根据方案内容完整性、可行性进行评审赋分，内容齐全且符合采购人实际要求的，得6分，方案内容缺项或不符合采购人实际要求的，每一项扣2分。</w:t>
            </w:r>
          </w:p>
        </w:tc>
        <w:tc>
          <w:tcPr>
            <w:tcW w:w="1319" w:type="dxa"/>
            <w:tcBorders>
              <w:top w:val="single" w:color="auto" w:sz="4" w:space="0"/>
              <w:left w:val="nil"/>
              <w:bottom w:val="single" w:color="auto" w:sz="4" w:space="0"/>
              <w:right w:val="single" w:color="auto" w:sz="4" w:space="0"/>
            </w:tcBorders>
            <w:shd w:val="clear" w:color="auto" w:fill="auto"/>
            <w:noWrap w:val="0"/>
            <w:vAlign w:val="center"/>
          </w:tcPr>
          <w:p w14:paraId="1D9562A6">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6</w:t>
            </w:r>
            <w:r>
              <w:rPr>
                <w:rFonts w:hint="eastAsia" w:ascii="宋体" w:hAnsi="宋体" w:eastAsia="宋体" w:cs="仿宋"/>
                <w:color w:val="auto"/>
                <w:sz w:val="21"/>
                <w:szCs w:val="21"/>
                <w:highlight w:val="none"/>
                <w:lang w:eastAsia="zh-CN"/>
              </w:rPr>
              <w:t>分</w:t>
            </w:r>
          </w:p>
        </w:tc>
      </w:tr>
      <w:tr w14:paraId="2E123A85">
        <w:tblPrEx>
          <w:tblCellMar>
            <w:top w:w="0" w:type="dxa"/>
            <w:left w:w="108" w:type="dxa"/>
            <w:bottom w:w="0" w:type="dxa"/>
            <w:right w:w="108" w:type="dxa"/>
          </w:tblCellMar>
        </w:tblPrEx>
        <w:trPr>
          <w:trHeight w:val="2086" w:hRule="atLeast"/>
          <w:jc w:val="center"/>
        </w:trPr>
        <w:tc>
          <w:tcPr>
            <w:tcW w:w="1388" w:type="dxa"/>
            <w:vMerge w:val="continue"/>
            <w:tcBorders>
              <w:left w:val="single" w:color="auto" w:sz="4" w:space="0"/>
              <w:right w:val="single" w:color="auto" w:sz="4" w:space="0"/>
            </w:tcBorders>
            <w:noWrap w:val="0"/>
            <w:vAlign w:val="center"/>
          </w:tcPr>
          <w:p w14:paraId="54A4EC0B">
            <w:pPr>
              <w:snapToGrid w:val="0"/>
              <w:spacing w:line="360" w:lineRule="auto"/>
              <w:jc w:val="left"/>
              <w:rPr>
                <w:rFonts w:hint="eastAsia" w:ascii="宋体" w:hAnsi="宋体" w:eastAsia="宋体" w:cs="仿宋"/>
                <w:color w:val="auto"/>
                <w:sz w:val="21"/>
                <w:szCs w:val="21"/>
                <w:highlight w:val="none"/>
              </w:rPr>
            </w:pPr>
          </w:p>
        </w:tc>
        <w:tc>
          <w:tcPr>
            <w:tcW w:w="1252" w:type="dxa"/>
            <w:tcBorders>
              <w:top w:val="single" w:color="auto" w:sz="4" w:space="0"/>
              <w:left w:val="nil"/>
              <w:bottom w:val="single" w:color="auto" w:sz="4" w:space="0"/>
              <w:right w:val="single" w:color="auto" w:sz="4" w:space="0"/>
            </w:tcBorders>
            <w:noWrap w:val="0"/>
            <w:vAlign w:val="center"/>
          </w:tcPr>
          <w:p w14:paraId="3CFED4F9">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培训方案</w:t>
            </w:r>
          </w:p>
        </w:tc>
        <w:tc>
          <w:tcPr>
            <w:tcW w:w="7018" w:type="dxa"/>
            <w:tcBorders>
              <w:top w:val="single" w:color="auto" w:sz="4" w:space="0"/>
              <w:left w:val="nil"/>
              <w:bottom w:val="single" w:color="auto" w:sz="4" w:space="0"/>
              <w:right w:val="single" w:color="auto" w:sz="4" w:space="0"/>
            </w:tcBorders>
            <w:noWrap w:val="0"/>
            <w:vAlign w:val="center"/>
          </w:tcPr>
          <w:p w14:paraId="190CE489">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根据采购文件要求及投标人提供的培训方案情况进行综合评分，方案内容须包括：①培训人员安排、②培训思路及内容、③培训计划安排。</w:t>
            </w:r>
          </w:p>
          <w:p w14:paraId="09BB55DD">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评委根据方案内容完整性、可行性进行评审赋分，内容齐全且符合采购人实际要求的，得6分，方案内容缺项或不符合采购人实际要求的，每一项扣2分。</w:t>
            </w:r>
          </w:p>
        </w:tc>
        <w:tc>
          <w:tcPr>
            <w:tcW w:w="1319" w:type="dxa"/>
            <w:tcBorders>
              <w:top w:val="single" w:color="auto" w:sz="4" w:space="0"/>
              <w:left w:val="nil"/>
              <w:bottom w:val="single" w:color="auto" w:sz="4" w:space="0"/>
              <w:right w:val="single" w:color="auto" w:sz="4" w:space="0"/>
            </w:tcBorders>
            <w:shd w:val="clear" w:color="auto" w:fill="auto"/>
            <w:noWrap w:val="0"/>
            <w:vAlign w:val="center"/>
          </w:tcPr>
          <w:p w14:paraId="726D68EB">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6</w:t>
            </w:r>
            <w:r>
              <w:rPr>
                <w:rFonts w:hint="eastAsia" w:ascii="宋体" w:hAnsi="宋体" w:eastAsia="宋体" w:cs="仿宋"/>
                <w:color w:val="auto"/>
                <w:sz w:val="21"/>
                <w:szCs w:val="21"/>
                <w:highlight w:val="none"/>
                <w:lang w:eastAsia="zh-CN"/>
              </w:rPr>
              <w:t>分</w:t>
            </w:r>
          </w:p>
        </w:tc>
      </w:tr>
      <w:tr w14:paraId="44FE3475">
        <w:tblPrEx>
          <w:tblCellMar>
            <w:top w:w="0" w:type="dxa"/>
            <w:left w:w="108" w:type="dxa"/>
            <w:bottom w:w="0" w:type="dxa"/>
            <w:right w:w="108" w:type="dxa"/>
          </w:tblCellMar>
        </w:tblPrEx>
        <w:trPr>
          <w:trHeight w:val="3391" w:hRule="atLeast"/>
          <w:jc w:val="center"/>
        </w:trPr>
        <w:tc>
          <w:tcPr>
            <w:tcW w:w="1388" w:type="dxa"/>
            <w:vMerge w:val="continue"/>
            <w:tcBorders>
              <w:left w:val="single" w:color="auto" w:sz="4" w:space="0"/>
              <w:bottom w:val="single" w:color="auto" w:sz="4" w:space="0"/>
              <w:right w:val="single" w:color="auto" w:sz="4" w:space="0"/>
            </w:tcBorders>
            <w:noWrap w:val="0"/>
            <w:vAlign w:val="center"/>
          </w:tcPr>
          <w:p w14:paraId="0469622A">
            <w:pPr>
              <w:snapToGrid w:val="0"/>
              <w:spacing w:line="360" w:lineRule="auto"/>
              <w:jc w:val="left"/>
              <w:rPr>
                <w:rFonts w:hint="eastAsia" w:ascii="宋体" w:hAnsi="宋体" w:eastAsia="宋体" w:cs="仿宋"/>
                <w:color w:val="auto"/>
                <w:sz w:val="21"/>
                <w:szCs w:val="21"/>
                <w:highlight w:val="none"/>
              </w:rPr>
            </w:pPr>
          </w:p>
        </w:tc>
        <w:tc>
          <w:tcPr>
            <w:tcW w:w="1252" w:type="dxa"/>
            <w:tcBorders>
              <w:top w:val="nil"/>
              <w:left w:val="nil"/>
              <w:bottom w:val="single" w:color="auto" w:sz="4" w:space="0"/>
              <w:right w:val="single" w:color="auto" w:sz="4" w:space="0"/>
            </w:tcBorders>
            <w:noWrap w:val="0"/>
            <w:vAlign w:val="center"/>
          </w:tcPr>
          <w:p w14:paraId="1B6973E6">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线上服务</w:t>
            </w:r>
          </w:p>
        </w:tc>
        <w:tc>
          <w:tcPr>
            <w:tcW w:w="7018" w:type="dxa"/>
            <w:tcBorders>
              <w:top w:val="nil"/>
              <w:left w:val="nil"/>
              <w:bottom w:val="single" w:color="auto" w:sz="4" w:space="0"/>
              <w:right w:val="single" w:color="auto" w:sz="4" w:space="0"/>
            </w:tcBorders>
            <w:noWrap w:val="0"/>
            <w:vAlign w:val="center"/>
          </w:tcPr>
          <w:p w14:paraId="68B47E2B">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投标人基于本项目的维保服务，能够提供电脑端（如网页端、PC客户端等）线上报修及维保服务管理系统的，得4分；</w:t>
            </w:r>
          </w:p>
          <w:p w14:paraId="59B69E80">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投标人基于本项目的维保服务，能够提供移动端（如APP、公众号、小程序等）线上报修与维保服务管理系统的，得4分。</w:t>
            </w:r>
          </w:p>
          <w:p w14:paraId="021A442A">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注：①投标人须提供上述管理系统的截图证明材料，包括电脑端与移动端等，且须同时附上网页链接地址（电脑端）、二维码（移动端）等证明材料。</w:t>
            </w:r>
          </w:p>
          <w:p w14:paraId="165DE020">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②截图内容应能体现投标人真实维保项目信息，包括服务用户的项目信息、用户报修与维修记录等，否则按不得分处理。</w:t>
            </w:r>
          </w:p>
        </w:tc>
        <w:tc>
          <w:tcPr>
            <w:tcW w:w="1319" w:type="dxa"/>
            <w:tcBorders>
              <w:top w:val="nil"/>
              <w:left w:val="nil"/>
              <w:bottom w:val="single" w:color="auto" w:sz="4" w:space="0"/>
              <w:right w:val="single" w:color="auto" w:sz="4" w:space="0"/>
            </w:tcBorders>
            <w:shd w:val="clear" w:color="auto" w:fill="auto"/>
            <w:noWrap w:val="0"/>
            <w:vAlign w:val="center"/>
          </w:tcPr>
          <w:p w14:paraId="0BCC4B94">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8</w:t>
            </w:r>
            <w:r>
              <w:rPr>
                <w:rFonts w:hint="eastAsia" w:ascii="宋体" w:hAnsi="宋体" w:eastAsia="宋体" w:cs="仿宋"/>
                <w:color w:val="auto"/>
                <w:sz w:val="21"/>
                <w:szCs w:val="21"/>
                <w:highlight w:val="none"/>
                <w:lang w:eastAsia="zh-CN"/>
              </w:rPr>
              <w:t>分</w:t>
            </w:r>
          </w:p>
        </w:tc>
      </w:tr>
      <w:tr w14:paraId="0FE7DE76">
        <w:tblPrEx>
          <w:tblCellMar>
            <w:top w:w="0" w:type="dxa"/>
            <w:left w:w="108" w:type="dxa"/>
            <w:bottom w:w="0" w:type="dxa"/>
            <w:right w:w="108" w:type="dxa"/>
          </w:tblCellMar>
        </w:tblPrEx>
        <w:trPr>
          <w:trHeight w:val="90" w:hRule="atLeast"/>
          <w:jc w:val="center"/>
        </w:trPr>
        <w:tc>
          <w:tcPr>
            <w:tcW w:w="13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E10352">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价格分</w:t>
            </w:r>
          </w:p>
          <w:p w14:paraId="12B4A005">
            <w:pPr>
              <w:spacing w:line="400" w:lineRule="exact"/>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30分</w:t>
            </w:r>
            <w:r>
              <w:rPr>
                <w:rFonts w:hint="eastAsia" w:ascii="宋体" w:hAnsi="宋体" w:eastAsia="宋体" w:cs="宋体"/>
                <w:color w:val="auto"/>
                <w:sz w:val="21"/>
                <w:szCs w:val="21"/>
                <w:lang w:eastAsia="zh-CN"/>
              </w:rPr>
              <w:t>）</w:t>
            </w:r>
          </w:p>
        </w:tc>
        <w:tc>
          <w:tcPr>
            <w:tcW w:w="9589" w:type="dxa"/>
            <w:gridSpan w:val="3"/>
            <w:tcBorders>
              <w:top w:val="single" w:color="auto" w:sz="4" w:space="0"/>
              <w:left w:val="nil"/>
              <w:bottom w:val="single" w:color="auto" w:sz="4" w:space="0"/>
              <w:right w:val="single" w:color="auto" w:sz="4" w:space="0"/>
            </w:tcBorders>
            <w:shd w:val="clear" w:color="auto" w:fill="auto"/>
            <w:noWrap w:val="0"/>
            <w:vAlign w:val="center"/>
          </w:tcPr>
          <w:p w14:paraId="7A9E4A46">
            <w:pPr>
              <w:widowControl/>
              <w:jc w:val="left"/>
              <w:textAlignment w:val="top"/>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价格分统一采用低价优先法，即满足磋商文件要求且最后报价最低的供应商的价格为磋商基准价，其价格分为满分</w:t>
            </w:r>
            <w:r>
              <w:rPr>
                <w:rFonts w:hint="eastAsia" w:cs="Times New Roman"/>
                <w:color w:val="auto"/>
                <w:sz w:val="21"/>
                <w:szCs w:val="21"/>
                <w:lang w:val="en-US" w:eastAsia="zh-CN"/>
              </w:rPr>
              <w:t>30</w:t>
            </w:r>
            <w:r>
              <w:rPr>
                <w:rFonts w:hint="eastAsia" w:ascii="Times New Roman" w:hAnsi="Times New Roman" w:eastAsia="宋体" w:cs="Times New Roman"/>
                <w:color w:val="auto"/>
                <w:sz w:val="21"/>
                <w:szCs w:val="21"/>
              </w:rPr>
              <w:t>分。其他供应商的价格分统一按照下列公式计算：</w:t>
            </w:r>
          </w:p>
          <w:p w14:paraId="0EEC55DD">
            <w:pPr>
              <w:snapToGrid w:val="0"/>
              <w:spacing w:line="360" w:lineRule="auto"/>
              <w:jc w:val="center"/>
              <w:rPr>
                <w:rFonts w:hint="eastAsia" w:ascii="宋体" w:hAnsi="宋体" w:eastAsia="宋体" w:cs="仿宋"/>
                <w:color w:val="auto"/>
                <w:sz w:val="21"/>
                <w:szCs w:val="21"/>
                <w:highlight w:val="none"/>
                <w:lang w:val="en-US" w:eastAsia="zh-CN"/>
              </w:rPr>
            </w:pPr>
            <w:r>
              <w:rPr>
                <w:rFonts w:hint="eastAsia" w:ascii="Times New Roman" w:hAnsi="Times New Roman" w:eastAsia="宋体" w:cs="Times New Roman"/>
                <w:color w:val="auto"/>
                <w:sz w:val="21"/>
                <w:szCs w:val="21"/>
              </w:rPr>
              <w:t>磋商报价得分＝（磋商基准价/最后磋商报价）×</w:t>
            </w:r>
            <w:r>
              <w:rPr>
                <w:rFonts w:hint="eastAsia" w:cs="Times New Roman"/>
                <w:color w:val="auto"/>
                <w:sz w:val="21"/>
                <w:szCs w:val="21"/>
                <w:lang w:val="en-US" w:eastAsia="zh-CN"/>
              </w:rPr>
              <w:t>30</w:t>
            </w:r>
            <w:r>
              <w:rPr>
                <w:rFonts w:hint="eastAsia" w:ascii="Times New Roman" w:hAnsi="Times New Roman" w:eastAsia="宋体" w:cs="Times New Roman"/>
                <w:color w:val="auto"/>
                <w:sz w:val="21"/>
                <w:szCs w:val="21"/>
              </w:rPr>
              <w:t>％×100</w:t>
            </w:r>
          </w:p>
        </w:tc>
      </w:tr>
    </w:tbl>
    <w:p w14:paraId="4C4B15BA">
      <w:pPr>
        <w:pStyle w:val="14"/>
        <w:keepNext w:val="0"/>
        <w:keepLines w:val="0"/>
        <w:pageBreakBefore w:val="0"/>
        <w:widowControl w:val="0"/>
        <w:kinsoku/>
        <w:wordWrap/>
        <w:overflowPunct/>
        <w:topLinePunct w:val="0"/>
        <w:autoSpaceDE/>
        <w:autoSpaceDN/>
        <w:bidi w:val="0"/>
        <w:adjustRightInd/>
        <w:snapToGrid/>
        <w:spacing w:before="157" w:beforeLines="50" w:after="0"/>
        <w:ind w:left="0" w:leftChars="0" w:firstLine="0" w:firstLineChars="0"/>
        <w:textAlignment w:val="auto"/>
        <w:rPr>
          <w:rFonts w:hint="eastAsia"/>
          <w:color w:val="auto"/>
          <w:highlight w:val="none"/>
          <w:lang w:val="en-US" w:eastAsia="zh-CN"/>
        </w:rPr>
      </w:pPr>
      <w:r>
        <w:rPr>
          <w:rFonts w:hint="eastAsia"/>
          <w:color w:val="auto"/>
          <w:highlight w:val="none"/>
          <w:lang w:val="en-US" w:eastAsia="zh-CN"/>
        </w:rPr>
        <w:t>3.3分值汇总</w:t>
      </w:r>
    </w:p>
    <w:p w14:paraId="6A486990">
      <w:pPr>
        <w:pStyle w:val="14"/>
        <w:ind w:left="0" w:leftChars="0" w:firstLine="0" w:firstLineChars="0"/>
        <w:rPr>
          <w:rFonts w:hint="eastAsia"/>
          <w:color w:val="auto"/>
          <w:highlight w:val="none"/>
          <w:lang w:val="en-US" w:eastAsia="zh-CN"/>
        </w:rPr>
      </w:pPr>
      <w:r>
        <w:rPr>
          <w:rFonts w:hint="eastAsia"/>
          <w:color w:val="auto"/>
          <w:highlight w:val="none"/>
          <w:lang w:val="en-US" w:eastAsia="zh-CN"/>
        </w:rPr>
        <w:t>（1）磋商小组各成员应当独立对每个有效响应的文件进行评价、打分，然后汇总每个供应商每项评分因素的得分，再取各位评委评分之平均值，四舍五入保留至小数点后两位数，得到该供应商的技术资信分。</w:t>
      </w:r>
    </w:p>
    <w:p w14:paraId="4F07A0B1">
      <w:pPr>
        <w:pStyle w:val="14"/>
        <w:ind w:left="0" w:leftChars="0" w:firstLine="0" w:firstLineChars="0"/>
        <w:rPr>
          <w:rFonts w:hint="eastAsia"/>
          <w:color w:val="auto"/>
          <w:highlight w:val="none"/>
          <w:lang w:val="en-US" w:eastAsia="zh-CN"/>
        </w:rPr>
      </w:pPr>
      <w:r>
        <w:rPr>
          <w:rFonts w:hint="eastAsia"/>
          <w:color w:val="auto"/>
          <w:highlight w:val="none"/>
          <w:lang w:val="en-US" w:eastAsia="zh-CN"/>
        </w:rPr>
        <w:t>（2）将每个供应商的技术资信分加上根据上述标准计算出的价格分，即为该供应商的综合总得分。</w:t>
      </w:r>
    </w:p>
    <w:p w14:paraId="2114B15D">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4" w:name="_Toc1812"/>
      <w:bookmarkStart w:id="55" w:name="_Toc54941341"/>
      <w:bookmarkStart w:id="56" w:name="_Toc8981"/>
      <w:bookmarkStart w:id="57" w:name="_Toc439316880"/>
      <w:r>
        <w:rPr>
          <w:rFonts w:hint="eastAsia" w:ascii="宋体" w:hAnsi="宋体" w:eastAsia="宋体" w:cs="宋体"/>
          <w:b/>
          <w:bCs/>
          <w:color w:val="auto"/>
          <w:kern w:val="2"/>
          <w:sz w:val="36"/>
          <w:szCs w:val="36"/>
          <w:highlight w:val="none"/>
          <w:lang w:val="en-US" w:eastAsia="zh-CN"/>
        </w:rPr>
        <w:t>第五章  合 同</w:t>
      </w:r>
    </w:p>
    <w:p w14:paraId="163075B1">
      <w:pPr>
        <w:pStyle w:val="1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57002AE6">
      <w:pPr>
        <w:pStyle w:val="1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0E4CF258">
      <w:pPr>
        <w:pStyle w:val="1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10ED54E">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54FE513D">
      <w:pPr>
        <w:pStyle w:val="18"/>
        <w:rPr>
          <w:rFonts w:hint="eastAsia" w:ascii="宋体" w:hAnsi="宋体" w:eastAsia="宋体" w:cs="宋体"/>
          <w:b/>
          <w:bCs/>
          <w:spacing w:val="-20"/>
          <w:kern w:val="44"/>
          <w:sz w:val="24"/>
          <w:szCs w:val="24"/>
          <w:highlight w:val="none"/>
        </w:rPr>
      </w:pPr>
    </w:p>
    <w:p w14:paraId="307D03F5">
      <w:pPr>
        <w:pStyle w:val="18"/>
        <w:rPr>
          <w:rFonts w:hint="eastAsia" w:ascii="宋体" w:hAnsi="宋体" w:eastAsia="宋体" w:cs="宋体"/>
          <w:b/>
          <w:bCs/>
          <w:spacing w:val="-20"/>
          <w:kern w:val="44"/>
          <w:sz w:val="24"/>
          <w:szCs w:val="24"/>
          <w:highlight w:val="none"/>
        </w:rPr>
      </w:pPr>
    </w:p>
    <w:p w14:paraId="361D8C27">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718C8913">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390C8467">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01A50B0F">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A187E39">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5BF3BA24">
      <w:pPr>
        <w:pageBreakBefore w:val="0"/>
        <w:kinsoku/>
        <w:wordWrap/>
        <w:overflowPunct/>
        <w:topLinePunct w:val="0"/>
        <w:bidi w:val="0"/>
        <w:spacing w:line="360" w:lineRule="auto"/>
        <w:jc w:val="both"/>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56F0F531">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16598B53">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7CF21033">
      <w:pPr>
        <w:pageBreakBefore w:val="0"/>
        <w:kinsoku/>
        <w:wordWrap/>
        <w:overflowPunct/>
        <w:topLinePunct w:val="0"/>
        <w:bidi w:val="0"/>
        <w:spacing w:line="360" w:lineRule="auto"/>
        <w:ind w:left="420" w:leftChars="200"/>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095CDD99">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5F7C625B">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6A6BE150">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lang w:val="en-US" w:eastAsia="zh-CN"/>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u w:val="none"/>
          <w:lang w:val="en-US" w:eastAsia="zh-CN"/>
        </w:rPr>
        <w:t>日</w:t>
      </w:r>
    </w:p>
    <w:p w14:paraId="1D6CA193">
      <w:pPr>
        <w:spacing w:line="360" w:lineRule="auto"/>
        <w:ind w:firstLine="480" w:firstLineChars="200"/>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58" w:name="_Toc3029"/>
      <w:bookmarkStart w:id="59" w:name="_Toc24059"/>
      <w:bookmarkStart w:id="60" w:name="_Toc2232"/>
      <w:r>
        <w:rPr>
          <w:rFonts w:hint="eastAsia" w:ascii="宋体" w:hAnsi="宋体" w:eastAsia="宋体"/>
          <w:b/>
          <w:bCs/>
          <w:sz w:val="24"/>
          <w:highlight w:val="none"/>
          <w:lang w:val="zh-CN"/>
        </w:rPr>
        <w:t>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58"/>
      <w:bookmarkEnd w:id="59"/>
      <w:bookmarkEnd w:id="60"/>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1.4磋商文件（含澄清或者修改文件）；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1.5其他相关采购文件。</w:t>
      </w:r>
    </w:p>
    <w:p w14:paraId="5A12C8EF">
      <w:pPr>
        <w:spacing w:line="360" w:lineRule="auto"/>
        <w:ind w:firstLine="437"/>
        <w:outlineLvl w:val="2"/>
        <w:rPr>
          <w:rFonts w:ascii="宋体" w:hAnsi="宋体" w:eastAsia="宋体"/>
          <w:b/>
          <w:bCs/>
          <w:sz w:val="24"/>
          <w:highlight w:val="none"/>
          <w:lang w:val="zh-CN"/>
        </w:rPr>
      </w:pPr>
      <w:bookmarkStart w:id="61" w:name="_Toc6773"/>
      <w:bookmarkStart w:id="62" w:name="_Toc6311"/>
      <w:bookmarkStart w:id="63" w:name="_Toc22185"/>
      <w:bookmarkStart w:id="64" w:name="_Toc18585"/>
      <w:bookmarkStart w:id="65" w:name="_Toc2918"/>
      <w:r>
        <w:rPr>
          <w:rFonts w:hint="eastAsia" w:ascii="宋体" w:hAnsi="宋体" w:eastAsia="宋体"/>
          <w:b/>
          <w:bCs/>
          <w:sz w:val="24"/>
          <w:highlight w:val="none"/>
          <w:lang w:val="zh-CN"/>
        </w:rPr>
        <w:t xml:space="preserve">2 </w:t>
      </w:r>
      <w:bookmarkEnd w:id="61"/>
      <w:bookmarkEnd w:id="62"/>
      <w:bookmarkEnd w:id="63"/>
      <w:bookmarkEnd w:id="64"/>
      <w:bookmarkEnd w:id="65"/>
      <w:r>
        <w:rPr>
          <w:rFonts w:hint="eastAsia" w:ascii="宋体" w:hAnsi="宋体" w:eastAsia="宋体"/>
          <w:b/>
          <w:bCs/>
          <w:sz w:val="24"/>
          <w:highlight w:val="none"/>
          <w:lang w:val="zh-CN"/>
        </w:rPr>
        <w:t>服务</w:t>
      </w:r>
    </w:p>
    <w:p w14:paraId="3B0C6DB3">
      <w:pPr>
        <w:spacing w:line="360" w:lineRule="auto"/>
        <w:ind w:firstLine="435"/>
        <w:rPr>
          <w:rFonts w:ascii="宋体" w:hAnsi="宋体" w:eastAsia="宋体"/>
          <w:sz w:val="24"/>
          <w:highlight w:val="none"/>
          <w:u w:val="single"/>
        </w:rPr>
      </w:pPr>
      <w:r>
        <w:rPr>
          <w:rFonts w:hint="eastAsia" w:ascii="宋体" w:hAnsi="宋体" w:eastAsia="宋体"/>
          <w:sz w:val="24"/>
          <w:highlight w:val="none"/>
        </w:rPr>
        <w:t>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13F6109">
      <w:pPr>
        <w:spacing w:line="360" w:lineRule="auto"/>
        <w:ind w:firstLine="435"/>
        <w:rPr>
          <w:rFonts w:ascii="宋体" w:hAnsi="宋体" w:eastAsia="宋体"/>
          <w:sz w:val="24"/>
          <w:highlight w:val="none"/>
          <w:u w:val="single"/>
        </w:rPr>
      </w:pPr>
      <w:r>
        <w:rPr>
          <w:rFonts w:hint="eastAsia" w:ascii="宋体" w:hAnsi="宋体" w:eastAsia="宋体"/>
          <w:sz w:val="24"/>
          <w:highlight w:val="none"/>
        </w:rPr>
        <w:t>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7D7AF2">
      <w:pPr>
        <w:spacing w:line="360" w:lineRule="auto"/>
        <w:ind w:firstLine="435"/>
        <w:rPr>
          <w:rFonts w:ascii="宋体" w:hAnsi="宋体" w:eastAsia="宋体"/>
          <w:sz w:val="24"/>
          <w:highlight w:val="none"/>
        </w:rPr>
      </w:pPr>
      <w:r>
        <w:rPr>
          <w:rFonts w:hint="eastAsia" w:ascii="宋体" w:hAnsi="宋体" w:eastAsia="宋体"/>
          <w:sz w:val="24"/>
          <w:highlight w:val="none"/>
        </w:rPr>
        <w:t>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82EBAE7">
      <w:pPr>
        <w:spacing w:line="360" w:lineRule="auto"/>
        <w:ind w:firstLine="437"/>
        <w:outlineLvl w:val="2"/>
        <w:rPr>
          <w:rFonts w:ascii="宋体" w:hAnsi="宋体" w:eastAsia="宋体"/>
          <w:b/>
          <w:bCs/>
          <w:sz w:val="24"/>
          <w:highlight w:val="none"/>
          <w:lang w:val="zh-CN"/>
        </w:rPr>
      </w:pPr>
      <w:bookmarkStart w:id="66" w:name="_Toc21551"/>
      <w:bookmarkStart w:id="67" w:name="_Toc21631"/>
      <w:bookmarkStart w:id="68" w:name="_Toc23292"/>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66"/>
      <w:bookmarkEnd w:id="67"/>
      <w:bookmarkEnd w:id="68"/>
    </w:p>
    <w:p w14:paraId="5837E2CD">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061275F7">
      <w:pPr>
        <w:spacing w:line="360" w:lineRule="auto"/>
        <w:ind w:firstLine="437"/>
        <w:outlineLvl w:val="2"/>
        <w:rPr>
          <w:rFonts w:ascii="宋体" w:hAnsi="宋体" w:eastAsia="宋体"/>
          <w:b/>
          <w:bCs/>
          <w:sz w:val="24"/>
          <w:highlight w:val="none"/>
          <w:lang w:val="zh-CN"/>
        </w:rPr>
      </w:pPr>
      <w:bookmarkStart w:id="69" w:name="_Toc10340"/>
      <w:bookmarkStart w:id="70" w:name="_Toc1814"/>
      <w:bookmarkStart w:id="71" w:name="_Toc22618"/>
      <w:r>
        <w:rPr>
          <w:rFonts w:ascii="宋体" w:hAnsi="宋体" w:eastAsia="宋体"/>
          <w:b/>
          <w:bCs/>
          <w:sz w:val="24"/>
          <w:highlight w:val="none"/>
          <w:lang w:val="zh-CN"/>
        </w:rPr>
        <w:t>4 付款方式和发票开具方式</w:t>
      </w:r>
      <w:bookmarkEnd w:id="69"/>
      <w:bookmarkEnd w:id="70"/>
      <w:bookmarkEnd w:id="71"/>
    </w:p>
    <w:p w14:paraId="71BA608B">
      <w:pPr>
        <w:spacing w:line="360" w:lineRule="auto"/>
        <w:ind w:firstLine="435"/>
        <w:rPr>
          <w:rFonts w:ascii="宋体" w:hAnsi="宋体" w:eastAsia="宋体"/>
          <w:sz w:val="24"/>
          <w:highlight w:val="none"/>
        </w:rPr>
      </w:pPr>
      <w:r>
        <w:rPr>
          <w:rFonts w:hint="eastAsia" w:ascii="宋体" w:hAnsi="宋体" w:eastAsia="宋体"/>
          <w:sz w:val="24"/>
          <w:highlight w:val="none"/>
        </w:rPr>
        <w:t>4.1</w:t>
      </w:r>
      <w:r>
        <w:rPr>
          <w:rFonts w:ascii="宋体" w:hAnsi="宋体" w:eastAsia="宋体"/>
          <w:sz w:val="24"/>
          <w:highlight w:val="none"/>
        </w:rPr>
        <w:t>付款方式：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4EF80F62">
      <w:pPr>
        <w:spacing w:line="360" w:lineRule="auto"/>
        <w:ind w:firstLine="435"/>
        <w:rPr>
          <w:rFonts w:ascii="宋体" w:hAnsi="宋体" w:eastAsia="宋体"/>
          <w:sz w:val="24"/>
          <w:highlight w:val="none"/>
        </w:rPr>
      </w:pPr>
      <w:r>
        <w:rPr>
          <w:rFonts w:hint="eastAsia" w:ascii="宋体" w:hAnsi="宋体" w:eastAsia="宋体"/>
          <w:sz w:val="24"/>
          <w:highlight w:val="none"/>
        </w:rPr>
        <w:t>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20564D3">
      <w:pPr>
        <w:spacing w:line="360" w:lineRule="auto"/>
        <w:ind w:firstLine="437"/>
        <w:outlineLvl w:val="2"/>
        <w:rPr>
          <w:rFonts w:ascii="宋体" w:hAnsi="宋体" w:eastAsia="宋体"/>
          <w:b/>
          <w:bCs/>
          <w:sz w:val="24"/>
          <w:highlight w:val="none"/>
          <w:lang w:val="zh-CN"/>
        </w:rPr>
      </w:pPr>
      <w:bookmarkStart w:id="72" w:name="_Toc2846"/>
      <w:bookmarkStart w:id="73" w:name="_Toc32071"/>
      <w:bookmarkStart w:id="74" w:name="_Toc19304"/>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72"/>
      <w:bookmarkEnd w:id="73"/>
      <w:bookmarkEnd w:id="74"/>
    </w:p>
    <w:p w14:paraId="52FD8320">
      <w:pPr>
        <w:spacing w:line="360" w:lineRule="auto"/>
        <w:ind w:firstLine="435"/>
        <w:rPr>
          <w:rFonts w:ascii="宋体" w:hAnsi="宋体" w:eastAsia="宋体"/>
          <w:sz w:val="24"/>
          <w:highlight w:val="none"/>
          <w:u w:val="single"/>
        </w:rPr>
      </w:pPr>
      <w:r>
        <w:rPr>
          <w:rFonts w:hint="eastAsia" w:ascii="宋体" w:hAnsi="宋体" w:eastAsia="宋体"/>
          <w:sz w:val="24"/>
          <w:highlight w:val="none"/>
        </w:rPr>
        <w:t>5.1服务期限</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8834CCF">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C9EDF9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22B4E2C">
      <w:pPr>
        <w:spacing w:line="360" w:lineRule="auto"/>
        <w:ind w:firstLine="437"/>
        <w:outlineLvl w:val="2"/>
        <w:rPr>
          <w:rFonts w:ascii="宋体" w:hAnsi="宋体" w:eastAsia="宋体"/>
          <w:b/>
          <w:bCs/>
          <w:sz w:val="24"/>
          <w:highlight w:val="none"/>
          <w:lang w:val="zh-CN"/>
        </w:rPr>
      </w:pPr>
      <w:bookmarkStart w:id="75" w:name="_Toc27250"/>
      <w:bookmarkStart w:id="76" w:name="_Toc19554"/>
      <w:bookmarkStart w:id="77" w:name="_Toc21423"/>
      <w:r>
        <w:rPr>
          <w:rFonts w:hint="eastAsia" w:ascii="宋体" w:hAnsi="宋体" w:eastAsia="宋体"/>
          <w:b/>
          <w:bCs/>
          <w:sz w:val="24"/>
          <w:highlight w:val="none"/>
          <w:lang w:val="zh-CN"/>
        </w:rPr>
        <w:t>6 违约责任</w:t>
      </w:r>
      <w:bookmarkEnd w:id="75"/>
      <w:bookmarkEnd w:id="76"/>
      <w:bookmarkEnd w:id="77"/>
    </w:p>
    <w:p w14:paraId="4AA07172">
      <w:pPr>
        <w:spacing w:line="360" w:lineRule="auto"/>
        <w:ind w:firstLine="435"/>
        <w:rPr>
          <w:rFonts w:ascii="宋体" w:hAnsi="宋体" w:eastAsia="宋体"/>
          <w:sz w:val="24"/>
          <w:highlight w:val="none"/>
        </w:rPr>
      </w:pPr>
      <w:bookmarkStart w:id="78" w:name="_Toc15583"/>
      <w:bookmarkStart w:id="79" w:name="_Toc28375"/>
      <w:bookmarkStart w:id="80" w:name="_Toc16021"/>
      <w:r>
        <w:rPr>
          <w:rFonts w:hint="eastAsia" w:ascii="宋体" w:hAnsi="宋体" w:eastAsia="宋体"/>
          <w:sz w:val="24"/>
          <w:highlight w:val="none"/>
        </w:rPr>
        <w:t>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0.3</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30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972BFFF">
      <w:pPr>
        <w:spacing w:line="360" w:lineRule="auto"/>
        <w:ind w:firstLine="435"/>
        <w:rPr>
          <w:rFonts w:ascii="宋体" w:hAnsi="宋体" w:eastAsia="宋体"/>
          <w:sz w:val="24"/>
          <w:highlight w:val="none"/>
        </w:rPr>
      </w:pPr>
      <w:r>
        <w:rPr>
          <w:rFonts w:hint="eastAsia" w:ascii="宋体" w:hAnsi="宋体" w:eastAsia="宋体"/>
          <w:sz w:val="24"/>
          <w:highlight w:val="none"/>
        </w:rPr>
        <w:t>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0.3 </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30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668EEA43">
      <w:pPr>
        <w:spacing w:line="360" w:lineRule="auto"/>
        <w:ind w:firstLine="435"/>
        <w:rPr>
          <w:rFonts w:ascii="宋体" w:hAnsi="宋体" w:eastAsia="宋体"/>
          <w:sz w:val="24"/>
          <w:highlight w:val="none"/>
        </w:rPr>
      </w:pPr>
      <w:r>
        <w:rPr>
          <w:rFonts w:hint="eastAsia" w:ascii="宋体" w:hAnsi="宋体" w:eastAsia="宋体"/>
          <w:sz w:val="24"/>
          <w:highlight w:val="none"/>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1B9F64A">
      <w:pPr>
        <w:spacing w:line="360" w:lineRule="auto"/>
        <w:ind w:firstLine="435"/>
        <w:rPr>
          <w:rFonts w:ascii="宋体" w:hAnsi="宋体" w:eastAsia="宋体"/>
          <w:sz w:val="24"/>
          <w:highlight w:val="none"/>
        </w:rPr>
      </w:pPr>
      <w:r>
        <w:rPr>
          <w:rFonts w:hint="eastAsia" w:ascii="宋体" w:hAnsi="宋体" w:eastAsia="宋体"/>
          <w:sz w:val="24"/>
          <w:highlight w:val="none"/>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D7D082">
      <w:pPr>
        <w:spacing w:line="360" w:lineRule="auto"/>
        <w:ind w:firstLine="435"/>
        <w:rPr>
          <w:rFonts w:ascii="宋体" w:hAnsi="宋体" w:eastAsia="宋体"/>
          <w:sz w:val="24"/>
          <w:highlight w:val="none"/>
        </w:rPr>
      </w:pPr>
      <w:r>
        <w:rPr>
          <w:rFonts w:hint="eastAsia" w:ascii="宋体" w:hAnsi="宋体" w:eastAsia="宋体"/>
          <w:sz w:val="24"/>
          <w:highlight w:val="none"/>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B930AF">
      <w:pPr>
        <w:spacing w:line="360" w:lineRule="auto"/>
        <w:ind w:firstLine="435"/>
        <w:rPr>
          <w:rFonts w:ascii="宋体" w:hAnsi="宋体" w:eastAsia="宋体"/>
          <w:sz w:val="24"/>
          <w:highlight w:val="none"/>
        </w:rPr>
      </w:pPr>
      <w:r>
        <w:rPr>
          <w:rFonts w:hint="eastAsia" w:ascii="宋体" w:hAnsi="宋体" w:eastAsia="宋体"/>
          <w:sz w:val="24"/>
          <w:highlight w:val="none"/>
        </w:rPr>
        <w:t>6.6如果出现政府采购监督管理部门在处理投诉事项期间，书面通知甲方暂停采购活动的情形，或者询问或质疑事项可能影响成交结果的，导致甲方中止履行合同的情形，均不视为甲方违约。</w:t>
      </w:r>
    </w:p>
    <w:p w14:paraId="69569A1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30DB20F6">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7.合同争议的解决</w:t>
      </w:r>
      <w:bookmarkEnd w:id="78"/>
      <w:bookmarkEnd w:id="79"/>
      <w:bookmarkEnd w:id="80"/>
    </w:p>
    <w:p w14:paraId="4705AFF1">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69E60C15">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13CE017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5D398840">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1B42659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72616708">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567CDE52">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727E8C58">
      <w:pPr>
        <w:pStyle w:val="18"/>
      </w:pPr>
    </w:p>
    <w:p w14:paraId="5EF188A8">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C3CFD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19559207">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7CB3795D">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BF048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6D7F7D11">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D6C75C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3DF2DB9">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7EF9B88A">
      <w:pPr>
        <w:widowControl/>
        <w:spacing w:line="560" w:lineRule="exact"/>
        <w:jc w:val="left"/>
        <w:rPr>
          <w:rFonts w:hint="eastAsia"/>
          <w:lang w:val="zh-CN"/>
        </w:rPr>
      </w:pPr>
      <w:r>
        <w:rPr>
          <w:rFonts w:hint="eastAsia" w:ascii="宋体" w:hAnsi="宋体" w:eastAsia="宋体" w:cs="宋体"/>
          <w:sz w:val="24"/>
          <w:szCs w:val="24"/>
          <w:highlight w:val="none"/>
          <w:u w:val="single"/>
        </w:rPr>
        <w:br w:type="page"/>
      </w:r>
    </w:p>
    <w:bookmarkEnd w:id="54"/>
    <w:bookmarkEnd w:id="55"/>
    <w:bookmarkEnd w:id="56"/>
    <w:bookmarkEnd w:id="57"/>
    <w:p w14:paraId="3BD274A0">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81" w:name="_Toc417656001"/>
      <w:r>
        <w:rPr>
          <w:rFonts w:hint="eastAsia" w:ascii="Arial" w:hAnsi="Arial"/>
          <w:color w:val="auto"/>
          <w:kern w:val="2"/>
          <w:sz w:val="36"/>
          <w:szCs w:val="36"/>
          <w:highlight w:val="none"/>
        </w:rPr>
        <w:t>响应文件格式</w:t>
      </w:r>
      <w:bookmarkEnd w:id="81"/>
    </w:p>
    <w:p w14:paraId="6F61B9AA">
      <w:pPr>
        <w:spacing w:line="360" w:lineRule="auto"/>
        <w:jc w:val="center"/>
        <w:rPr>
          <w:rFonts w:ascii="仿宋" w:hAnsi="仿宋" w:eastAsia="仿宋"/>
          <w:b/>
          <w:color w:val="auto"/>
          <w:spacing w:val="20"/>
          <w:sz w:val="36"/>
          <w:szCs w:val="36"/>
          <w:highlight w:val="none"/>
          <w:u w:val="single"/>
        </w:rPr>
      </w:pPr>
    </w:p>
    <w:p w14:paraId="77CB8270">
      <w:pPr>
        <w:spacing w:line="480" w:lineRule="auto"/>
        <w:jc w:val="center"/>
        <w:rPr>
          <w:rFonts w:ascii="宋体"/>
          <w:b/>
          <w:color w:val="auto"/>
          <w:sz w:val="72"/>
          <w:szCs w:val="72"/>
          <w:highlight w:val="none"/>
        </w:rPr>
      </w:pPr>
      <w:r>
        <w:rPr>
          <w:rFonts w:hint="eastAsia" w:ascii="宋体" w:hAnsi="宋体"/>
          <w:b/>
          <w:color w:val="auto"/>
          <w:sz w:val="72"/>
          <w:szCs w:val="72"/>
          <w:highlight w:val="none"/>
        </w:rPr>
        <w:t>响</w:t>
      </w:r>
    </w:p>
    <w:p w14:paraId="41851454">
      <w:pPr>
        <w:spacing w:line="480" w:lineRule="auto"/>
        <w:jc w:val="center"/>
        <w:rPr>
          <w:rFonts w:ascii="宋体"/>
          <w:b/>
          <w:color w:val="auto"/>
          <w:sz w:val="72"/>
          <w:szCs w:val="72"/>
          <w:highlight w:val="none"/>
        </w:rPr>
      </w:pPr>
      <w:r>
        <w:rPr>
          <w:rFonts w:hint="eastAsia" w:ascii="宋体" w:hAnsi="宋体"/>
          <w:b/>
          <w:color w:val="auto"/>
          <w:sz w:val="72"/>
          <w:szCs w:val="72"/>
          <w:highlight w:val="none"/>
        </w:rPr>
        <w:t>应</w:t>
      </w:r>
    </w:p>
    <w:p w14:paraId="5570D467">
      <w:pPr>
        <w:spacing w:line="480" w:lineRule="auto"/>
        <w:jc w:val="center"/>
        <w:rPr>
          <w:rFonts w:ascii="宋体"/>
          <w:b/>
          <w:color w:val="auto"/>
          <w:sz w:val="72"/>
          <w:szCs w:val="72"/>
          <w:highlight w:val="none"/>
        </w:rPr>
      </w:pPr>
      <w:r>
        <w:rPr>
          <w:rFonts w:hint="eastAsia" w:ascii="宋体" w:hAnsi="宋体"/>
          <w:b/>
          <w:color w:val="auto"/>
          <w:sz w:val="72"/>
          <w:szCs w:val="72"/>
          <w:highlight w:val="none"/>
        </w:rPr>
        <w:t>文</w:t>
      </w:r>
    </w:p>
    <w:p w14:paraId="693F3B23">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10B9FA7C">
      <w:pPr>
        <w:pStyle w:val="50"/>
        <w:ind w:left="0" w:leftChars="0" w:firstLine="0" w:firstLineChars="0"/>
        <w:rPr>
          <w:rFonts w:ascii="宋体"/>
          <w:color w:val="auto"/>
          <w:sz w:val="24"/>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81D6926">
      <w:pPr>
        <w:spacing w:line="360" w:lineRule="auto"/>
        <w:ind w:firstLine="602" w:firstLineChars="200"/>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5925B018">
      <w:pPr>
        <w:spacing w:line="360" w:lineRule="auto"/>
        <w:rPr>
          <w:rFonts w:ascii="仿宋_GB2312" w:eastAsia="仿宋_GB2312"/>
          <w:color w:val="auto"/>
          <w:sz w:val="30"/>
          <w:szCs w:val="30"/>
          <w:highlight w:val="none"/>
        </w:rPr>
      </w:pPr>
    </w:p>
    <w:p w14:paraId="2356CC2F">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161C2C49">
      <w:pPr>
        <w:spacing w:line="480" w:lineRule="exact"/>
        <w:jc w:val="center"/>
        <w:rPr>
          <w:rFonts w:ascii="宋体" w:hAnsi="宋体"/>
          <w:b/>
          <w:color w:val="auto"/>
          <w:sz w:val="30"/>
          <w:szCs w:val="30"/>
          <w:highlight w:val="none"/>
        </w:rPr>
      </w:pPr>
    </w:p>
    <w:p w14:paraId="54D5A13D">
      <w:pPr>
        <w:spacing w:line="480" w:lineRule="exact"/>
        <w:rPr>
          <w:rFonts w:ascii="黑体" w:eastAsia="黑体"/>
          <w:b/>
          <w:bCs/>
          <w:color w:val="auto"/>
          <w:szCs w:val="21"/>
          <w:highlight w:val="none"/>
        </w:rPr>
      </w:pPr>
    </w:p>
    <w:p w14:paraId="01FCE25C">
      <w:pPr>
        <w:pStyle w:val="2"/>
      </w:pPr>
    </w:p>
    <w:p w14:paraId="28878E0F">
      <w:pPr>
        <w:rPr>
          <w:color w:val="auto"/>
          <w:highlight w:val="none"/>
        </w:rPr>
      </w:pPr>
    </w:p>
    <w:p w14:paraId="4DB001B2">
      <w:pPr>
        <w:jc w:val="center"/>
        <w:rPr>
          <w:rFonts w:hint="eastAsia" w:ascii="宋体" w:hAnsi="宋体" w:cs="宋体"/>
          <w:b/>
          <w:color w:val="auto"/>
          <w:sz w:val="32"/>
          <w:szCs w:val="32"/>
          <w:highlight w:val="none"/>
        </w:rPr>
      </w:pPr>
    </w:p>
    <w:p w14:paraId="19B9598F">
      <w:pPr>
        <w:spacing w:line="360" w:lineRule="auto"/>
        <w:jc w:val="center"/>
        <w:outlineLvl w:val="1"/>
        <w:rPr>
          <w:rFonts w:asciiTheme="minorEastAsia" w:hAnsiTheme="minorEastAsia" w:eastAsiaTheme="minorEastAsia"/>
          <w:b/>
          <w:color w:val="auto"/>
          <w:sz w:val="24"/>
          <w:highlight w:val="none"/>
        </w:rPr>
      </w:pPr>
      <w:bookmarkStart w:id="82" w:name="_Toc461056631"/>
      <w:bookmarkStart w:id="83" w:name="_Toc461053086"/>
      <w:bookmarkStart w:id="84" w:name="_Toc520983587"/>
      <w:bookmarkStart w:id="85" w:name="_Toc26791"/>
      <w:bookmarkStart w:id="86" w:name="_Toc5881"/>
      <w:r>
        <w:rPr>
          <w:rFonts w:hint="eastAsia" w:asciiTheme="minorEastAsia" w:hAnsiTheme="minorEastAsia" w:eastAsiaTheme="minorEastAsia"/>
          <w:b/>
          <w:color w:val="auto"/>
          <w:sz w:val="24"/>
          <w:highlight w:val="none"/>
        </w:rPr>
        <w:t>一</w:t>
      </w:r>
      <w:bookmarkEnd w:id="82"/>
      <w:bookmarkEnd w:id="83"/>
      <w:r>
        <w:rPr>
          <w:rFonts w:hint="eastAsia" w:asciiTheme="minorEastAsia" w:hAnsiTheme="minorEastAsia" w:eastAsiaTheme="minorEastAsia"/>
          <w:b/>
          <w:color w:val="auto"/>
          <w:sz w:val="24"/>
          <w:highlight w:val="none"/>
        </w:rPr>
        <w:t>、报价表格式</w:t>
      </w:r>
      <w:bookmarkEnd w:id="84"/>
      <w:bookmarkEnd w:id="85"/>
      <w:bookmarkEnd w:id="86"/>
    </w:p>
    <w:p w14:paraId="446639F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BA1171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1263759">
            <w:pPr>
              <w:snapToGrid w:val="0"/>
              <w:spacing w:line="360" w:lineRule="auto"/>
              <w:rPr>
                <w:rFonts w:ascii="宋体" w:hAnsi="宋体" w:eastAsia="宋体"/>
                <w:color w:val="auto"/>
                <w:sz w:val="24"/>
                <w:szCs w:val="28"/>
                <w:highlight w:val="none"/>
              </w:rPr>
            </w:pPr>
          </w:p>
          <w:p w14:paraId="00CED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315E39">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4936452F">
            <w:pPr>
              <w:snapToGrid w:val="0"/>
              <w:spacing w:line="360" w:lineRule="auto"/>
              <w:rPr>
                <w:rFonts w:ascii="宋体" w:hAnsi="宋体" w:eastAsia="宋体"/>
                <w:b/>
                <w:color w:val="auto"/>
                <w:sz w:val="24"/>
                <w:highlight w:val="none"/>
              </w:rPr>
            </w:pP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136B28F6">
      <w:pPr>
        <w:spacing w:line="360" w:lineRule="auto"/>
        <w:ind w:firstLine="4800" w:firstLineChars="2000"/>
        <w:rPr>
          <w:rFonts w:hint="eastAsia" w:ascii="宋体" w:hAnsi="宋体" w:eastAsia="宋体"/>
          <w:color w:val="auto"/>
          <w:sz w:val="24"/>
          <w:highlight w:val="none"/>
        </w:rPr>
      </w:pPr>
    </w:p>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3D78A417">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50D2A78E">
      <w:pPr>
        <w:spacing w:before="156" w:beforeLines="50" w:after="156" w:afterLines="50" w:line="360" w:lineRule="auto"/>
        <w:jc w:val="left"/>
        <w:outlineLvl w:val="2"/>
        <w:rPr>
          <w:rFonts w:ascii="宋体" w:hAnsi="宋体" w:eastAsia="宋体"/>
          <w:b/>
          <w:sz w:val="24"/>
          <w:szCs w:val="28"/>
          <w:highlight w:val="none"/>
        </w:rPr>
      </w:pPr>
      <w:r>
        <w:rPr>
          <w:rFonts w:hint="eastAsia" w:ascii="宋体" w:hAnsi="宋体" w:eastAsia="宋体"/>
          <w:b/>
          <w:sz w:val="24"/>
          <w:szCs w:val="28"/>
          <w:highlight w:val="none"/>
        </w:rPr>
        <w:t>1-2 分项报价明细表</w:t>
      </w:r>
    </w:p>
    <w:tbl>
      <w:tblPr>
        <w:tblStyle w:val="41"/>
        <w:tblW w:w="50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3465"/>
        <w:gridCol w:w="1512"/>
        <w:gridCol w:w="1892"/>
        <w:gridCol w:w="1748"/>
      </w:tblGrid>
      <w:tr w14:paraId="4DDA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jc w:val="center"/>
        </w:trPr>
        <w:tc>
          <w:tcPr>
            <w:tcW w:w="463" w:type="pct"/>
            <w:noWrap w:val="0"/>
            <w:vAlign w:val="center"/>
          </w:tcPr>
          <w:p w14:paraId="05AF21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序号</w:t>
            </w:r>
          </w:p>
        </w:tc>
        <w:tc>
          <w:tcPr>
            <w:tcW w:w="1824" w:type="pct"/>
            <w:noWrap w:val="0"/>
            <w:vAlign w:val="center"/>
          </w:tcPr>
          <w:p w14:paraId="3BDB2F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服务内容</w:t>
            </w:r>
          </w:p>
        </w:tc>
        <w:tc>
          <w:tcPr>
            <w:tcW w:w="796" w:type="pct"/>
            <w:noWrap w:val="0"/>
            <w:vAlign w:val="center"/>
          </w:tcPr>
          <w:p w14:paraId="5868306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项</w:t>
            </w:r>
          </w:p>
        </w:tc>
        <w:tc>
          <w:tcPr>
            <w:tcW w:w="996" w:type="pct"/>
            <w:noWrap w:val="0"/>
            <w:vAlign w:val="center"/>
          </w:tcPr>
          <w:p w14:paraId="7934227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单价</w:t>
            </w:r>
          </w:p>
        </w:tc>
        <w:tc>
          <w:tcPr>
            <w:tcW w:w="920" w:type="pct"/>
            <w:noWrap w:val="0"/>
            <w:vAlign w:val="center"/>
          </w:tcPr>
          <w:p w14:paraId="639A001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小计（元）</w:t>
            </w:r>
          </w:p>
        </w:tc>
      </w:tr>
      <w:tr w14:paraId="7667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463" w:type="pct"/>
            <w:tcBorders>
              <w:bottom w:val="single" w:color="auto" w:sz="4" w:space="0"/>
            </w:tcBorders>
            <w:noWrap w:val="0"/>
            <w:vAlign w:val="center"/>
          </w:tcPr>
          <w:p w14:paraId="0E2044D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1</w:t>
            </w:r>
          </w:p>
        </w:tc>
        <w:tc>
          <w:tcPr>
            <w:tcW w:w="1824" w:type="pct"/>
            <w:noWrap w:val="0"/>
            <w:vAlign w:val="center"/>
          </w:tcPr>
          <w:p w14:paraId="7880AC6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Theme="minorEastAsia" w:hAnsiTheme="minorEastAsia" w:eastAsiaTheme="minorEastAsia" w:cstheme="minorEastAsia"/>
                <w:b w:val="0"/>
                <w:bCs/>
                <w:color w:val="auto"/>
                <w:kern w:val="0"/>
                <w:sz w:val="24"/>
                <w:szCs w:val="24"/>
                <w:highlight w:val="none"/>
                <w:lang w:val="en-US" w:eastAsia="zh-CN" w:bidi="ar-SA"/>
              </w:rPr>
              <w:t>校门口通行设备及系统维保</w:t>
            </w:r>
          </w:p>
        </w:tc>
        <w:tc>
          <w:tcPr>
            <w:tcW w:w="796" w:type="pct"/>
            <w:noWrap w:val="0"/>
            <w:vAlign w:val="center"/>
          </w:tcPr>
          <w:p w14:paraId="637F73F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r>
              <w:rPr>
                <w:rFonts w:hint="eastAsia" w:ascii="宋体" w:hAnsi="宋体"/>
                <w:sz w:val="24"/>
                <w:highlight w:val="none"/>
                <w:lang w:val="en-US" w:eastAsia="zh-CN"/>
              </w:rPr>
              <w:t>1</w:t>
            </w:r>
          </w:p>
        </w:tc>
        <w:tc>
          <w:tcPr>
            <w:tcW w:w="996" w:type="pct"/>
            <w:noWrap w:val="0"/>
            <w:vAlign w:val="center"/>
          </w:tcPr>
          <w:p w14:paraId="1EA2F8B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60206FF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62A4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463" w:type="pct"/>
            <w:noWrap w:val="0"/>
            <w:vAlign w:val="center"/>
          </w:tcPr>
          <w:p w14:paraId="552E171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2</w:t>
            </w:r>
          </w:p>
        </w:tc>
        <w:tc>
          <w:tcPr>
            <w:tcW w:w="1824" w:type="pct"/>
            <w:noWrap w:val="0"/>
            <w:vAlign w:val="center"/>
          </w:tcPr>
          <w:p w14:paraId="3F742D3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Theme="minorEastAsia" w:hAnsiTheme="minorEastAsia" w:eastAsiaTheme="minorEastAsia" w:cstheme="minorEastAsia"/>
                <w:b w:val="0"/>
                <w:bCs/>
                <w:color w:val="auto"/>
                <w:kern w:val="0"/>
                <w:sz w:val="24"/>
                <w:szCs w:val="24"/>
                <w:highlight w:val="none"/>
                <w:lang w:val="en-US" w:eastAsia="zh-CN" w:bidi="ar-SA"/>
              </w:rPr>
              <w:t>学生宿舍通行设备及系统维保</w:t>
            </w:r>
          </w:p>
        </w:tc>
        <w:tc>
          <w:tcPr>
            <w:tcW w:w="796" w:type="pct"/>
            <w:noWrap w:val="0"/>
            <w:vAlign w:val="center"/>
          </w:tcPr>
          <w:p w14:paraId="6B39482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r>
              <w:rPr>
                <w:rFonts w:hint="eastAsia" w:ascii="宋体" w:hAnsi="宋体"/>
                <w:sz w:val="24"/>
                <w:highlight w:val="none"/>
                <w:lang w:val="en-US" w:eastAsia="zh-CN"/>
              </w:rPr>
              <w:t>1</w:t>
            </w:r>
          </w:p>
        </w:tc>
        <w:tc>
          <w:tcPr>
            <w:tcW w:w="996" w:type="pct"/>
            <w:noWrap w:val="0"/>
            <w:vAlign w:val="center"/>
          </w:tcPr>
          <w:p w14:paraId="036157F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5AAEBA9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51A5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4079" w:type="pct"/>
            <w:gridSpan w:val="4"/>
            <w:noWrap w:val="0"/>
            <w:vAlign w:val="center"/>
          </w:tcPr>
          <w:p w14:paraId="4C32EFE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b/>
                <w:sz w:val="24"/>
                <w:highlight w:val="none"/>
              </w:rPr>
              <w:t>合计金额（元）</w:t>
            </w:r>
          </w:p>
        </w:tc>
        <w:tc>
          <w:tcPr>
            <w:tcW w:w="920" w:type="pct"/>
            <w:noWrap w:val="0"/>
            <w:vAlign w:val="center"/>
          </w:tcPr>
          <w:p w14:paraId="56C4B51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bl>
    <w:p w14:paraId="6ACAA8D5">
      <w:pPr>
        <w:spacing w:line="360" w:lineRule="auto"/>
        <w:rPr>
          <w:rFonts w:hint="default" w:ascii="宋体" w:hAnsi="宋体" w:eastAsia="宋体"/>
          <w:color w:val="auto"/>
          <w:sz w:val="24"/>
          <w:highlight w:val="none"/>
          <w:lang w:val="en-US" w:eastAsia="zh-CN"/>
        </w:rPr>
      </w:pPr>
    </w:p>
    <w:p w14:paraId="0AB78D9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F352856">
      <w:pPr>
        <w:tabs>
          <w:tab w:val="left" w:pos="630"/>
        </w:tabs>
        <w:spacing w:line="360" w:lineRule="auto"/>
        <w:ind w:firstLine="4800" w:firstLineChars="2000"/>
        <w:rPr>
          <w:rFonts w:ascii="宋体" w:hAnsi="宋体" w:eastAsia="宋体"/>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683FB1A4">
      <w:pPr>
        <w:spacing w:line="360" w:lineRule="auto"/>
        <w:ind w:firstLine="435"/>
        <w:jc w:val="right"/>
        <w:rPr>
          <w:rFonts w:hint="eastAsia" w:ascii="宋体" w:hAnsi="宋体" w:eastAsia="宋体"/>
          <w:bCs/>
          <w:sz w:val="24"/>
          <w:szCs w:val="28"/>
          <w:highlight w:val="none"/>
          <w:u w:val="single"/>
        </w:rPr>
      </w:pPr>
    </w:p>
    <w:p w14:paraId="5978ADA8">
      <w:pPr>
        <w:spacing w:line="360" w:lineRule="auto"/>
        <w:ind w:firstLine="435"/>
        <w:jc w:val="right"/>
        <w:rPr>
          <w:rFonts w:hint="eastAsia" w:ascii="宋体" w:hAnsi="宋体" w:eastAsia="宋体"/>
          <w:bCs/>
          <w:sz w:val="24"/>
          <w:szCs w:val="28"/>
          <w:highlight w:val="none"/>
          <w:u w:val="single"/>
        </w:rPr>
      </w:pPr>
    </w:p>
    <w:p w14:paraId="4EDFFC87">
      <w:pPr>
        <w:spacing w:line="360" w:lineRule="auto"/>
        <w:ind w:firstLine="435"/>
        <w:jc w:val="right"/>
        <w:rPr>
          <w:rFonts w:hint="eastAsia" w:ascii="宋体" w:hAnsi="宋体" w:eastAsia="宋体"/>
          <w:bCs/>
          <w:sz w:val="24"/>
          <w:szCs w:val="28"/>
          <w:highlight w:val="none"/>
          <w:u w:val="single"/>
        </w:rPr>
      </w:pPr>
    </w:p>
    <w:p w14:paraId="01DC9F39">
      <w:pPr>
        <w:spacing w:line="360" w:lineRule="auto"/>
        <w:ind w:firstLine="435"/>
        <w:jc w:val="right"/>
        <w:rPr>
          <w:rFonts w:ascii="宋体" w:hAnsi="宋体" w:eastAsia="宋体"/>
          <w:b/>
          <w:bCs/>
          <w:sz w:val="24"/>
          <w:szCs w:val="28"/>
          <w:highlight w:val="none"/>
        </w:rPr>
      </w:pPr>
      <w:r>
        <w:rPr>
          <w:rFonts w:hint="eastAsia" w:ascii="宋体" w:hAnsi="宋体" w:eastAsia="宋体"/>
          <w:bCs/>
          <w:sz w:val="24"/>
          <w:szCs w:val="28"/>
          <w:highlight w:val="none"/>
          <w:u w:val="single"/>
        </w:rPr>
        <w:t xml:space="preserve">       </w:t>
      </w:r>
    </w:p>
    <w:p w14:paraId="052B0EC2">
      <w:pPr>
        <w:spacing w:line="360" w:lineRule="auto"/>
        <w:rPr>
          <w:rFonts w:hint="eastAsia" w:asciiTheme="minorEastAsia" w:hAnsiTheme="minorEastAsia" w:eastAsiaTheme="minorEastAsia"/>
          <w:b/>
          <w:bCs/>
          <w:sz w:val="21"/>
          <w:szCs w:val="21"/>
          <w:highlight w:val="none"/>
          <w:lang w:eastAsia="zh-CN"/>
        </w:rPr>
      </w:pPr>
      <w:r>
        <w:rPr>
          <w:rFonts w:hint="eastAsia" w:asciiTheme="minorEastAsia" w:hAnsiTheme="minorEastAsia" w:eastAsiaTheme="minorEastAsia"/>
          <w:b/>
          <w:bCs/>
          <w:sz w:val="21"/>
          <w:szCs w:val="21"/>
          <w:highlight w:val="none"/>
          <w:lang w:eastAsia="zh-CN"/>
        </w:rPr>
        <w:t>注：</w:t>
      </w:r>
    </w:p>
    <w:p w14:paraId="165D26D6">
      <w:pPr>
        <w:spacing w:line="360" w:lineRule="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1.表1-2-1</w:t>
      </w:r>
      <w:r>
        <w:rPr>
          <w:rFonts w:hint="eastAsia" w:asciiTheme="minorEastAsia" w:hAnsiTheme="minorEastAsia" w:eastAsiaTheme="minorEastAsia"/>
          <w:sz w:val="21"/>
          <w:szCs w:val="21"/>
          <w:highlight w:val="none"/>
        </w:rPr>
        <w:t>中须明确列出所投产品的货物名称、品牌、型号规格、原产地及生产厂商</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lang w:val="en-US" w:eastAsia="zh-CN"/>
        </w:rPr>
        <w:t>如有</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rPr>
        <w:t>，否则可能导致</w:t>
      </w:r>
      <w:r>
        <w:rPr>
          <w:rFonts w:hint="eastAsia" w:asciiTheme="minorEastAsia" w:hAnsiTheme="minorEastAsia" w:eastAsiaTheme="minorEastAsia"/>
          <w:b/>
          <w:bCs/>
          <w:sz w:val="21"/>
          <w:szCs w:val="21"/>
          <w:highlight w:val="none"/>
          <w:lang w:val="en-US" w:eastAsia="zh-CN"/>
        </w:rPr>
        <w:t>响应</w:t>
      </w:r>
      <w:r>
        <w:rPr>
          <w:rFonts w:hint="eastAsia" w:asciiTheme="minorEastAsia" w:hAnsiTheme="minorEastAsia" w:eastAsiaTheme="minorEastAsia"/>
          <w:b/>
          <w:bCs/>
          <w:sz w:val="21"/>
          <w:szCs w:val="21"/>
          <w:highlight w:val="none"/>
        </w:rPr>
        <w:t>无效</w:t>
      </w:r>
      <w:r>
        <w:rPr>
          <w:rFonts w:hint="eastAsia" w:asciiTheme="minorEastAsia" w:hAnsiTheme="minorEastAsia" w:eastAsiaTheme="minorEastAsia"/>
          <w:b/>
          <w:bCs/>
          <w:sz w:val="21"/>
          <w:szCs w:val="21"/>
          <w:highlight w:val="none"/>
          <w:lang w:eastAsia="zh-CN"/>
        </w:rPr>
        <w:t>。</w:t>
      </w:r>
    </w:p>
    <w:p w14:paraId="6D55F71D">
      <w:pPr>
        <w:spacing w:line="360"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2.上述报价为供应商完成本项目内容的全部费用（总报价为表1-2-1（如有）和表1-2-2合计金额之和），</w:t>
      </w:r>
      <w:r>
        <w:rPr>
          <w:rFonts w:hint="eastAsia" w:asciiTheme="minorEastAsia" w:hAnsiTheme="minorEastAsia" w:eastAsiaTheme="minorEastAsia"/>
          <w:sz w:val="21"/>
          <w:szCs w:val="21"/>
          <w:highlight w:val="none"/>
        </w:rPr>
        <w:t>如有漏项或缺项，</w:t>
      </w:r>
      <w:r>
        <w:rPr>
          <w:rFonts w:hint="eastAsia" w:asciiTheme="minorEastAsia" w:hAnsiTheme="minorEastAsia" w:eastAsiaTheme="minorEastAsia"/>
          <w:sz w:val="21"/>
          <w:szCs w:val="21"/>
          <w:highlight w:val="none"/>
          <w:lang w:val="en-US" w:eastAsia="zh-CN"/>
        </w:rPr>
        <w:t>自行</w:t>
      </w:r>
      <w:r>
        <w:rPr>
          <w:rFonts w:hint="eastAsia" w:asciiTheme="minorEastAsia" w:hAnsiTheme="minorEastAsia" w:eastAsiaTheme="minorEastAsia"/>
          <w:sz w:val="21"/>
          <w:szCs w:val="21"/>
          <w:highlight w:val="none"/>
        </w:rPr>
        <w:t>承担全部责任。</w:t>
      </w:r>
    </w:p>
    <w:p w14:paraId="2FEFAA11">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68A4208E">
      <w:pPr>
        <w:spacing w:line="360" w:lineRule="auto"/>
        <w:jc w:val="center"/>
        <w:outlineLvl w:val="1"/>
        <w:rPr>
          <w:rFonts w:asciiTheme="minorEastAsia" w:hAnsiTheme="minorEastAsia" w:eastAsiaTheme="minorEastAsia"/>
          <w:b/>
          <w:color w:val="auto"/>
          <w:sz w:val="24"/>
          <w:highlight w:val="none"/>
        </w:rPr>
      </w:pPr>
      <w:bookmarkStart w:id="87" w:name="_Toc461053087"/>
      <w:bookmarkStart w:id="88" w:name="_Toc461056632"/>
      <w:bookmarkStart w:id="89" w:name="_Toc520983588"/>
      <w:bookmarkStart w:id="90" w:name="_Toc32436"/>
      <w:bookmarkStart w:id="91" w:name="_Toc28695"/>
      <w:r>
        <w:rPr>
          <w:rFonts w:hint="eastAsia" w:asciiTheme="minorEastAsia" w:hAnsiTheme="minorEastAsia" w:eastAsiaTheme="minorEastAsia"/>
          <w:b/>
          <w:color w:val="auto"/>
          <w:sz w:val="24"/>
          <w:highlight w:val="none"/>
        </w:rPr>
        <w:t>二</w:t>
      </w:r>
      <w:bookmarkEnd w:id="87"/>
      <w:bookmarkEnd w:id="88"/>
      <w:r>
        <w:rPr>
          <w:rFonts w:hint="eastAsia" w:asciiTheme="minorEastAsia" w:hAnsiTheme="minorEastAsia" w:eastAsiaTheme="minorEastAsia"/>
          <w:b/>
          <w:color w:val="auto"/>
          <w:sz w:val="24"/>
          <w:highlight w:val="none"/>
        </w:rPr>
        <w:t>、最后承诺报价表</w:t>
      </w:r>
      <w:bookmarkEnd w:id="89"/>
      <w:bookmarkEnd w:id="90"/>
      <w:bookmarkEnd w:id="91"/>
    </w:p>
    <w:p w14:paraId="7E649E58">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273E37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374BC0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A57BBC0">
            <w:pPr>
              <w:snapToGrid w:val="0"/>
              <w:spacing w:line="360" w:lineRule="auto"/>
              <w:rPr>
                <w:rFonts w:ascii="宋体" w:hAnsi="宋体" w:eastAsia="宋体"/>
                <w:color w:val="auto"/>
                <w:sz w:val="24"/>
                <w:szCs w:val="28"/>
                <w:highlight w:val="none"/>
              </w:rPr>
            </w:pPr>
          </w:p>
          <w:p w14:paraId="48D29B0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人民币大写：</w:t>
            </w:r>
            <w:r>
              <w:rPr>
                <w:rFonts w:hint="eastAsia" w:ascii="宋体" w:hAnsi="宋体" w:eastAsia="宋体" w:cs="宋体"/>
                <w:bCs/>
                <w:color w:val="auto"/>
                <w:sz w:val="24"/>
                <w:szCs w:val="24"/>
                <w:highlight w:val="none"/>
                <w:u w:val="single"/>
              </w:rPr>
              <w:t xml:space="preserve">                     </w:t>
            </w:r>
          </w:p>
          <w:p w14:paraId="45A1A035">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人民币小写：</w:t>
            </w:r>
            <w:r>
              <w:rPr>
                <w:rFonts w:hint="eastAsia" w:ascii="宋体" w:hAnsi="宋体" w:eastAsia="宋体" w:cs="宋体"/>
                <w:bCs/>
                <w:color w:val="auto"/>
                <w:sz w:val="24"/>
                <w:szCs w:val="24"/>
                <w:highlight w:val="none"/>
                <w:u w:val="single"/>
              </w:rPr>
              <w:t xml:space="preserve">                     </w:t>
            </w: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54E98CD2">
            <w:pPr>
              <w:spacing w:line="360" w:lineRule="auto"/>
              <w:rPr>
                <w:rFonts w:ascii="宋体" w:hAnsi="宋体" w:eastAsia="宋体"/>
                <w:b/>
                <w:color w:val="auto"/>
                <w:sz w:val="24"/>
                <w:highlight w:val="none"/>
              </w:rPr>
            </w:pPr>
          </w:p>
        </w:tc>
      </w:tr>
    </w:tbl>
    <w:p w14:paraId="6B17390E">
      <w:pPr>
        <w:spacing w:line="360" w:lineRule="auto"/>
        <w:ind w:firstLine="3600" w:firstLineChars="1500"/>
        <w:jc w:val="left"/>
        <w:rPr>
          <w:rFonts w:hint="eastAsia" w:ascii="宋体" w:hAnsi="宋体" w:eastAsia="宋体"/>
          <w:color w:val="auto"/>
          <w:sz w:val="24"/>
          <w:highlight w:val="none"/>
        </w:rPr>
      </w:pPr>
    </w:p>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eastAsia="宋体"/>
          <w:b/>
          <w:bCs/>
          <w:color w:val="auto"/>
          <w:sz w:val="24"/>
          <w:szCs w:val="28"/>
          <w:highlight w:val="none"/>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50B72D77">
      <w:pPr>
        <w:pStyle w:val="18"/>
        <w:ind w:firstLine="420" w:firstLineChars="200"/>
        <w:rPr>
          <w:rFonts w:hint="default" w:eastAsia="宋体"/>
          <w:lang w:val="en-US" w:eastAsia="zh-CN"/>
        </w:rPr>
      </w:pPr>
    </w:p>
    <w:p w14:paraId="74523BB0">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166BBDFA">
      <w:pPr>
        <w:spacing w:line="360" w:lineRule="auto"/>
        <w:jc w:val="center"/>
        <w:outlineLvl w:val="1"/>
        <w:rPr>
          <w:rFonts w:asciiTheme="minorEastAsia" w:hAnsiTheme="minorEastAsia" w:eastAsiaTheme="minorEastAsia"/>
          <w:b/>
          <w:color w:val="auto"/>
          <w:sz w:val="24"/>
          <w:highlight w:val="none"/>
        </w:rPr>
      </w:pPr>
      <w:bookmarkStart w:id="92" w:name="_Toc32385"/>
      <w:bookmarkStart w:id="93" w:name="_Toc520983591"/>
      <w:bookmarkStart w:id="94" w:name="_Toc11500"/>
      <w:r>
        <w:rPr>
          <w:rFonts w:hint="eastAsia" w:asciiTheme="minorEastAsia" w:hAnsiTheme="minorEastAsia" w:eastAsiaTheme="minorEastAsia"/>
          <w:b/>
          <w:color w:val="auto"/>
          <w:sz w:val="24"/>
          <w:highlight w:val="none"/>
        </w:rPr>
        <w:t>三、磋商响应函</w:t>
      </w:r>
      <w:bookmarkEnd w:id="92"/>
      <w:bookmarkEnd w:id="93"/>
      <w:bookmarkEnd w:id="94"/>
    </w:p>
    <w:p w14:paraId="5FCDD945">
      <w:pPr>
        <w:pStyle w:val="24"/>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5ADEBF28">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95" w:name="_Hlk44287543"/>
      <w:r>
        <w:rPr>
          <w:rFonts w:hint="eastAsia" w:ascii="宋体" w:hAnsi="宋体" w:eastAsia="宋体"/>
          <w:color w:val="auto"/>
          <w:sz w:val="24"/>
          <w:highlight w:val="none"/>
        </w:rPr>
        <w:t>竞争性磋商公告和磋商邀请</w:t>
      </w:r>
      <w:bookmarkEnd w:id="95"/>
      <w:r>
        <w:rPr>
          <w:rFonts w:hint="eastAsia" w:ascii="宋体" w:hAnsi="宋体" w:eastAsia="宋体"/>
          <w:color w:val="auto"/>
          <w:sz w:val="24"/>
          <w:highlight w:val="none"/>
        </w:rPr>
        <w:t>，我方兹宣布同意如下：</w:t>
      </w:r>
    </w:p>
    <w:p w14:paraId="382E69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096EDAF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7261F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72F65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5F0FC154">
      <w:pPr>
        <w:spacing w:line="360" w:lineRule="auto"/>
        <w:ind w:firstLine="480" w:firstLineChars="200"/>
        <w:rPr>
          <w:rFonts w:ascii="宋体" w:hAnsi="宋体" w:eastAsia="宋体"/>
          <w:color w:val="auto"/>
          <w:sz w:val="24"/>
          <w:highlight w:val="none"/>
        </w:rPr>
      </w:pPr>
    </w:p>
    <w:p w14:paraId="5F4F6F74">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7D08BA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6A6F0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F2AB49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96" w:name="_Toc21328"/>
      <w:r>
        <w:rPr>
          <w:rFonts w:hint="eastAsia" w:asciiTheme="minorEastAsia" w:hAnsiTheme="minorEastAsia" w:eastAsiaTheme="minorEastAsia"/>
          <w:b/>
          <w:color w:val="auto"/>
          <w:sz w:val="24"/>
          <w:highlight w:val="none"/>
          <w:lang w:val="en-US" w:eastAsia="zh-CN"/>
        </w:rPr>
        <w:t>四、供应商资格声明书</w:t>
      </w:r>
      <w:bookmarkEnd w:id="96"/>
    </w:p>
    <w:p w14:paraId="1EA6E051">
      <w:pPr>
        <w:pStyle w:val="24"/>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val="en-US" w:eastAsia="zh-CN"/>
        </w:rPr>
        <w:t>采购人</w:t>
      </w:r>
    </w:p>
    <w:p w14:paraId="64C40B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7F93854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05359D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5B01F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7B9014E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F03343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78A8D5B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0330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19CF5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5DDA946A">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28441586">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5FAF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73354442">
            <w:pPr>
              <w:pStyle w:val="18"/>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28258176">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58E189A1">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5FFE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26B7F91A">
            <w:pPr>
              <w:pStyle w:val="18"/>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4B81DBBB">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23C42DF3">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70F7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9FCB01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A398CF">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A978556">
      <w:pPr>
        <w:spacing w:line="440" w:lineRule="exact"/>
        <w:ind w:firstLine="4800" w:firstLineChars="2000"/>
        <w:rPr>
          <w:rFonts w:ascii="宋体" w:hAnsi="宋体" w:eastAsia="宋体"/>
          <w:color w:val="auto"/>
          <w:sz w:val="24"/>
          <w:szCs w:val="24"/>
          <w:highlight w:val="none"/>
          <w:u w:val="single"/>
        </w:rPr>
      </w:pPr>
    </w:p>
    <w:p w14:paraId="2CE20A5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D1959CE">
      <w:pPr>
        <w:spacing w:line="360" w:lineRule="auto"/>
        <w:jc w:val="center"/>
        <w:outlineLvl w:val="1"/>
        <w:rPr>
          <w:rFonts w:asciiTheme="minorEastAsia" w:hAnsiTheme="minorEastAsia" w:eastAsiaTheme="minorEastAsia"/>
          <w:b/>
          <w:color w:val="auto"/>
          <w:sz w:val="24"/>
          <w:highlight w:val="none"/>
        </w:rPr>
      </w:pPr>
      <w:bookmarkStart w:id="97" w:name="_Toc204594911"/>
      <w:bookmarkStart w:id="98" w:name="_Toc26922"/>
      <w:bookmarkStart w:id="99" w:name="_Toc520983594"/>
      <w:bookmarkStart w:id="100" w:name="_Toc31518"/>
      <w:bookmarkStart w:id="101" w:name="_Toc516969106"/>
      <w:bookmarkStart w:id="102" w:name="_Toc121626298"/>
      <w:r>
        <w:rPr>
          <w:rFonts w:hint="eastAsia" w:asciiTheme="minorEastAsia" w:hAnsiTheme="minorEastAsia" w:eastAsiaTheme="minorEastAsia"/>
          <w:b/>
          <w:color w:val="auto"/>
          <w:sz w:val="24"/>
          <w:highlight w:val="none"/>
        </w:rPr>
        <w:t>五、授权书</w:t>
      </w:r>
      <w:bookmarkEnd w:id="97"/>
      <w:bookmarkEnd w:id="98"/>
      <w:bookmarkEnd w:id="99"/>
      <w:bookmarkEnd w:id="100"/>
      <w:bookmarkEnd w:id="101"/>
      <w:bookmarkEnd w:id="102"/>
    </w:p>
    <w:p w14:paraId="74844012">
      <w:pPr>
        <w:spacing w:line="360" w:lineRule="auto"/>
        <w:jc w:val="center"/>
        <w:rPr>
          <w:rFonts w:asciiTheme="minorEastAsia" w:hAnsiTheme="minorEastAsia" w:eastAsiaTheme="minorEastAsia"/>
          <w:b/>
          <w:color w:val="auto"/>
          <w:sz w:val="24"/>
          <w:highlight w:val="none"/>
        </w:rPr>
      </w:pPr>
    </w:p>
    <w:p w14:paraId="2FFA1621">
      <w:pPr>
        <w:pStyle w:val="2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34E8E3A7">
      <w:pPr>
        <w:pStyle w:val="2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4D25A89">
      <w:pPr>
        <w:pStyle w:val="22"/>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B2FE112">
      <w:pPr>
        <w:pStyle w:val="22"/>
        <w:snapToGrid w:val="0"/>
        <w:spacing w:line="360" w:lineRule="auto"/>
        <w:ind w:firstLine="480" w:firstLineChars="200"/>
        <w:jc w:val="left"/>
        <w:rPr>
          <w:rFonts w:hAnsi="宋体" w:eastAsia="宋体"/>
          <w:color w:val="auto"/>
          <w:sz w:val="24"/>
          <w:highlight w:val="none"/>
        </w:rPr>
      </w:pPr>
    </w:p>
    <w:p w14:paraId="051E05DE">
      <w:pPr>
        <w:pStyle w:val="22"/>
        <w:snapToGrid w:val="0"/>
        <w:spacing w:line="360" w:lineRule="auto"/>
        <w:ind w:firstLine="480" w:firstLineChars="200"/>
        <w:jc w:val="left"/>
        <w:rPr>
          <w:rFonts w:hAnsi="宋体" w:eastAsia="宋体"/>
          <w:color w:val="auto"/>
          <w:sz w:val="24"/>
          <w:highlight w:val="none"/>
        </w:rPr>
      </w:pPr>
    </w:p>
    <w:p w14:paraId="2C51C88F">
      <w:pPr>
        <w:pStyle w:val="22"/>
        <w:snapToGrid w:val="0"/>
        <w:spacing w:line="360" w:lineRule="auto"/>
        <w:ind w:firstLine="480" w:firstLineChars="200"/>
        <w:jc w:val="left"/>
        <w:rPr>
          <w:rFonts w:hAnsi="宋体" w:eastAsia="宋体"/>
          <w:color w:val="auto"/>
          <w:sz w:val="24"/>
          <w:highlight w:val="none"/>
        </w:rPr>
      </w:pPr>
    </w:p>
    <w:p w14:paraId="2FC590E9">
      <w:pPr>
        <w:pStyle w:val="22"/>
        <w:snapToGrid w:val="0"/>
        <w:spacing w:line="360" w:lineRule="auto"/>
        <w:ind w:firstLine="480" w:firstLineChars="200"/>
        <w:jc w:val="left"/>
        <w:rPr>
          <w:rFonts w:hAnsi="宋体" w:eastAsia="宋体"/>
          <w:color w:val="auto"/>
          <w:sz w:val="24"/>
          <w:highlight w:val="none"/>
        </w:rPr>
      </w:pPr>
    </w:p>
    <w:p w14:paraId="7CB07B64">
      <w:pPr>
        <w:pStyle w:val="22"/>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210D4038">
      <w:pPr>
        <w:pStyle w:val="22"/>
        <w:snapToGrid w:val="0"/>
        <w:spacing w:line="360" w:lineRule="auto"/>
        <w:ind w:firstLine="480" w:firstLineChars="200"/>
        <w:jc w:val="left"/>
        <w:rPr>
          <w:rFonts w:hAnsi="宋体" w:eastAsia="宋体"/>
          <w:color w:val="auto"/>
          <w:sz w:val="24"/>
          <w:szCs w:val="28"/>
          <w:highlight w:val="none"/>
        </w:rPr>
      </w:pPr>
    </w:p>
    <w:p w14:paraId="120F58AB">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48449A2">
      <w:pPr>
        <w:spacing w:line="360" w:lineRule="auto"/>
        <w:rPr>
          <w:rFonts w:ascii="宋体" w:hAnsi="宋体" w:eastAsia="宋体"/>
          <w:color w:val="auto"/>
          <w:sz w:val="24"/>
          <w:szCs w:val="28"/>
          <w:highlight w:val="none"/>
        </w:rPr>
      </w:pPr>
    </w:p>
    <w:p w14:paraId="0848D97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A97D23C">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DFFF86B">
      <w:pPr>
        <w:spacing w:line="360" w:lineRule="auto"/>
        <w:rPr>
          <w:rFonts w:ascii="宋体" w:hAnsi="宋体" w:eastAsia="宋体"/>
          <w:color w:val="auto"/>
          <w:sz w:val="24"/>
          <w:szCs w:val="28"/>
          <w:highlight w:val="none"/>
        </w:rPr>
      </w:pPr>
    </w:p>
    <w:p w14:paraId="5F2F2079">
      <w:pPr>
        <w:spacing w:line="360" w:lineRule="auto"/>
        <w:rPr>
          <w:rFonts w:ascii="宋体" w:hAnsi="宋体" w:eastAsia="宋体"/>
          <w:color w:val="auto"/>
          <w:sz w:val="24"/>
          <w:szCs w:val="28"/>
          <w:highlight w:val="none"/>
        </w:rPr>
      </w:pPr>
    </w:p>
    <w:p w14:paraId="121E39B0">
      <w:pPr>
        <w:pStyle w:val="2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2506770">
      <w:pPr>
        <w:pStyle w:val="2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36C5FDCB">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62DC3EB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B903AAF">
      <w:pPr>
        <w:spacing w:line="360" w:lineRule="auto"/>
        <w:jc w:val="center"/>
        <w:outlineLvl w:val="1"/>
        <w:rPr>
          <w:rFonts w:asciiTheme="minorEastAsia" w:hAnsiTheme="minorEastAsia" w:eastAsiaTheme="minorEastAsia"/>
          <w:b/>
          <w:color w:val="auto"/>
          <w:sz w:val="24"/>
          <w:highlight w:val="none"/>
        </w:rPr>
      </w:pPr>
      <w:bookmarkStart w:id="103" w:name="_Toc22233"/>
      <w:bookmarkStart w:id="104" w:name="_Toc280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磋商</w:t>
      </w:r>
      <w:r>
        <w:rPr>
          <w:rFonts w:hint="eastAsia" w:asciiTheme="minorEastAsia" w:hAnsiTheme="minorEastAsia" w:eastAsiaTheme="minorEastAsia"/>
          <w:b/>
          <w:color w:val="auto"/>
          <w:sz w:val="24"/>
          <w:highlight w:val="none"/>
        </w:rPr>
        <w:t>响应表</w:t>
      </w:r>
      <w:bookmarkEnd w:id="103"/>
      <w:bookmarkEnd w:id="104"/>
    </w:p>
    <w:p w14:paraId="01B07B6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102"/>
        <w:gridCol w:w="2739"/>
        <w:gridCol w:w="2823"/>
        <w:gridCol w:w="888"/>
      </w:tblGrid>
      <w:tr w14:paraId="21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0911BDE6">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B9596A5">
            <w:pPr>
              <w:pStyle w:val="2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17D3F3E">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要求</w:t>
            </w:r>
          </w:p>
        </w:tc>
        <w:tc>
          <w:tcPr>
            <w:tcW w:w="1510" w:type="pct"/>
            <w:vAlign w:val="center"/>
          </w:tcPr>
          <w:p w14:paraId="4CB951DC">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6582646">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E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5BDD3F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10B5D1A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C670635">
            <w:pPr>
              <w:jc w:val="center"/>
              <w:rPr>
                <w:rFonts w:asciiTheme="minorEastAsia" w:hAnsiTheme="minorEastAsia" w:eastAsiaTheme="minorEastAsia"/>
                <w:color w:val="auto"/>
                <w:sz w:val="24"/>
                <w:highlight w:val="none"/>
              </w:rPr>
            </w:pPr>
          </w:p>
        </w:tc>
        <w:tc>
          <w:tcPr>
            <w:tcW w:w="1510" w:type="pct"/>
            <w:vAlign w:val="center"/>
          </w:tcPr>
          <w:p w14:paraId="765BAE84">
            <w:pPr>
              <w:jc w:val="center"/>
              <w:rPr>
                <w:rFonts w:asciiTheme="minorEastAsia" w:hAnsiTheme="minorEastAsia" w:eastAsiaTheme="minorEastAsia"/>
                <w:color w:val="auto"/>
                <w:sz w:val="24"/>
                <w:highlight w:val="none"/>
              </w:rPr>
            </w:pPr>
          </w:p>
        </w:tc>
        <w:tc>
          <w:tcPr>
            <w:tcW w:w="475" w:type="pct"/>
            <w:vAlign w:val="center"/>
          </w:tcPr>
          <w:p w14:paraId="3289A2CD">
            <w:pPr>
              <w:jc w:val="center"/>
              <w:rPr>
                <w:rFonts w:asciiTheme="minorEastAsia" w:hAnsiTheme="minorEastAsia" w:eastAsiaTheme="minorEastAsia"/>
                <w:color w:val="auto"/>
                <w:sz w:val="24"/>
                <w:highlight w:val="none"/>
              </w:rPr>
            </w:pPr>
          </w:p>
        </w:tc>
      </w:tr>
      <w:tr w14:paraId="7218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07C39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5001916D">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1F74CA59">
            <w:pPr>
              <w:jc w:val="center"/>
              <w:rPr>
                <w:rFonts w:asciiTheme="minorEastAsia" w:hAnsiTheme="minorEastAsia" w:eastAsiaTheme="minorEastAsia"/>
                <w:color w:val="auto"/>
                <w:sz w:val="24"/>
                <w:highlight w:val="none"/>
              </w:rPr>
            </w:pPr>
          </w:p>
        </w:tc>
        <w:tc>
          <w:tcPr>
            <w:tcW w:w="1510" w:type="pct"/>
            <w:vAlign w:val="center"/>
          </w:tcPr>
          <w:p w14:paraId="4451EAA0">
            <w:pPr>
              <w:jc w:val="center"/>
              <w:rPr>
                <w:rFonts w:asciiTheme="minorEastAsia" w:hAnsiTheme="minorEastAsia" w:eastAsiaTheme="minorEastAsia"/>
                <w:color w:val="auto"/>
                <w:sz w:val="24"/>
                <w:highlight w:val="none"/>
              </w:rPr>
            </w:pPr>
          </w:p>
        </w:tc>
        <w:tc>
          <w:tcPr>
            <w:tcW w:w="475" w:type="pct"/>
            <w:vAlign w:val="center"/>
          </w:tcPr>
          <w:p w14:paraId="31B75B0A">
            <w:pPr>
              <w:jc w:val="center"/>
              <w:rPr>
                <w:rFonts w:asciiTheme="minorEastAsia" w:hAnsiTheme="minorEastAsia" w:eastAsiaTheme="minorEastAsia"/>
                <w:color w:val="auto"/>
                <w:sz w:val="24"/>
                <w:highlight w:val="none"/>
              </w:rPr>
            </w:pPr>
          </w:p>
        </w:tc>
      </w:tr>
      <w:tr w14:paraId="3C19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BDAD07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8AD38BF">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F962E68">
            <w:pPr>
              <w:jc w:val="center"/>
              <w:rPr>
                <w:rFonts w:asciiTheme="minorEastAsia" w:hAnsiTheme="minorEastAsia" w:eastAsiaTheme="minorEastAsia"/>
                <w:color w:val="auto"/>
                <w:sz w:val="24"/>
                <w:highlight w:val="none"/>
              </w:rPr>
            </w:pPr>
          </w:p>
        </w:tc>
        <w:tc>
          <w:tcPr>
            <w:tcW w:w="1510" w:type="pct"/>
            <w:vAlign w:val="center"/>
          </w:tcPr>
          <w:p w14:paraId="66A1AFA7">
            <w:pPr>
              <w:pStyle w:val="126"/>
              <w:jc w:val="center"/>
              <w:rPr>
                <w:rFonts w:asciiTheme="minorEastAsia" w:hAnsiTheme="minorEastAsia" w:eastAsiaTheme="minorEastAsia"/>
                <w:color w:val="auto"/>
                <w:highlight w:val="none"/>
              </w:rPr>
            </w:pPr>
          </w:p>
        </w:tc>
        <w:tc>
          <w:tcPr>
            <w:tcW w:w="475" w:type="pct"/>
            <w:vAlign w:val="center"/>
          </w:tcPr>
          <w:p w14:paraId="45E98B20">
            <w:pPr>
              <w:jc w:val="center"/>
              <w:rPr>
                <w:rFonts w:asciiTheme="minorEastAsia" w:hAnsiTheme="minorEastAsia" w:eastAsiaTheme="minorEastAsia"/>
                <w:color w:val="auto"/>
                <w:sz w:val="24"/>
                <w:highlight w:val="none"/>
              </w:rPr>
            </w:pPr>
          </w:p>
        </w:tc>
      </w:tr>
      <w:tr w14:paraId="347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64E1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B838464">
            <w:pPr>
              <w:jc w:val="center"/>
              <w:rPr>
                <w:rFonts w:ascii="宋体" w:hAnsi="宋体" w:eastAsia="宋体"/>
                <w:color w:val="auto"/>
                <w:sz w:val="24"/>
                <w:highlight w:val="none"/>
              </w:rPr>
            </w:pPr>
          </w:p>
        </w:tc>
        <w:tc>
          <w:tcPr>
            <w:tcW w:w="1465" w:type="pct"/>
            <w:vAlign w:val="center"/>
          </w:tcPr>
          <w:p w14:paraId="1AE59BBC">
            <w:pPr>
              <w:jc w:val="center"/>
              <w:rPr>
                <w:rFonts w:asciiTheme="minorEastAsia" w:hAnsiTheme="minorEastAsia" w:eastAsiaTheme="minorEastAsia"/>
                <w:color w:val="auto"/>
                <w:sz w:val="24"/>
                <w:highlight w:val="none"/>
              </w:rPr>
            </w:pPr>
          </w:p>
        </w:tc>
        <w:tc>
          <w:tcPr>
            <w:tcW w:w="1510" w:type="pct"/>
            <w:vAlign w:val="center"/>
          </w:tcPr>
          <w:p w14:paraId="0FDED007">
            <w:pPr>
              <w:jc w:val="center"/>
              <w:rPr>
                <w:rFonts w:asciiTheme="minorEastAsia" w:hAnsiTheme="minorEastAsia" w:eastAsiaTheme="minorEastAsia"/>
                <w:color w:val="auto"/>
                <w:sz w:val="24"/>
                <w:highlight w:val="none"/>
              </w:rPr>
            </w:pPr>
          </w:p>
        </w:tc>
        <w:tc>
          <w:tcPr>
            <w:tcW w:w="475" w:type="pct"/>
            <w:vAlign w:val="center"/>
          </w:tcPr>
          <w:p w14:paraId="2A39717B">
            <w:pPr>
              <w:jc w:val="center"/>
              <w:rPr>
                <w:rFonts w:asciiTheme="minorEastAsia" w:hAnsiTheme="minorEastAsia" w:eastAsiaTheme="minorEastAsia"/>
                <w:color w:val="auto"/>
                <w:sz w:val="24"/>
                <w:highlight w:val="none"/>
              </w:rPr>
            </w:pPr>
          </w:p>
        </w:tc>
      </w:tr>
    </w:tbl>
    <w:p w14:paraId="6D38DC42">
      <w:pPr>
        <w:spacing w:line="360" w:lineRule="auto"/>
        <w:ind w:firstLine="435"/>
        <w:outlineLvl w:val="2"/>
        <w:rPr>
          <w:rFonts w:hint="eastAsia" w:asciiTheme="minorEastAsia" w:hAnsiTheme="minorEastAsia" w:eastAsiaTheme="minorEastAsia"/>
          <w:b/>
          <w:color w:val="auto"/>
          <w:sz w:val="24"/>
          <w:highlight w:val="none"/>
        </w:rPr>
      </w:pPr>
    </w:p>
    <w:p w14:paraId="2DDA675C">
      <w:pPr>
        <w:spacing w:line="360" w:lineRule="auto"/>
        <w:ind w:firstLine="435"/>
        <w:outlineLvl w:val="2"/>
        <w:rPr>
          <w:rFonts w:asciiTheme="minorEastAsia" w:hAnsiTheme="minorEastAsia" w:eastAsiaTheme="minorEastAsia"/>
          <w:bCs/>
          <w:i/>
          <w:iCs/>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bookmarkStart w:id="105" w:name="_Hlk23622474"/>
      <w:r>
        <w:rPr>
          <w:rFonts w:hint="eastAsia" w:ascii="宋体" w:hAnsi="宋体" w:eastAsia="宋体" w:cs="@仿宋_GB2312"/>
          <w:b w:val="0"/>
          <w:bCs w:val="0"/>
          <w:i/>
          <w:iCs/>
          <w:color w:val="FF0000"/>
          <w:kern w:val="2"/>
          <w:sz w:val="24"/>
          <w:szCs w:val="18"/>
          <w:highlight w:val="none"/>
          <w:lang w:val="en-US" w:eastAsia="zh-CN" w:bidi="ar-SA"/>
        </w:rPr>
        <w:t>（本条可编辑，适用于含货物采购的服务项目，如无需，请删去本条）</w:t>
      </w:r>
      <w:bookmarkEnd w:id="105"/>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711"/>
        <w:gridCol w:w="3141"/>
        <w:gridCol w:w="2722"/>
        <w:gridCol w:w="938"/>
      </w:tblGrid>
      <w:tr w14:paraId="2A56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189A5A47">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46FFA64C">
            <w:pPr>
              <w:pStyle w:val="2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031D27DD">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规定的技术参数要求</w:t>
            </w:r>
          </w:p>
        </w:tc>
        <w:tc>
          <w:tcPr>
            <w:tcW w:w="1456" w:type="pct"/>
            <w:vAlign w:val="center"/>
          </w:tcPr>
          <w:p w14:paraId="2EEC4690">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111F4E66">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85C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CF29CB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77B46558">
            <w:pPr>
              <w:jc w:val="center"/>
              <w:rPr>
                <w:rFonts w:asciiTheme="minorEastAsia" w:hAnsiTheme="minorEastAsia" w:eastAsiaTheme="minorEastAsia"/>
                <w:color w:val="auto"/>
                <w:sz w:val="24"/>
                <w:highlight w:val="none"/>
              </w:rPr>
            </w:pPr>
          </w:p>
        </w:tc>
        <w:tc>
          <w:tcPr>
            <w:tcW w:w="1680" w:type="pct"/>
            <w:vAlign w:val="center"/>
          </w:tcPr>
          <w:p w14:paraId="47F61768">
            <w:pPr>
              <w:jc w:val="center"/>
              <w:rPr>
                <w:rFonts w:asciiTheme="minorEastAsia" w:hAnsiTheme="minorEastAsia" w:eastAsiaTheme="minorEastAsia"/>
                <w:color w:val="auto"/>
                <w:sz w:val="24"/>
                <w:highlight w:val="none"/>
              </w:rPr>
            </w:pPr>
          </w:p>
        </w:tc>
        <w:tc>
          <w:tcPr>
            <w:tcW w:w="1456" w:type="pct"/>
            <w:vAlign w:val="center"/>
          </w:tcPr>
          <w:p w14:paraId="63088945">
            <w:pPr>
              <w:jc w:val="center"/>
              <w:rPr>
                <w:rFonts w:asciiTheme="minorEastAsia" w:hAnsiTheme="minorEastAsia" w:eastAsiaTheme="minorEastAsia"/>
                <w:color w:val="auto"/>
                <w:sz w:val="24"/>
                <w:highlight w:val="none"/>
              </w:rPr>
            </w:pPr>
          </w:p>
        </w:tc>
        <w:tc>
          <w:tcPr>
            <w:tcW w:w="502" w:type="pct"/>
            <w:vAlign w:val="center"/>
          </w:tcPr>
          <w:p w14:paraId="7D9D061D">
            <w:pPr>
              <w:jc w:val="center"/>
              <w:rPr>
                <w:rFonts w:asciiTheme="minorEastAsia" w:hAnsiTheme="minorEastAsia" w:eastAsiaTheme="minorEastAsia"/>
                <w:color w:val="auto"/>
                <w:sz w:val="24"/>
                <w:highlight w:val="none"/>
              </w:rPr>
            </w:pPr>
          </w:p>
        </w:tc>
      </w:tr>
      <w:tr w14:paraId="09BC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D30FF6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4C17F2C9">
            <w:pPr>
              <w:jc w:val="center"/>
              <w:rPr>
                <w:rFonts w:asciiTheme="minorEastAsia" w:hAnsiTheme="minorEastAsia" w:eastAsiaTheme="minorEastAsia"/>
                <w:color w:val="auto"/>
                <w:sz w:val="24"/>
                <w:highlight w:val="none"/>
              </w:rPr>
            </w:pPr>
          </w:p>
        </w:tc>
        <w:tc>
          <w:tcPr>
            <w:tcW w:w="1680" w:type="pct"/>
            <w:vAlign w:val="center"/>
          </w:tcPr>
          <w:p w14:paraId="09DC160B">
            <w:pPr>
              <w:jc w:val="center"/>
              <w:rPr>
                <w:rFonts w:asciiTheme="minorEastAsia" w:hAnsiTheme="minorEastAsia" w:eastAsiaTheme="minorEastAsia"/>
                <w:color w:val="auto"/>
                <w:sz w:val="24"/>
                <w:highlight w:val="none"/>
              </w:rPr>
            </w:pPr>
          </w:p>
        </w:tc>
        <w:tc>
          <w:tcPr>
            <w:tcW w:w="1456" w:type="pct"/>
            <w:vAlign w:val="center"/>
          </w:tcPr>
          <w:p w14:paraId="7ADE150E">
            <w:pPr>
              <w:jc w:val="center"/>
              <w:rPr>
                <w:rFonts w:asciiTheme="minorEastAsia" w:hAnsiTheme="minorEastAsia" w:eastAsiaTheme="minorEastAsia"/>
                <w:color w:val="auto"/>
                <w:sz w:val="24"/>
                <w:highlight w:val="none"/>
              </w:rPr>
            </w:pPr>
          </w:p>
        </w:tc>
        <w:tc>
          <w:tcPr>
            <w:tcW w:w="502" w:type="pct"/>
            <w:vAlign w:val="center"/>
          </w:tcPr>
          <w:p w14:paraId="64C2D57D">
            <w:pPr>
              <w:jc w:val="center"/>
              <w:rPr>
                <w:rFonts w:asciiTheme="minorEastAsia" w:hAnsiTheme="minorEastAsia" w:eastAsiaTheme="minorEastAsia"/>
                <w:color w:val="auto"/>
                <w:sz w:val="24"/>
                <w:highlight w:val="none"/>
              </w:rPr>
            </w:pPr>
          </w:p>
        </w:tc>
      </w:tr>
      <w:tr w14:paraId="4C88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531DE2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2AFC8E58">
            <w:pPr>
              <w:jc w:val="center"/>
              <w:rPr>
                <w:rFonts w:asciiTheme="minorEastAsia" w:hAnsiTheme="minorEastAsia" w:eastAsiaTheme="minorEastAsia"/>
                <w:color w:val="auto"/>
                <w:sz w:val="24"/>
                <w:highlight w:val="none"/>
              </w:rPr>
            </w:pPr>
          </w:p>
        </w:tc>
        <w:tc>
          <w:tcPr>
            <w:tcW w:w="1680" w:type="pct"/>
            <w:vAlign w:val="center"/>
          </w:tcPr>
          <w:p w14:paraId="37CDA96A">
            <w:pPr>
              <w:jc w:val="center"/>
              <w:rPr>
                <w:rFonts w:asciiTheme="minorEastAsia" w:hAnsiTheme="minorEastAsia" w:eastAsiaTheme="minorEastAsia"/>
                <w:color w:val="auto"/>
                <w:sz w:val="24"/>
                <w:highlight w:val="none"/>
              </w:rPr>
            </w:pPr>
          </w:p>
        </w:tc>
        <w:tc>
          <w:tcPr>
            <w:tcW w:w="1456" w:type="pct"/>
            <w:vAlign w:val="center"/>
          </w:tcPr>
          <w:p w14:paraId="74DFA974">
            <w:pPr>
              <w:pStyle w:val="126"/>
              <w:jc w:val="center"/>
              <w:rPr>
                <w:rFonts w:asciiTheme="minorEastAsia" w:hAnsiTheme="minorEastAsia" w:eastAsiaTheme="minorEastAsia"/>
                <w:color w:val="auto"/>
                <w:highlight w:val="none"/>
              </w:rPr>
            </w:pPr>
          </w:p>
        </w:tc>
        <w:tc>
          <w:tcPr>
            <w:tcW w:w="502" w:type="pct"/>
            <w:vAlign w:val="center"/>
          </w:tcPr>
          <w:p w14:paraId="1CC02579">
            <w:pPr>
              <w:jc w:val="center"/>
              <w:rPr>
                <w:rFonts w:asciiTheme="minorEastAsia" w:hAnsiTheme="minorEastAsia" w:eastAsiaTheme="minorEastAsia"/>
                <w:color w:val="auto"/>
                <w:sz w:val="24"/>
                <w:highlight w:val="none"/>
              </w:rPr>
            </w:pPr>
          </w:p>
        </w:tc>
      </w:tr>
      <w:tr w14:paraId="627C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4E39A3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6667C76C">
            <w:pPr>
              <w:jc w:val="center"/>
              <w:rPr>
                <w:rFonts w:asciiTheme="minorEastAsia" w:hAnsiTheme="minorEastAsia" w:eastAsiaTheme="minorEastAsia"/>
                <w:color w:val="auto"/>
                <w:sz w:val="24"/>
                <w:highlight w:val="none"/>
              </w:rPr>
            </w:pPr>
          </w:p>
        </w:tc>
        <w:tc>
          <w:tcPr>
            <w:tcW w:w="1680" w:type="pct"/>
            <w:vAlign w:val="center"/>
          </w:tcPr>
          <w:p w14:paraId="1DAC16AA">
            <w:pPr>
              <w:jc w:val="center"/>
              <w:rPr>
                <w:rFonts w:asciiTheme="minorEastAsia" w:hAnsiTheme="minorEastAsia" w:eastAsiaTheme="minorEastAsia"/>
                <w:color w:val="auto"/>
                <w:sz w:val="24"/>
                <w:highlight w:val="none"/>
              </w:rPr>
            </w:pPr>
          </w:p>
        </w:tc>
        <w:tc>
          <w:tcPr>
            <w:tcW w:w="1456" w:type="pct"/>
            <w:vAlign w:val="center"/>
          </w:tcPr>
          <w:p w14:paraId="0A6429B9">
            <w:pPr>
              <w:pStyle w:val="126"/>
              <w:jc w:val="center"/>
              <w:rPr>
                <w:rFonts w:asciiTheme="minorEastAsia" w:hAnsiTheme="minorEastAsia" w:eastAsiaTheme="minorEastAsia"/>
                <w:color w:val="auto"/>
                <w:highlight w:val="none"/>
              </w:rPr>
            </w:pPr>
          </w:p>
        </w:tc>
        <w:tc>
          <w:tcPr>
            <w:tcW w:w="502" w:type="pct"/>
            <w:vAlign w:val="center"/>
          </w:tcPr>
          <w:p w14:paraId="3E49C55E">
            <w:pPr>
              <w:jc w:val="center"/>
              <w:rPr>
                <w:rFonts w:asciiTheme="minorEastAsia" w:hAnsiTheme="minorEastAsia" w:eastAsiaTheme="minorEastAsia"/>
                <w:color w:val="auto"/>
                <w:sz w:val="24"/>
                <w:highlight w:val="none"/>
              </w:rPr>
            </w:pPr>
          </w:p>
        </w:tc>
      </w:tr>
      <w:tr w14:paraId="7943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110585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59A3B75D">
            <w:pPr>
              <w:jc w:val="center"/>
              <w:rPr>
                <w:rFonts w:asciiTheme="minorEastAsia" w:hAnsiTheme="minorEastAsia" w:eastAsiaTheme="minorEastAsia"/>
                <w:color w:val="auto"/>
                <w:sz w:val="24"/>
                <w:highlight w:val="none"/>
              </w:rPr>
            </w:pPr>
          </w:p>
        </w:tc>
        <w:tc>
          <w:tcPr>
            <w:tcW w:w="1680" w:type="pct"/>
            <w:vAlign w:val="center"/>
          </w:tcPr>
          <w:p w14:paraId="46474099">
            <w:pPr>
              <w:jc w:val="center"/>
              <w:rPr>
                <w:rFonts w:asciiTheme="minorEastAsia" w:hAnsiTheme="minorEastAsia" w:eastAsiaTheme="minorEastAsia"/>
                <w:color w:val="auto"/>
                <w:sz w:val="24"/>
                <w:highlight w:val="none"/>
              </w:rPr>
            </w:pPr>
          </w:p>
        </w:tc>
        <w:tc>
          <w:tcPr>
            <w:tcW w:w="1456" w:type="pct"/>
            <w:vAlign w:val="center"/>
          </w:tcPr>
          <w:p w14:paraId="151BEFC7">
            <w:pPr>
              <w:jc w:val="center"/>
              <w:rPr>
                <w:rFonts w:asciiTheme="minorEastAsia" w:hAnsiTheme="minorEastAsia" w:eastAsiaTheme="minorEastAsia"/>
                <w:color w:val="auto"/>
                <w:sz w:val="24"/>
                <w:highlight w:val="none"/>
              </w:rPr>
            </w:pPr>
          </w:p>
        </w:tc>
        <w:tc>
          <w:tcPr>
            <w:tcW w:w="502" w:type="pct"/>
            <w:vAlign w:val="center"/>
          </w:tcPr>
          <w:p w14:paraId="1EC8E183">
            <w:pPr>
              <w:jc w:val="center"/>
              <w:rPr>
                <w:rFonts w:asciiTheme="minorEastAsia" w:hAnsiTheme="minorEastAsia" w:eastAsiaTheme="minorEastAsia"/>
                <w:color w:val="auto"/>
                <w:sz w:val="24"/>
                <w:highlight w:val="none"/>
              </w:rPr>
            </w:pPr>
          </w:p>
        </w:tc>
      </w:tr>
    </w:tbl>
    <w:p w14:paraId="57879636">
      <w:pPr>
        <w:spacing w:line="360" w:lineRule="auto"/>
        <w:ind w:firstLine="4800" w:firstLineChars="2000"/>
        <w:rPr>
          <w:rFonts w:hint="eastAsia" w:ascii="宋体" w:hAnsi="宋体" w:eastAsia="宋体"/>
          <w:color w:val="auto"/>
          <w:sz w:val="24"/>
          <w:highlight w:val="none"/>
          <w:lang w:val="en-US" w:eastAsia="zh-CN"/>
        </w:rPr>
      </w:pPr>
    </w:p>
    <w:p w14:paraId="47ECA67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9FFA25">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39307A3">
      <w:pPr>
        <w:pStyle w:val="24"/>
        <w:spacing w:line="360" w:lineRule="auto"/>
        <w:ind w:left="0" w:leftChars="0" w:firstLine="0" w:firstLineChars="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8B51F54">
      <w:pPr>
        <w:pStyle w:val="18"/>
        <w:rPr>
          <w:rFonts w:hint="eastAsia" w:asciiTheme="minorEastAsia" w:hAnsiTheme="minorEastAsia" w:eastAsiaTheme="minorEastAsia"/>
          <w:b/>
          <w:bCs/>
          <w:color w:val="auto"/>
          <w:sz w:val="24"/>
          <w:highlight w:val="none"/>
          <w:lang w:eastAsia="zh-CN"/>
        </w:rPr>
        <w:sectPr>
          <w:headerReference r:id="rId10" w:type="default"/>
          <w:footerReference r:id="rId11" w:type="default"/>
          <w:pgSz w:w="11907" w:h="16840"/>
          <w:pgMar w:top="1117" w:right="1078" w:bottom="1060" w:left="1700" w:header="510" w:footer="886" w:gutter="0"/>
          <w:pgNumType w:fmt="decimal"/>
          <w:cols w:space="720" w:num="1"/>
        </w:sectPr>
      </w:pPr>
      <w:bookmarkStart w:id="106" w:name="_Hlk44283017"/>
    </w:p>
    <w:bookmarkEnd w:id="106"/>
    <w:p w14:paraId="37E76ABE">
      <w:pPr>
        <w:rPr>
          <w:rFonts w:hint="eastAsia" w:asciiTheme="minorEastAsia" w:hAnsiTheme="minorEastAsia" w:eastAsiaTheme="minorEastAsia"/>
          <w:b/>
          <w:color w:val="auto"/>
          <w:sz w:val="24"/>
          <w:highlight w:val="none"/>
        </w:rPr>
      </w:pPr>
      <w:bookmarkStart w:id="107" w:name="_Toc2278"/>
      <w:bookmarkStart w:id="108" w:name="_Toc20592"/>
      <w:bookmarkStart w:id="109" w:name="_Hlk44283088"/>
    </w:p>
    <w:p w14:paraId="1AC1F39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107"/>
      <w:bookmarkEnd w:id="108"/>
    </w:p>
    <w:p w14:paraId="4400A65A">
      <w:pPr>
        <w:spacing w:line="360" w:lineRule="auto"/>
        <w:rPr>
          <w:rFonts w:asciiTheme="minorEastAsia" w:hAnsiTheme="minorEastAsia" w:eastAsiaTheme="minorEastAsia"/>
          <w:b/>
          <w:bCs/>
          <w:color w:val="auto"/>
          <w:sz w:val="24"/>
          <w:highlight w:val="none"/>
        </w:rPr>
      </w:pPr>
    </w:p>
    <w:p w14:paraId="44F134C2">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31C4328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5A3A24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F3D729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DCD9B4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5C30CF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4B7F73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E8191C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818E23">
      <w:pPr>
        <w:spacing w:line="360" w:lineRule="auto"/>
        <w:rPr>
          <w:rFonts w:asciiTheme="minorEastAsia" w:hAnsiTheme="minorEastAsia" w:eastAsiaTheme="minorEastAsia"/>
          <w:bCs/>
          <w:color w:val="auto"/>
          <w:sz w:val="24"/>
          <w:highlight w:val="none"/>
        </w:rPr>
      </w:pPr>
    </w:p>
    <w:p w14:paraId="732BBA0C">
      <w:pPr>
        <w:spacing w:line="360" w:lineRule="auto"/>
        <w:rPr>
          <w:rFonts w:asciiTheme="minorEastAsia" w:hAnsiTheme="minorEastAsia" w:eastAsiaTheme="minorEastAsia"/>
          <w:bCs/>
          <w:color w:val="auto"/>
          <w:sz w:val="24"/>
          <w:highlight w:val="none"/>
        </w:rPr>
      </w:pPr>
    </w:p>
    <w:p w14:paraId="27372F9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8C7D21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9D1A404">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488D0E2">
      <w:pPr>
        <w:pStyle w:val="18"/>
        <w:spacing w:before="78" w:line="219" w:lineRule="auto"/>
        <w:ind w:left="3195"/>
        <w:outlineLvl w:val="1"/>
        <w:rPr>
          <w:rFonts w:hint="eastAsia" w:asciiTheme="minorEastAsia" w:hAnsiTheme="minorEastAsia" w:eastAsiaTheme="minorEastAsia"/>
          <w:b/>
          <w:color w:val="auto"/>
          <w:sz w:val="24"/>
          <w:highlight w:val="yellow"/>
          <w:lang w:val="en-US" w:eastAsia="zh-CN"/>
        </w:rPr>
      </w:pPr>
    </w:p>
    <w:p w14:paraId="4A11C58B">
      <w:pPr>
        <w:pStyle w:val="18"/>
        <w:spacing w:before="78" w:line="219" w:lineRule="auto"/>
        <w:ind w:left="3195"/>
        <w:outlineLvl w:val="1"/>
        <w:rPr>
          <w:sz w:val="24"/>
          <w:szCs w:val="24"/>
          <w:highlight w:val="yellow"/>
        </w:rPr>
      </w:pPr>
      <w:r>
        <w:rPr>
          <w:rFonts w:hint="eastAsia" w:asciiTheme="minorEastAsia" w:hAnsiTheme="minorEastAsia" w:eastAsiaTheme="minorEastAsia"/>
          <w:b/>
          <w:color w:val="auto"/>
          <w:sz w:val="24"/>
          <w:highlight w:val="yellow"/>
          <w:lang w:val="en-US" w:eastAsia="zh-CN"/>
        </w:rPr>
        <w:t>八、</w:t>
      </w:r>
      <w:r>
        <w:rPr>
          <w:rFonts w:hint="eastAsia"/>
          <w:b/>
          <w:bCs/>
          <w:spacing w:val="-3"/>
          <w:sz w:val="24"/>
          <w:szCs w:val="24"/>
          <w:highlight w:val="yellow"/>
          <w:lang w:val="en-US" w:eastAsia="zh-CN"/>
        </w:rPr>
        <w:t>磋商</w:t>
      </w:r>
      <w:r>
        <w:rPr>
          <w:b/>
          <w:bCs/>
          <w:spacing w:val="-3"/>
          <w:sz w:val="24"/>
          <w:szCs w:val="24"/>
          <w:highlight w:val="yellow"/>
        </w:rPr>
        <w:t>业绩承诺函</w:t>
      </w:r>
    </w:p>
    <w:p w14:paraId="40436738">
      <w:pPr>
        <w:spacing w:line="285" w:lineRule="auto"/>
        <w:rPr>
          <w:rFonts w:ascii="Arial"/>
          <w:sz w:val="21"/>
          <w:highlight w:val="yellow"/>
        </w:rPr>
      </w:pPr>
    </w:p>
    <w:p w14:paraId="3139DCA6">
      <w:pPr>
        <w:pStyle w:val="18"/>
        <w:spacing w:before="256" w:line="480" w:lineRule="auto"/>
        <w:ind w:firstLine="480" w:firstLineChars="200"/>
        <w:rPr>
          <w:spacing w:val="-2"/>
          <w:sz w:val="24"/>
          <w:szCs w:val="24"/>
          <w:highlight w:val="yellow"/>
        </w:rPr>
      </w:pPr>
      <w:r>
        <w:rPr>
          <w:rFonts w:ascii="宋体" w:hAnsi="宋体" w:eastAsia="宋体" w:cs="宋体"/>
          <w:b w:val="0"/>
          <w:bCs w:val="0"/>
          <w:color w:val="000000"/>
          <w:sz w:val="24"/>
          <w:szCs w:val="24"/>
          <w:highlight w:val="yellow"/>
        </w:rPr>
        <w:t>我单位同意</w:t>
      </w:r>
      <w:r>
        <w:rPr>
          <w:rFonts w:hint="eastAsia" w:ascii="宋体" w:hAnsi="宋体" w:eastAsia="宋体" w:cs="宋体"/>
          <w:b w:val="0"/>
          <w:bCs w:val="0"/>
          <w:color w:val="000000"/>
          <w:sz w:val="24"/>
          <w:szCs w:val="24"/>
          <w:highlight w:val="yellow"/>
          <w:lang w:val="en-US" w:eastAsia="zh-CN"/>
        </w:rPr>
        <w:t>成交</w:t>
      </w:r>
      <w:r>
        <w:rPr>
          <w:rFonts w:ascii="宋体" w:hAnsi="宋体" w:eastAsia="宋体" w:cs="宋体"/>
          <w:b w:val="0"/>
          <w:bCs w:val="0"/>
          <w:color w:val="000000"/>
          <w:sz w:val="24"/>
          <w:szCs w:val="24"/>
          <w:highlight w:val="yellow"/>
        </w:rPr>
        <w:t>结果公告中公示以下业绩并承诺：</w:t>
      </w:r>
      <w:r>
        <w:rPr>
          <w:rFonts w:hint="eastAsia" w:ascii="宋体" w:hAnsi="宋体" w:eastAsia="宋体" w:cs="宋体"/>
          <w:b w:val="0"/>
          <w:bCs w:val="0"/>
          <w:color w:val="000000"/>
          <w:sz w:val="24"/>
          <w:szCs w:val="24"/>
          <w:highlight w:val="yellow"/>
          <w:lang w:val="en-US" w:eastAsia="zh-CN"/>
        </w:rPr>
        <w:t>响应</w:t>
      </w:r>
      <w:r>
        <w:rPr>
          <w:rFonts w:ascii="宋体" w:hAnsi="宋体" w:eastAsia="宋体" w:cs="宋体"/>
          <w:b w:val="0"/>
          <w:bCs w:val="0"/>
          <w:color w:val="000000"/>
          <w:sz w:val="24"/>
          <w:szCs w:val="24"/>
          <w:highlight w:val="yellow"/>
        </w:rPr>
        <w:t>文件中所提供的业绩 均真实有效，且不属于与关联公司（如母公司、控股公司、分公司、子公司、同 一法定代表人的公司）之间的业绩，若被发现存在任何虚假</w:t>
      </w:r>
      <w:r>
        <w:rPr>
          <w:rFonts w:hint="eastAsia" w:ascii="宋体" w:hAnsi="宋体" w:eastAsia="宋体" w:cs="宋体"/>
          <w:b w:val="0"/>
          <w:bCs w:val="0"/>
          <w:color w:val="000000"/>
          <w:sz w:val="24"/>
          <w:szCs w:val="24"/>
          <w:highlight w:val="yellow"/>
          <w:lang w:eastAsia="zh-CN"/>
        </w:rPr>
        <w:t>、</w:t>
      </w:r>
      <w:r>
        <w:rPr>
          <w:rFonts w:ascii="宋体" w:hAnsi="宋体" w:eastAsia="宋体" w:cs="宋体"/>
          <w:b w:val="0"/>
          <w:bCs w:val="0"/>
          <w:color w:val="000000"/>
          <w:sz w:val="24"/>
          <w:szCs w:val="24"/>
          <w:highlight w:val="yellow"/>
        </w:rPr>
        <w:t>隐瞒情况，我单位承担由此产生的一切后果。</w:t>
      </w:r>
    </w:p>
    <w:p w14:paraId="13D6FB47">
      <w:pPr>
        <w:pStyle w:val="18"/>
        <w:spacing w:before="78" w:line="219" w:lineRule="auto"/>
        <w:ind w:left="4350"/>
        <w:rPr>
          <w:spacing w:val="-2"/>
          <w:sz w:val="24"/>
          <w:szCs w:val="24"/>
          <w:highlight w:val="yellow"/>
        </w:rPr>
      </w:pPr>
    </w:p>
    <w:p w14:paraId="785F5771">
      <w:pPr>
        <w:pStyle w:val="18"/>
        <w:spacing w:before="78" w:line="219" w:lineRule="auto"/>
        <w:ind w:left="4350"/>
        <w:rPr>
          <w:sz w:val="24"/>
          <w:szCs w:val="24"/>
          <w:highlight w:val="yellow"/>
        </w:rPr>
      </w:pPr>
      <w:r>
        <w:rPr>
          <w:spacing w:val="-2"/>
          <w:sz w:val="24"/>
          <w:szCs w:val="24"/>
          <w:highlight w:val="yellow"/>
        </w:rPr>
        <w:t>供应商签章：</w:t>
      </w:r>
      <w:r>
        <w:rPr>
          <w:sz w:val="24"/>
          <w:szCs w:val="24"/>
          <w:highlight w:val="yellow"/>
          <w:u w:val="single" w:color="auto"/>
        </w:rPr>
        <w:t xml:space="preserve">              </w:t>
      </w:r>
    </w:p>
    <w:p w14:paraId="4E6919FA">
      <w:pPr>
        <w:pStyle w:val="18"/>
        <w:spacing w:before="183" w:line="220" w:lineRule="auto"/>
        <w:ind w:left="4392"/>
        <w:rPr>
          <w:sz w:val="24"/>
          <w:szCs w:val="24"/>
          <w:highlight w:val="yellow"/>
        </w:rPr>
      </w:pPr>
      <w:r>
        <w:rPr>
          <w:spacing w:val="-32"/>
          <w:sz w:val="24"/>
          <w:szCs w:val="24"/>
          <w:highlight w:val="yellow"/>
        </w:rPr>
        <w:t>日</w:t>
      </w:r>
      <w:r>
        <w:rPr>
          <w:spacing w:val="1"/>
          <w:sz w:val="24"/>
          <w:szCs w:val="24"/>
          <w:highlight w:val="yellow"/>
        </w:rPr>
        <w:t xml:space="preserve">      </w:t>
      </w:r>
      <w:r>
        <w:rPr>
          <w:spacing w:val="-32"/>
          <w:sz w:val="24"/>
          <w:szCs w:val="24"/>
          <w:highlight w:val="yellow"/>
        </w:rPr>
        <w:t>期</w:t>
      </w:r>
      <w:r>
        <w:rPr>
          <w:spacing w:val="-2"/>
          <w:sz w:val="24"/>
          <w:szCs w:val="24"/>
          <w:highlight w:val="yellow"/>
        </w:rPr>
        <w:t>：</w:t>
      </w:r>
      <w:r>
        <w:rPr>
          <w:sz w:val="24"/>
          <w:szCs w:val="24"/>
          <w:highlight w:val="yellow"/>
          <w:u w:val="single" w:color="auto"/>
        </w:rPr>
        <w:t xml:space="preserve">      </w:t>
      </w:r>
      <w:r>
        <w:rPr>
          <w:rFonts w:hint="eastAsia"/>
          <w:sz w:val="24"/>
          <w:szCs w:val="24"/>
          <w:highlight w:val="yellow"/>
          <w:u w:val="single" w:color="auto"/>
          <w:lang w:val="en-US" w:eastAsia="zh-CN"/>
        </w:rPr>
        <w:t xml:space="preserve">  </w:t>
      </w:r>
      <w:r>
        <w:rPr>
          <w:sz w:val="24"/>
          <w:szCs w:val="24"/>
          <w:highlight w:val="yellow"/>
          <w:u w:val="single" w:color="auto"/>
        </w:rPr>
        <w:t xml:space="preserve">       </w:t>
      </w:r>
    </w:p>
    <w:p w14:paraId="483000D9">
      <w:pPr>
        <w:spacing w:before="27"/>
        <w:rPr>
          <w:highlight w:val="yellow"/>
        </w:rPr>
      </w:pPr>
    </w:p>
    <w:tbl>
      <w:tblPr>
        <w:tblStyle w:val="14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60"/>
        <w:gridCol w:w="2873"/>
        <w:gridCol w:w="2437"/>
        <w:gridCol w:w="1609"/>
        <w:gridCol w:w="867"/>
      </w:tblGrid>
      <w:tr w14:paraId="479B6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36" w:hRule="atLeast"/>
        </w:trPr>
        <w:tc>
          <w:tcPr>
            <w:tcW w:w="497" w:type="pct"/>
            <w:vAlign w:val="top"/>
          </w:tcPr>
          <w:p w14:paraId="23D05868">
            <w:pPr>
              <w:pStyle w:val="140"/>
              <w:spacing w:before="149" w:line="221" w:lineRule="auto"/>
              <w:ind w:left="238"/>
              <w:rPr>
                <w:highlight w:val="yellow"/>
              </w:rPr>
            </w:pPr>
            <w:r>
              <w:rPr>
                <w:spacing w:val="-5"/>
                <w:highlight w:val="yellow"/>
              </w:rPr>
              <w:t>序号</w:t>
            </w:r>
          </w:p>
        </w:tc>
        <w:tc>
          <w:tcPr>
            <w:tcW w:w="1661" w:type="pct"/>
            <w:vAlign w:val="top"/>
          </w:tcPr>
          <w:p w14:paraId="150FB2FF">
            <w:pPr>
              <w:pStyle w:val="140"/>
              <w:spacing w:before="149" w:line="220" w:lineRule="auto"/>
              <w:jc w:val="center"/>
              <w:rPr>
                <w:highlight w:val="yellow"/>
              </w:rPr>
            </w:pPr>
            <w:r>
              <w:rPr>
                <w:spacing w:val="-4"/>
                <w:highlight w:val="yellow"/>
              </w:rPr>
              <w:t>项目名称</w:t>
            </w:r>
          </w:p>
        </w:tc>
        <w:tc>
          <w:tcPr>
            <w:tcW w:w="1409" w:type="pct"/>
            <w:vAlign w:val="top"/>
          </w:tcPr>
          <w:p w14:paraId="5268FC69">
            <w:pPr>
              <w:pStyle w:val="140"/>
              <w:spacing w:before="150" w:line="219" w:lineRule="auto"/>
              <w:jc w:val="center"/>
              <w:rPr>
                <w:highlight w:val="yellow"/>
              </w:rPr>
            </w:pPr>
            <w:r>
              <w:rPr>
                <w:rFonts w:hint="eastAsia" w:eastAsia="宋体"/>
                <w:spacing w:val="-3"/>
                <w:highlight w:val="yellow"/>
                <w:lang w:val="en-US" w:eastAsia="zh-CN"/>
              </w:rPr>
              <w:t>服务</w:t>
            </w:r>
            <w:r>
              <w:rPr>
                <w:spacing w:val="-3"/>
                <w:highlight w:val="yellow"/>
              </w:rPr>
              <w:t>范围</w:t>
            </w:r>
          </w:p>
        </w:tc>
        <w:tc>
          <w:tcPr>
            <w:tcW w:w="930" w:type="pct"/>
            <w:vAlign w:val="top"/>
          </w:tcPr>
          <w:p w14:paraId="44EBDC04">
            <w:pPr>
              <w:pStyle w:val="140"/>
              <w:spacing w:before="150" w:line="219" w:lineRule="auto"/>
              <w:jc w:val="center"/>
              <w:rPr>
                <w:rFonts w:hint="default" w:eastAsia="宋体"/>
                <w:spacing w:val="-3"/>
                <w:highlight w:val="yellow"/>
                <w:lang w:val="en-US" w:eastAsia="zh-CN"/>
              </w:rPr>
            </w:pPr>
            <w:r>
              <w:rPr>
                <w:rFonts w:hint="eastAsia" w:eastAsia="宋体"/>
                <w:spacing w:val="-3"/>
                <w:highlight w:val="yellow"/>
                <w:lang w:val="en-US" w:eastAsia="zh-CN"/>
              </w:rPr>
              <w:t>是否履约完成</w:t>
            </w:r>
          </w:p>
        </w:tc>
        <w:tc>
          <w:tcPr>
            <w:tcW w:w="501" w:type="pct"/>
            <w:vAlign w:val="top"/>
          </w:tcPr>
          <w:p w14:paraId="283ECCB8">
            <w:pPr>
              <w:pStyle w:val="140"/>
              <w:spacing w:before="149" w:line="221" w:lineRule="auto"/>
              <w:ind w:left="245"/>
              <w:rPr>
                <w:highlight w:val="yellow"/>
              </w:rPr>
            </w:pPr>
            <w:r>
              <w:rPr>
                <w:spacing w:val="-7"/>
                <w:highlight w:val="yellow"/>
              </w:rPr>
              <w:t>备注</w:t>
            </w:r>
          </w:p>
        </w:tc>
      </w:tr>
      <w:tr w14:paraId="1A8CC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E3F4C8F">
            <w:pPr>
              <w:pStyle w:val="140"/>
              <w:spacing w:before="115" w:line="241" w:lineRule="auto"/>
              <w:ind w:left="437"/>
              <w:rPr>
                <w:highlight w:val="yellow"/>
              </w:rPr>
            </w:pPr>
            <w:r>
              <w:rPr>
                <w:highlight w:val="yellow"/>
              </w:rPr>
              <w:t>1</w:t>
            </w:r>
          </w:p>
        </w:tc>
        <w:tc>
          <w:tcPr>
            <w:tcW w:w="1661" w:type="pct"/>
            <w:vAlign w:val="top"/>
          </w:tcPr>
          <w:p w14:paraId="2706018D">
            <w:pPr>
              <w:rPr>
                <w:rFonts w:ascii="Arial"/>
                <w:sz w:val="21"/>
                <w:highlight w:val="yellow"/>
              </w:rPr>
            </w:pPr>
          </w:p>
        </w:tc>
        <w:tc>
          <w:tcPr>
            <w:tcW w:w="1409" w:type="pct"/>
            <w:vAlign w:val="top"/>
          </w:tcPr>
          <w:p w14:paraId="42018C30">
            <w:pPr>
              <w:rPr>
                <w:rFonts w:ascii="Arial"/>
                <w:sz w:val="21"/>
                <w:highlight w:val="yellow"/>
              </w:rPr>
            </w:pPr>
          </w:p>
        </w:tc>
        <w:tc>
          <w:tcPr>
            <w:tcW w:w="930" w:type="pct"/>
            <w:vAlign w:val="top"/>
          </w:tcPr>
          <w:p w14:paraId="55DDC6D4">
            <w:pPr>
              <w:rPr>
                <w:rFonts w:ascii="Arial"/>
                <w:sz w:val="21"/>
                <w:highlight w:val="yellow"/>
              </w:rPr>
            </w:pPr>
          </w:p>
        </w:tc>
        <w:tc>
          <w:tcPr>
            <w:tcW w:w="501" w:type="pct"/>
            <w:vAlign w:val="top"/>
          </w:tcPr>
          <w:p w14:paraId="60E21923">
            <w:pPr>
              <w:rPr>
                <w:rFonts w:ascii="Arial"/>
                <w:sz w:val="21"/>
                <w:highlight w:val="yellow"/>
              </w:rPr>
            </w:pPr>
          </w:p>
        </w:tc>
      </w:tr>
      <w:tr w14:paraId="1545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0E5DDC60">
            <w:pPr>
              <w:pStyle w:val="140"/>
              <w:spacing w:before="115" w:line="241" w:lineRule="auto"/>
              <w:ind w:left="422"/>
              <w:rPr>
                <w:highlight w:val="yellow"/>
              </w:rPr>
            </w:pPr>
            <w:r>
              <w:rPr>
                <w:highlight w:val="yellow"/>
              </w:rPr>
              <w:t>2</w:t>
            </w:r>
          </w:p>
        </w:tc>
        <w:tc>
          <w:tcPr>
            <w:tcW w:w="1661" w:type="pct"/>
            <w:vAlign w:val="top"/>
          </w:tcPr>
          <w:p w14:paraId="39536F28">
            <w:pPr>
              <w:rPr>
                <w:rFonts w:ascii="Arial"/>
                <w:sz w:val="21"/>
                <w:highlight w:val="yellow"/>
              </w:rPr>
            </w:pPr>
          </w:p>
        </w:tc>
        <w:tc>
          <w:tcPr>
            <w:tcW w:w="1409" w:type="pct"/>
            <w:vAlign w:val="top"/>
          </w:tcPr>
          <w:p w14:paraId="31B01710">
            <w:pPr>
              <w:rPr>
                <w:rFonts w:ascii="Arial"/>
                <w:sz w:val="21"/>
                <w:highlight w:val="yellow"/>
              </w:rPr>
            </w:pPr>
          </w:p>
        </w:tc>
        <w:tc>
          <w:tcPr>
            <w:tcW w:w="930" w:type="pct"/>
            <w:vAlign w:val="top"/>
          </w:tcPr>
          <w:p w14:paraId="65C4BBB3">
            <w:pPr>
              <w:rPr>
                <w:rFonts w:ascii="Arial"/>
                <w:sz w:val="21"/>
                <w:highlight w:val="yellow"/>
              </w:rPr>
            </w:pPr>
          </w:p>
        </w:tc>
        <w:tc>
          <w:tcPr>
            <w:tcW w:w="501" w:type="pct"/>
            <w:vAlign w:val="top"/>
          </w:tcPr>
          <w:p w14:paraId="34D20A5C">
            <w:pPr>
              <w:rPr>
                <w:rFonts w:ascii="Arial"/>
                <w:sz w:val="21"/>
                <w:highlight w:val="yellow"/>
              </w:rPr>
            </w:pPr>
          </w:p>
        </w:tc>
      </w:tr>
      <w:tr w14:paraId="6D3D3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97" w:type="pct"/>
            <w:vAlign w:val="top"/>
          </w:tcPr>
          <w:p w14:paraId="7DA03297">
            <w:pPr>
              <w:pStyle w:val="140"/>
              <w:spacing w:before="118"/>
              <w:ind w:left="424"/>
              <w:rPr>
                <w:highlight w:val="yellow"/>
              </w:rPr>
            </w:pPr>
            <w:r>
              <w:rPr>
                <w:highlight w:val="yellow"/>
              </w:rPr>
              <w:t>3</w:t>
            </w:r>
          </w:p>
        </w:tc>
        <w:tc>
          <w:tcPr>
            <w:tcW w:w="1661" w:type="pct"/>
            <w:vAlign w:val="top"/>
          </w:tcPr>
          <w:p w14:paraId="19341408">
            <w:pPr>
              <w:rPr>
                <w:rFonts w:ascii="Arial"/>
                <w:sz w:val="21"/>
                <w:highlight w:val="yellow"/>
              </w:rPr>
            </w:pPr>
          </w:p>
        </w:tc>
        <w:tc>
          <w:tcPr>
            <w:tcW w:w="1409" w:type="pct"/>
            <w:vAlign w:val="top"/>
          </w:tcPr>
          <w:p w14:paraId="7452D099">
            <w:pPr>
              <w:rPr>
                <w:rFonts w:ascii="Arial"/>
                <w:sz w:val="21"/>
                <w:highlight w:val="yellow"/>
              </w:rPr>
            </w:pPr>
          </w:p>
        </w:tc>
        <w:tc>
          <w:tcPr>
            <w:tcW w:w="930" w:type="pct"/>
            <w:vAlign w:val="top"/>
          </w:tcPr>
          <w:p w14:paraId="17A47195">
            <w:pPr>
              <w:rPr>
                <w:rFonts w:ascii="Arial"/>
                <w:sz w:val="21"/>
                <w:highlight w:val="yellow"/>
              </w:rPr>
            </w:pPr>
          </w:p>
        </w:tc>
        <w:tc>
          <w:tcPr>
            <w:tcW w:w="501" w:type="pct"/>
            <w:vAlign w:val="top"/>
          </w:tcPr>
          <w:p w14:paraId="3794785C">
            <w:pPr>
              <w:rPr>
                <w:rFonts w:ascii="Arial"/>
                <w:sz w:val="21"/>
                <w:highlight w:val="yellow"/>
              </w:rPr>
            </w:pPr>
          </w:p>
        </w:tc>
      </w:tr>
      <w:tr w14:paraId="77642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2" w:hRule="atLeast"/>
        </w:trPr>
        <w:tc>
          <w:tcPr>
            <w:tcW w:w="497" w:type="pct"/>
            <w:vAlign w:val="top"/>
          </w:tcPr>
          <w:p w14:paraId="7FF4137A">
            <w:pPr>
              <w:pStyle w:val="140"/>
              <w:spacing w:before="118" w:line="241" w:lineRule="auto"/>
              <w:ind w:left="418"/>
              <w:rPr>
                <w:highlight w:val="yellow"/>
              </w:rPr>
            </w:pPr>
            <w:r>
              <w:rPr>
                <w:highlight w:val="yellow"/>
              </w:rPr>
              <w:t>4</w:t>
            </w:r>
          </w:p>
        </w:tc>
        <w:tc>
          <w:tcPr>
            <w:tcW w:w="1661" w:type="pct"/>
            <w:vAlign w:val="top"/>
          </w:tcPr>
          <w:p w14:paraId="24145F21">
            <w:pPr>
              <w:rPr>
                <w:rFonts w:ascii="Arial"/>
                <w:sz w:val="21"/>
                <w:highlight w:val="yellow"/>
              </w:rPr>
            </w:pPr>
          </w:p>
        </w:tc>
        <w:tc>
          <w:tcPr>
            <w:tcW w:w="1409" w:type="pct"/>
            <w:vAlign w:val="top"/>
          </w:tcPr>
          <w:p w14:paraId="23AD9719">
            <w:pPr>
              <w:rPr>
                <w:rFonts w:ascii="Arial"/>
                <w:sz w:val="21"/>
                <w:highlight w:val="yellow"/>
              </w:rPr>
            </w:pPr>
          </w:p>
        </w:tc>
        <w:tc>
          <w:tcPr>
            <w:tcW w:w="930" w:type="pct"/>
            <w:vAlign w:val="top"/>
          </w:tcPr>
          <w:p w14:paraId="20CB4632">
            <w:pPr>
              <w:rPr>
                <w:rFonts w:ascii="Arial"/>
                <w:sz w:val="21"/>
                <w:highlight w:val="yellow"/>
              </w:rPr>
            </w:pPr>
          </w:p>
        </w:tc>
        <w:tc>
          <w:tcPr>
            <w:tcW w:w="501" w:type="pct"/>
            <w:vAlign w:val="top"/>
          </w:tcPr>
          <w:p w14:paraId="63E36A07">
            <w:pPr>
              <w:rPr>
                <w:rFonts w:ascii="Arial"/>
                <w:sz w:val="21"/>
                <w:highlight w:val="yellow"/>
              </w:rPr>
            </w:pPr>
          </w:p>
        </w:tc>
      </w:tr>
      <w:tr w14:paraId="57F27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094B378">
            <w:pPr>
              <w:pStyle w:val="140"/>
              <w:spacing w:before="118"/>
              <w:ind w:left="424"/>
              <w:rPr>
                <w:highlight w:val="yellow"/>
              </w:rPr>
            </w:pPr>
            <w:r>
              <w:rPr>
                <w:highlight w:val="yellow"/>
              </w:rPr>
              <w:t>5</w:t>
            </w:r>
          </w:p>
        </w:tc>
        <w:tc>
          <w:tcPr>
            <w:tcW w:w="1661" w:type="pct"/>
            <w:vAlign w:val="top"/>
          </w:tcPr>
          <w:p w14:paraId="1C7C2917">
            <w:pPr>
              <w:rPr>
                <w:rFonts w:ascii="Arial"/>
                <w:sz w:val="21"/>
                <w:highlight w:val="yellow"/>
              </w:rPr>
            </w:pPr>
          </w:p>
        </w:tc>
        <w:tc>
          <w:tcPr>
            <w:tcW w:w="1409" w:type="pct"/>
            <w:vAlign w:val="top"/>
          </w:tcPr>
          <w:p w14:paraId="3990632B">
            <w:pPr>
              <w:rPr>
                <w:rFonts w:ascii="Arial"/>
                <w:sz w:val="21"/>
                <w:highlight w:val="yellow"/>
              </w:rPr>
            </w:pPr>
          </w:p>
        </w:tc>
        <w:tc>
          <w:tcPr>
            <w:tcW w:w="930" w:type="pct"/>
            <w:vAlign w:val="top"/>
          </w:tcPr>
          <w:p w14:paraId="09942810">
            <w:pPr>
              <w:rPr>
                <w:rFonts w:ascii="Arial"/>
                <w:sz w:val="21"/>
                <w:highlight w:val="yellow"/>
              </w:rPr>
            </w:pPr>
          </w:p>
        </w:tc>
        <w:tc>
          <w:tcPr>
            <w:tcW w:w="501" w:type="pct"/>
            <w:vAlign w:val="top"/>
          </w:tcPr>
          <w:p w14:paraId="5FB6B056">
            <w:pPr>
              <w:rPr>
                <w:rFonts w:ascii="Arial"/>
                <w:sz w:val="21"/>
                <w:highlight w:val="yellow"/>
              </w:rPr>
            </w:pPr>
          </w:p>
        </w:tc>
      </w:tr>
      <w:tr w14:paraId="7F165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97" w:type="pct"/>
            <w:vAlign w:val="top"/>
          </w:tcPr>
          <w:p w14:paraId="130D3C59">
            <w:pPr>
              <w:pStyle w:val="140"/>
              <w:spacing w:before="119" w:line="348" w:lineRule="exact"/>
              <w:ind w:left="254"/>
              <w:rPr>
                <w:highlight w:val="yellow"/>
              </w:rPr>
            </w:pPr>
            <w:r>
              <w:rPr>
                <w:spacing w:val="-13"/>
                <w:position w:val="2"/>
                <w:highlight w:val="yellow"/>
              </w:rPr>
              <w:t>……</w:t>
            </w:r>
          </w:p>
        </w:tc>
        <w:tc>
          <w:tcPr>
            <w:tcW w:w="1661" w:type="pct"/>
            <w:vAlign w:val="top"/>
          </w:tcPr>
          <w:p w14:paraId="6D9A8292">
            <w:pPr>
              <w:rPr>
                <w:rFonts w:ascii="Arial"/>
                <w:sz w:val="21"/>
                <w:highlight w:val="yellow"/>
              </w:rPr>
            </w:pPr>
          </w:p>
        </w:tc>
        <w:tc>
          <w:tcPr>
            <w:tcW w:w="1409" w:type="pct"/>
            <w:vAlign w:val="top"/>
          </w:tcPr>
          <w:p w14:paraId="27B474F5">
            <w:pPr>
              <w:rPr>
                <w:rFonts w:ascii="Arial"/>
                <w:sz w:val="21"/>
                <w:highlight w:val="yellow"/>
              </w:rPr>
            </w:pPr>
          </w:p>
        </w:tc>
        <w:tc>
          <w:tcPr>
            <w:tcW w:w="930" w:type="pct"/>
            <w:vAlign w:val="top"/>
          </w:tcPr>
          <w:p w14:paraId="7EC16B01">
            <w:pPr>
              <w:rPr>
                <w:rFonts w:ascii="Arial"/>
                <w:sz w:val="21"/>
                <w:highlight w:val="yellow"/>
              </w:rPr>
            </w:pPr>
          </w:p>
        </w:tc>
        <w:tc>
          <w:tcPr>
            <w:tcW w:w="501" w:type="pct"/>
            <w:vAlign w:val="top"/>
          </w:tcPr>
          <w:p w14:paraId="774BD42D">
            <w:pPr>
              <w:rPr>
                <w:rFonts w:ascii="Arial"/>
                <w:sz w:val="21"/>
                <w:highlight w:val="yellow"/>
              </w:rPr>
            </w:pPr>
          </w:p>
        </w:tc>
      </w:tr>
    </w:tbl>
    <w:p w14:paraId="6C7A4F28">
      <w:pPr>
        <w:spacing w:before="26"/>
        <w:rPr>
          <w:highlight w:val="yellow"/>
        </w:rPr>
      </w:pPr>
    </w:p>
    <w:p w14:paraId="4E7F5A21">
      <w:pPr>
        <w:pStyle w:val="18"/>
        <w:spacing w:before="78" w:line="224" w:lineRule="auto"/>
        <w:ind w:firstLine="450" w:firstLineChars="200"/>
        <w:rPr>
          <w:sz w:val="24"/>
          <w:szCs w:val="24"/>
          <w:highlight w:val="yellow"/>
        </w:rPr>
      </w:pPr>
      <w:r>
        <w:rPr>
          <w:b/>
          <w:bCs/>
          <w:spacing w:val="-8"/>
          <w:sz w:val="24"/>
          <w:szCs w:val="24"/>
          <w:highlight w:val="yellow"/>
        </w:rPr>
        <w:t>注：</w:t>
      </w:r>
    </w:p>
    <w:p w14:paraId="6467157E">
      <w:pPr>
        <w:pStyle w:val="18"/>
        <w:spacing w:before="184" w:line="289" w:lineRule="auto"/>
        <w:ind w:left="127" w:right="112" w:firstLine="431"/>
        <w:rPr>
          <w:rFonts w:ascii="@微软简标宋" w:hAnsi="@微软简标宋" w:eastAsia="宋体"/>
          <w:spacing w:val="-2"/>
          <w:sz w:val="24"/>
          <w:szCs w:val="24"/>
          <w:highlight w:val="yellow"/>
        </w:rPr>
      </w:pPr>
      <w:r>
        <w:rPr>
          <w:rFonts w:hint="eastAsia" w:ascii="@微软简标宋" w:hAnsi="@微软简标宋" w:eastAsia="宋体"/>
          <w:spacing w:val="-2"/>
          <w:sz w:val="24"/>
          <w:szCs w:val="24"/>
          <w:highlight w:val="yellow"/>
        </w:rPr>
        <w:t>1.供应商须按上述格式填写所提供的业绩。如未填写或未按格式填写，则该业绩</w:t>
      </w:r>
      <w:r>
        <w:rPr>
          <w:rFonts w:hint="eastAsia" w:ascii="@微软简标宋" w:hAnsi="@微软简标宋" w:eastAsia="宋体"/>
          <w:spacing w:val="-2"/>
          <w:sz w:val="24"/>
          <w:szCs w:val="24"/>
          <w:highlight w:val="yellow"/>
          <w:lang w:eastAsia="zh-CN"/>
        </w:rPr>
        <w:t>评审不予认可</w:t>
      </w:r>
      <w:r>
        <w:rPr>
          <w:rFonts w:hint="eastAsia" w:ascii="@微软简标宋" w:hAnsi="@微软简标宋" w:eastAsia="宋体"/>
          <w:spacing w:val="-2"/>
          <w:sz w:val="24"/>
          <w:szCs w:val="24"/>
          <w:highlight w:val="yellow"/>
        </w:rPr>
        <w:t>；</w:t>
      </w:r>
    </w:p>
    <w:p w14:paraId="2D383FB2">
      <w:pPr>
        <w:pStyle w:val="18"/>
        <w:spacing w:before="184" w:line="289" w:lineRule="auto"/>
        <w:ind w:left="127" w:right="112" w:firstLine="431"/>
        <w:rPr>
          <w:spacing w:val="-2"/>
          <w:sz w:val="24"/>
          <w:szCs w:val="24"/>
          <w:highlight w:val="yellow"/>
          <w:lang w:val="zh-CN" w:eastAsia="zh-CN"/>
        </w:rPr>
        <w:sectPr>
          <w:pgSz w:w="11906" w:h="16839"/>
          <w:pgMar w:top="1166" w:right="1633" w:bottom="1234" w:left="1633" w:header="829" w:footer="985" w:gutter="0"/>
          <w:pgNumType w:fmt="decimal"/>
          <w:cols w:space="720" w:num="1"/>
        </w:sectPr>
      </w:pPr>
      <w:r>
        <w:rPr>
          <w:spacing w:val="-2"/>
          <w:sz w:val="24"/>
          <w:szCs w:val="24"/>
          <w:highlight w:val="yellow"/>
        </w:rPr>
        <w:t>2.</w:t>
      </w:r>
      <w:r>
        <w:rPr>
          <w:rFonts w:hint="eastAsia"/>
          <w:spacing w:val="-2"/>
          <w:sz w:val="24"/>
          <w:szCs w:val="24"/>
          <w:highlight w:val="yellow"/>
          <w:lang w:val="en-US" w:eastAsia="zh-CN"/>
        </w:rPr>
        <w:t xml:space="preserve"> 如磋商文件《供应商须知前附表》有约定的，成交供应商经磋商小组评审认可的相关业绩将按约定随成交公告结果公告同时公告。</w:t>
      </w:r>
    </w:p>
    <w:bookmarkEnd w:id="109"/>
    <w:p w14:paraId="1F4B89C8">
      <w:pPr>
        <w:spacing w:line="360" w:lineRule="auto"/>
        <w:jc w:val="center"/>
        <w:outlineLvl w:val="1"/>
        <w:rPr>
          <w:rFonts w:asciiTheme="minorEastAsia" w:hAnsiTheme="minorEastAsia" w:eastAsiaTheme="minorEastAsia"/>
          <w:b/>
          <w:color w:val="auto"/>
          <w:sz w:val="24"/>
          <w:highlight w:val="none"/>
        </w:rPr>
      </w:pPr>
      <w:bookmarkStart w:id="110" w:name="_Toc7807"/>
      <w:bookmarkStart w:id="111" w:name="_Toc3826"/>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110"/>
      <w:bookmarkEnd w:id="111"/>
    </w:p>
    <w:p w14:paraId="5E539229">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r>
        <w:rPr>
          <w:rFonts w:hint="eastAsia" w:ascii="宋体" w:hAnsi="宋体" w:eastAsia="宋体"/>
          <w:color w:val="auto"/>
          <w:sz w:val="24"/>
          <w:highlight w:val="none"/>
          <w:lang w:eastAsia="zh-CN"/>
        </w:rPr>
        <w:t>的</w:t>
      </w:r>
      <w:r>
        <w:rPr>
          <w:rFonts w:hint="eastAsia" w:ascii="宋体" w:hAnsi="宋体" w:eastAsia="宋体"/>
          <w:color w:val="auto"/>
          <w:sz w:val="24"/>
          <w:highlight w:val="none"/>
          <w:lang w:val="en-US" w:eastAsia="zh-CN"/>
        </w:rPr>
        <w:t>影印件</w:t>
      </w:r>
      <w:r>
        <w:rPr>
          <w:rFonts w:hint="eastAsia" w:ascii="宋体" w:hAnsi="宋体" w:eastAsia="宋体"/>
          <w:color w:val="auto"/>
          <w:sz w:val="24"/>
          <w:highlight w:val="none"/>
        </w:rPr>
        <w:t>。</w:t>
      </w:r>
    </w:p>
    <w:p w14:paraId="4069CC21">
      <w:pPr>
        <w:spacing w:line="360" w:lineRule="auto"/>
        <w:ind w:firstLine="435"/>
        <w:rPr>
          <w:rFonts w:asciiTheme="minorEastAsia" w:hAnsiTheme="minorEastAsia" w:eastAsiaTheme="minorEastAsia"/>
          <w:color w:val="auto"/>
          <w:sz w:val="24"/>
          <w:highlight w:val="none"/>
        </w:rPr>
      </w:pPr>
    </w:p>
    <w:p w14:paraId="2CB02D42">
      <w:pPr>
        <w:spacing w:line="360" w:lineRule="auto"/>
        <w:ind w:firstLine="480" w:firstLineChars="200"/>
        <w:rPr>
          <w:rFonts w:asciiTheme="minorEastAsia" w:hAnsiTheme="minorEastAsia" w:eastAsiaTheme="minorEastAsia"/>
          <w:color w:val="auto"/>
          <w:sz w:val="24"/>
          <w:highlight w:val="none"/>
        </w:rPr>
      </w:pPr>
    </w:p>
    <w:p w14:paraId="7A089CDF">
      <w:pPr>
        <w:spacing w:line="360" w:lineRule="auto"/>
        <w:jc w:val="center"/>
        <w:rPr>
          <w:rFonts w:asciiTheme="minorEastAsia" w:hAnsiTheme="minorEastAsia" w:eastAsiaTheme="minorEastAsia"/>
          <w:b/>
          <w:color w:val="auto"/>
          <w:sz w:val="24"/>
          <w:highlight w:val="none"/>
        </w:rPr>
      </w:pPr>
    </w:p>
    <w:p w14:paraId="2ED54802">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79889EA">
      <w:pPr>
        <w:spacing w:line="360" w:lineRule="auto"/>
        <w:jc w:val="center"/>
        <w:outlineLvl w:val="0"/>
        <w:rPr>
          <w:rFonts w:ascii="宋体" w:hAnsi="宋体" w:eastAsia="宋体"/>
          <w:b/>
          <w:bCs/>
          <w:color w:val="auto"/>
          <w:sz w:val="28"/>
          <w:highlight w:val="none"/>
        </w:rPr>
      </w:pPr>
      <w:bookmarkStart w:id="112" w:name="_Toc63440924"/>
      <w:bookmarkStart w:id="113"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112"/>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3"/>
    </w:p>
    <w:p w14:paraId="41FD10DD">
      <w:pPr>
        <w:spacing w:line="360" w:lineRule="auto"/>
        <w:jc w:val="center"/>
        <w:outlineLvl w:val="1"/>
        <w:rPr>
          <w:rFonts w:ascii="仿宋" w:hAnsi="仿宋" w:eastAsia="仿宋" w:cs="仿宋"/>
          <w:b/>
          <w:bCs/>
          <w:color w:val="auto"/>
          <w:sz w:val="32"/>
          <w:szCs w:val="44"/>
          <w:highlight w:val="none"/>
        </w:rPr>
      </w:pPr>
      <w:bookmarkStart w:id="114" w:name="_Toc8735"/>
      <w:bookmarkStart w:id="115" w:name="_Toc2142"/>
      <w:r>
        <w:rPr>
          <w:rFonts w:hint="eastAsia" w:ascii="仿宋" w:hAnsi="仿宋" w:eastAsia="仿宋" w:cs="仿宋"/>
          <w:b/>
          <w:bCs/>
          <w:color w:val="auto"/>
          <w:sz w:val="32"/>
          <w:szCs w:val="44"/>
          <w:highlight w:val="none"/>
        </w:rPr>
        <w:t>询问函范本</w:t>
      </w:r>
      <w:bookmarkEnd w:id="114"/>
      <w:bookmarkEnd w:id="115"/>
    </w:p>
    <w:p w14:paraId="7FF4F453">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738BBC9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19F8740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FEF962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6" w:name="_Toc9092"/>
      <w:bookmarkStart w:id="117" w:name="_Toc26386"/>
      <w:r>
        <w:rPr>
          <w:rFonts w:hint="eastAsia" w:cs="仿宋" w:asciiTheme="minorEastAsia" w:hAnsiTheme="minorEastAsia" w:eastAsiaTheme="minorEastAsia"/>
          <w:color w:val="auto"/>
          <w:sz w:val="24"/>
          <w:szCs w:val="24"/>
          <w:highlight w:val="none"/>
        </w:rPr>
        <w:t>一、(事项一)</w:t>
      </w:r>
      <w:bookmarkEnd w:id="116"/>
      <w:bookmarkEnd w:id="117"/>
    </w:p>
    <w:p w14:paraId="1281EAB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7618F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E227F6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6E793B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8" w:name="_Toc17582"/>
      <w:bookmarkStart w:id="119" w:name="_Toc9273"/>
      <w:r>
        <w:rPr>
          <w:rFonts w:hint="eastAsia" w:cs="仿宋" w:asciiTheme="minorEastAsia" w:hAnsiTheme="minorEastAsia" w:eastAsiaTheme="minorEastAsia"/>
          <w:color w:val="auto"/>
          <w:sz w:val="24"/>
          <w:szCs w:val="24"/>
          <w:highlight w:val="none"/>
        </w:rPr>
        <w:t>二、(事项二)</w:t>
      </w:r>
      <w:bookmarkEnd w:id="118"/>
      <w:bookmarkEnd w:id="119"/>
    </w:p>
    <w:p w14:paraId="19A5D8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9C94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FCB34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2ACE8E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CC9AA1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5718456">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714913D">
      <w:pPr>
        <w:jc w:val="center"/>
        <w:outlineLvl w:val="1"/>
        <w:rPr>
          <w:rFonts w:ascii="仿宋" w:hAnsi="仿宋" w:eastAsia="仿宋" w:cs="仿宋"/>
          <w:b/>
          <w:bCs/>
          <w:color w:val="auto"/>
          <w:sz w:val="32"/>
          <w:szCs w:val="44"/>
          <w:highlight w:val="none"/>
        </w:rPr>
      </w:pPr>
      <w:bookmarkStart w:id="120" w:name="_Toc26673"/>
      <w:bookmarkStart w:id="121" w:name="_Toc6990"/>
      <w:r>
        <w:rPr>
          <w:rFonts w:hint="eastAsia" w:ascii="仿宋" w:hAnsi="仿宋" w:eastAsia="仿宋" w:cs="仿宋"/>
          <w:b/>
          <w:bCs/>
          <w:color w:val="auto"/>
          <w:sz w:val="32"/>
          <w:szCs w:val="44"/>
          <w:highlight w:val="none"/>
        </w:rPr>
        <w:t>质疑函范本</w:t>
      </w:r>
      <w:bookmarkEnd w:id="120"/>
      <w:bookmarkEnd w:id="121"/>
    </w:p>
    <w:p w14:paraId="49AD0B4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2" w:name="_Toc2994"/>
      <w:bookmarkStart w:id="123" w:name="_Toc29510"/>
      <w:r>
        <w:rPr>
          <w:rFonts w:hint="eastAsia" w:cs="仿宋" w:asciiTheme="minorEastAsia" w:hAnsiTheme="minorEastAsia" w:eastAsiaTheme="minorEastAsia"/>
          <w:b/>
          <w:bCs/>
          <w:color w:val="auto"/>
          <w:sz w:val="24"/>
          <w:szCs w:val="24"/>
          <w:highlight w:val="none"/>
        </w:rPr>
        <w:t>一、质疑供应商基本信息</w:t>
      </w:r>
      <w:bookmarkEnd w:id="122"/>
      <w:bookmarkEnd w:id="123"/>
    </w:p>
    <w:p w14:paraId="3F0CCCA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F6290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157851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BE4009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C098AE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31A89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7AF4C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4" w:name="_Toc31042"/>
      <w:bookmarkStart w:id="125" w:name="_Toc28130"/>
      <w:r>
        <w:rPr>
          <w:rFonts w:hint="eastAsia" w:cs="仿宋" w:asciiTheme="minorEastAsia" w:hAnsiTheme="minorEastAsia" w:eastAsiaTheme="minorEastAsia"/>
          <w:b/>
          <w:bCs/>
          <w:color w:val="auto"/>
          <w:sz w:val="24"/>
          <w:szCs w:val="24"/>
          <w:highlight w:val="none"/>
        </w:rPr>
        <w:t>二、质疑项目基本情况</w:t>
      </w:r>
      <w:bookmarkEnd w:id="124"/>
      <w:bookmarkEnd w:id="125"/>
    </w:p>
    <w:p w14:paraId="3C2E3A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597E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B987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F3C89B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C3AFE7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6" w:name="_Toc6486"/>
      <w:bookmarkStart w:id="127" w:name="_Toc20587"/>
      <w:r>
        <w:rPr>
          <w:rFonts w:hint="eastAsia" w:cs="仿宋" w:asciiTheme="minorEastAsia" w:hAnsiTheme="minorEastAsia" w:eastAsiaTheme="minorEastAsia"/>
          <w:b/>
          <w:bCs/>
          <w:color w:val="auto"/>
          <w:sz w:val="24"/>
          <w:szCs w:val="24"/>
          <w:highlight w:val="none"/>
        </w:rPr>
        <w:t>三、质疑事项具体内容</w:t>
      </w:r>
      <w:bookmarkEnd w:id="126"/>
      <w:bookmarkEnd w:id="127"/>
    </w:p>
    <w:p w14:paraId="4F85235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7C01D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E16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63EBF6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14E0C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5108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766B30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03A67D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8" w:name="_Toc32755"/>
      <w:bookmarkStart w:id="129" w:name="_Toc20470"/>
      <w:r>
        <w:rPr>
          <w:rFonts w:hint="eastAsia" w:cs="仿宋" w:asciiTheme="minorEastAsia" w:hAnsiTheme="minorEastAsia" w:eastAsiaTheme="minorEastAsia"/>
          <w:b/>
          <w:bCs/>
          <w:color w:val="auto"/>
          <w:sz w:val="24"/>
          <w:szCs w:val="24"/>
          <w:highlight w:val="none"/>
        </w:rPr>
        <w:t>四、与质疑事项相关的质疑请求</w:t>
      </w:r>
      <w:bookmarkEnd w:id="128"/>
      <w:bookmarkEnd w:id="129"/>
    </w:p>
    <w:p w14:paraId="0DAA26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17E6B8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1F9F2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F509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A38DDD5">
      <w:pPr>
        <w:outlineLvl w:val="0"/>
        <w:rPr>
          <w:rFonts w:asciiTheme="minorEastAsia" w:hAnsiTheme="minorEastAsia" w:eastAsiaTheme="minorEastAsia"/>
          <w:b/>
          <w:color w:val="auto"/>
          <w:sz w:val="28"/>
          <w:szCs w:val="32"/>
          <w:highlight w:val="none"/>
        </w:rPr>
      </w:pPr>
      <w:bookmarkStart w:id="130" w:name="_Toc21667"/>
      <w:bookmarkStart w:id="131" w:name="_Toc8368"/>
      <w:r>
        <w:rPr>
          <w:rFonts w:hint="eastAsia" w:asciiTheme="minorEastAsia" w:hAnsiTheme="minorEastAsia" w:eastAsiaTheme="minorEastAsia"/>
          <w:b/>
          <w:color w:val="auto"/>
          <w:sz w:val="28"/>
          <w:szCs w:val="32"/>
          <w:highlight w:val="none"/>
        </w:rPr>
        <w:t>质疑函制作说明：</w:t>
      </w:r>
      <w:bookmarkEnd w:id="130"/>
      <w:bookmarkEnd w:id="131"/>
    </w:p>
    <w:p w14:paraId="4C105B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973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8948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9CDB3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361DC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43FF2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0974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540754C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2"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7"/>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7"/>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3D907">
    <w:pPr>
      <w:pStyle w:val="27"/>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059F7">
                          <w:pPr>
                            <w:pStyle w:val="2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8059F7">
                    <w:pPr>
                      <w:pStyle w:val="2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EF4">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A9642">
                          <w:pPr>
                            <w:pStyle w:val="2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BA9642">
                    <w:pPr>
                      <w:pStyle w:val="2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AA83">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656D5">
                          <w:pPr>
                            <w:pStyle w:val="2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90656D5">
                    <w:pPr>
                      <w:pStyle w:val="2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7"/>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9"/>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3248">
    <w:pPr>
      <w:pStyle w:val="2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服务类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AB2737"/>
    <w:multiLevelType w:val="singleLevel"/>
    <w:tmpl w:val="7AAB27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7C80EFB"/>
    <w:rsid w:val="08251EAA"/>
    <w:rsid w:val="08916AB3"/>
    <w:rsid w:val="09084174"/>
    <w:rsid w:val="09287EA3"/>
    <w:rsid w:val="097423D6"/>
    <w:rsid w:val="0A903CFA"/>
    <w:rsid w:val="0A91481A"/>
    <w:rsid w:val="0CC021A1"/>
    <w:rsid w:val="10E24D87"/>
    <w:rsid w:val="119A1F8D"/>
    <w:rsid w:val="13524CBA"/>
    <w:rsid w:val="13750D6C"/>
    <w:rsid w:val="13C347B9"/>
    <w:rsid w:val="16A92918"/>
    <w:rsid w:val="18735030"/>
    <w:rsid w:val="18FA2EDF"/>
    <w:rsid w:val="1A66331F"/>
    <w:rsid w:val="1AF95668"/>
    <w:rsid w:val="1CE22479"/>
    <w:rsid w:val="1E0104DD"/>
    <w:rsid w:val="1EA4741C"/>
    <w:rsid w:val="20344F28"/>
    <w:rsid w:val="206770AC"/>
    <w:rsid w:val="23241284"/>
    <w:rsid w:val="23530B29"/>
    <w:rsid w:val="27AC56F0"/>
    <w:rsid w:val="282F3B79"/>
    <w:rsid w:val="283C571B"/>
    <w:rsid w:val="2850063C"/>
    <w:rsid w:val="291E2007"/>
    <w:rsid w:val="29CF3D8B"/>
    <w:rsid w:val="2CD32C5A"/>
    <w:rsid w:val="30C62676"/>
    <w:rsid w:val="30D37E45"/>
    <w:rsid w:val="31BF072E"/>
    <w:rsid w:val="340842AA"/>
    <w:rsid w:val="353B3065"/>
    <w:rsid w:val="35DA59F3"/>
    <w:rsid w:val="37321D6A"/>
    <w:rsid w:val="37903539"/>
    <w:rsid w:val="388A16E7"/>
    <w:rsid w:val="38F3153C"/>
    <w:rsid w:val="39F03816"/>
    <w:rsid w:val="3CC75F2B"/>
    <w:rsid w:val="3CE61832"/>
    <w:rsid w:val="3CF814E4"/>
    <w:rsid w:val="3D874491"/>
    <w:rsid w:val="3F5D7BA0"/>
    <w:rsid w:val="41817B76"/>
    <w:rsid w:val="418A33DF"/>
    <w:rsid w:val="435C016E"/>
    <w:rsid w:val="43964717"/>
    <w:rsid w:val="43BE3353"/>
    <w:rsid w:val="443D4540"/>
    <w:rsid w:val="45553AE5"/>
    <w:rsid w:val="45974888"/>
    <w:rsid w:val="47470D57"/>
    <w:rsid w:val="47D26073"/>
    <w:rsid w:val="47E75CBA"/>
    <w:rsid w:val="4B700D53"/>
    <w:rsid w:val="4BDA12B0"/>
    <w:rsid w:val="4D317F5A"/>
    <w:rsid w:val="4D3A7115"/>
    <w:rsid w:val="4D677E3B"/>
    <w:rsid w:val="523429E2"/>
    <w:rsid w:val="536D2F2E"/>
    <w:rsid w:val="53F1220D"/>
    <w:rsid w:val="546D21DB"/>
    <w:rsid w:val="5658373F"/>
    <w:rsid w:val="566D6A2E"/>
    <w:rsid w:val="57346FE0"/>
    <w:rsid w:val="591C7D2C"/>
    <w:rsid w:val="59B361F2"/>
    <w:rsid w:val="5DFC5B86"/>
    <w:rsid w:val="5E677C9B"/>
    <w:rsid w:val="5EA70DDA"/>
    <w:rsid w:val="60C63B32"/>
    <w:rsid w:val="629038C3"/>
    <w:rsid w:val="642A69CF"/>
    <w:rsid w:val="65271F32"/>
    <w:rsid w:val="66091AE9"/>
    <w:rsid w:val="68AB6E74"/>
    <w:rsid w:val="6942558D"/>
    <w:rsid w:val="6A2133F4"/>
    <w:rsid w:val="6AC87D14"/>
    <w:rsid w:val="6BE0108D"/>
    <w:rsid w:val="6C550632"/>
    <w:rsid w:val="6D263022"/>
    <w:rsid w:val="742915A0"/>
    <w:rsid w:val="76764668"/>
    <w:rsid w:val="774C5829"/>
    <w:rsid w:val="77893908"/>
    <w:rsid w:val="77E56B80"/>
    <w:rsid w:val="78A3591C"/>
    <w:rsid w:val="790E7239"/>
    <w:rsid w:val="79FB4EC7"/>
    <w:rsid w:val="7C42088B"/>
    <w:rsid w:val="7CE63738"/>
    <w:rsid w:val="7D36737D"/>
    <w:rsid w:val="7D3D7B44"/>
    <w:rsid w:val="7E0155BF"/>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next w:val="14"/>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Body Text First Indent 2"/>
    <w:basedOn w:val="15"/>
    <w:next w:val="1"/>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paragraph" w:styleId="15">
    <w:name w:val="Body Text Indent"/>
    <w:basedOn w:val="1"/>
    <w:link w:val="63"/>
    <w:unhideWhenUsed/>
    <w:qFormat/>
    <w:uiPriority w:val="0"/>
    <w:pPr>
      <w:ind w:left="2730" w:hanging="2730" w:hangingChars="1365"/>
      <w:jc w:val="left"/>
    </w:pPr>
    <w:rPr>
      <w:sz w:val="20"/>
      <w:lang w:bidi="he-IL"/>
    </w:rPr>
  </w:style>
  <w:style w:type="paragraph" w:styleId="16">
    <w:name w:val="annotation text"/>
    <w:basedOn w:val="1"/>
    <w:link w:val="117"/>
    <w:unhideWhenUsed/>
    <w:qFormat/>
    <w:uiPriority w:val="0"/>
    <w:pPr>
      <w:adjustRightInd/>
      <w:spacing w:line="500" w:lineRule="exact"/>
      <w:jc w:val="left"/>
    </w:pPr>
    <w:rPr>
      <w:sz w:val="20"/>
    </w:rPr>
  </w:style>
  <w:style w:type="paragraph" w:styleId="17">
    <w:name w:val="Body Text 3"/>
    <w:basedOn w:val="1"/>
    <w:link w:val="73"/>
    <w:semiHidden/>
    <w:unhideWhenUsed/>
    <w:qFormat/>
    <w:uiPriority w:val="99"/>
    <w:pPr>
      <w:spacing w:after="120"/>
    </w:pPr>
    <w:rPr>
      <w:sz w:val="16"/>
      <w:szCs w:val="16"/>
    </w:rPr>
  </w:style>
  <w:style w:type="paragraph" w:styleId="18">
    <w:name w:val="Body Text"/>
    <w:basedOn w:val="1"/>
    <w:link w:val="80"/>
    <w:autoRedefine/>
    <w:unhideWhenUsed/>
    <w:qFormat/>
    <w:uiPriority w:val="0"/>
    <w:pPr>
      <w:spacing w:after="120"/>
    </w:pPr>
  </w:style>
  <w:style w:type="paragraph" w:styleId="19">
    <w:name w:val="Block Text"/>
    <w:basedOn w:val="1"/>
    <w:autoRedefine/>
    <w:unhideWhenUsed/>
    <w:qFormat/>
    <w:uiPriority w:val="99"/>
    <w:pPr>
      <w:spacing w:after="120"/>
      <w:ind w:left="1440" w:leftChars="700" w:right="1440" w:rightChars="700"/>
    </w:pPr>
    <w:rPr>
      <w:szCs w:val="24"/>
    </w:rPr>
  </w:style>
  <w:style w:type="paragraph" w:styleId="20">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1">
    <w:name w:val="toc 3"/>
    <w:basedOn w:val="1"/>
    <w:next w:val="1"/>
    <w:autoRedefine/>
    <w:unhideWhenUsed/>
    <w:qFormat/>
    <w:uiPriority w:val="39"/>
    <w:pPr>
      <w:ind w:left="840" w:leftChars="400"/>
    </w:pPr>
  </w:style>
  <w:style w:type="paragraph" w:styleId="22">
    <w:name w:val="Plain Text"/>
    <w:basedOn w:val="1"/>
    <w:link w:val="118"/>
    <w:autoRedefine/>
    <w:qFormat/>
    <w:uiPriority w:val="0"/>
    <w:pPr>
      <w:textAlignment w:val="baseline"/>
    </w:pPr>
    <w:rPr>
      <w:rFonts w:ascii="宋体" w:hAnsi="Courier New"/>
    </w:rPr>
  </w:style>
  <w:style w:type="paragraph" w:styleId="23">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4">
    <w:name w:val="Date"/>
    <w:basedOn w:val="1"/>
    <w:next w:val="1"/>
    <w:link w:val="78"/>
    <w:autoRedefine/>
    <w:semiHidden/>
    <w:unhideWhenUsed/>
    <w:qFormat/>
    <w:uiPriority w:val="99"/>
    <w:pPr>
      <w:ind w:left="100" w:leftChars="2500"/>
    </w:pPr>
  </w:style>
  <w:style w:type="paragraph" w:styleId="25">
    <w:name w:val="Body Text Indent 2"/>
    <w:basedOn w:val="1"/>
    <w:link w:val="76"/>
    <w:autoRedefine/>
    <w:unhideWhenUsed/>
    <w:qFormat/>
    <w:uiPriority w:val="99"/>
    <w:pPr>
      <w:spacing w:after="120" w:line="480" w:lineRule="auto"/>
      <w:ind w:left="420" w:leftChars="200"/>
      <w:jc w:val="left"/>
    </w:pPr>
  </w:style>
  <w:style w:type="paragraph" w:styleId="26">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7">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8">
    <w:name w:val="envelope return"/>
    <w:basedOn w:val="1"/>
    <w:qFormat/>
    <w:uiPriority w:val="0"/>
    <w:pPr>
      <w:snapToGrid w:val="0"/>
    </w:pPr>
    <w:rPr>
      <w:rFonts w:ascii="Arial" w:hAnsi="Arial"/>
    </w:rPr>
  </w:style>
  <w:style w:type="paragraph" w:styleId="29">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30">
    <w:name w:val="toc 1"/>
    <w:basedOn w:val="1"/>
    <w:next w:val="1"/>
    <w:autoRedefine/>
    <w:unhideWhenUsed/>
    <w:qFormat/>
    <w:uiPriority w:val="39"/>
  </w:style>
  <w:style w:type="paragraph" w:styleId="31">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2">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3">
    <w:name w:val="Body Text Indent 3"/>
    <w:basedOn w:val="1"/>
    <w:link w:val="128"/>
    <w:autoRedefine/>
    <w:semiHidden/>
    <w:unhideWhenUsed/>
    <w:qFormat/>
    <w:uiPriority w:val="99"/>
    <w:pPr>
      <w:spacing w:after="120"/>
      <w:ind w:left="420" w:leftChars="200"/>
    </w:pPr>
    <w:rPr>
      <w:sz w:val="16"/>
      <w:szCs w:val="16"/>
    </w:rPr>
  </w:style>
  <w:style w:type="paragraph" w:styleId="34">
    <w:name w:val="toc 2"/>
    <w:basedOn w:val="1"/>
    <w:next w:val="1"/>
    <w:autoRedefine/>
    <w:qFormat/>
    <w:uiPriority w:val="39"/>
    <w:pPr>
      <w:ind w:left="420" w:leftChars="200"/>
    </w:pPr>
  </w:style>
  <w:style w:type="paragraph" w:styleId="35">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6">
    <w:name w:val="Body Text 2"/>
    <w:basedOn w:val="1"/>
    <w:qFormat/>
    <w:uiPriority w:val="0"/>
    <w:pPr>
      <w:widowControl/>
      <w:jc w:val="center"/>
    </w:pPr>
    <w:rPr>
      <w:rFonts w:ascii="楷体_GB2312" w:eastAsia="楷体_GB2312"/>
      <w:sz w:val="20"/>
    </w:rPr>
  </w:style>
  <w:style w:type="paragraph" w:styleId="37">
    <w:name w:val="Message Header"/>
    <w:basedOn w:val="1"/>
    <w:next w:val="22"/>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8">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9">
    <w:name w:val="index 1"/>
    <w:basedOn w:val="1"/>
    <w:next w:val="1"/>
    <w:autoRedefine/>
    <w:qFormat/>
    <w:uiPriority w:val="0"/>
    <w:rPr>
      <w:rFonts w:ascii="仿宋_GB2312" w:hAnsi="宋体" w:eastAsia="仿宋_GB2312"/>
      <w:sz w:val="30"/>
      <w:szCs w:val="24"/>
    </w:rPr>
  </w:style>
  <w:style w:type="paragraph" w:styleId="40">
    <w:name w:val="Body Text First Indent"/>
    <w:basedOn w:val="18"/>
    <w:link w:val="87"/>
    <w:autoRedefine/>
    <w:unhideWhenUsed/>
    <w:qFormat/>
    <w:uiPriority w:val="99"/>
    <w:pPr>
      <w:ind w:firstLine="420" w:firstLineChars="100"/>
    </w:pPr>
  </w:style>
  <w:style w:type="table" w:styleId="42">
    <w:name w:val="Table Grid"/>
    <w:basedOn w:val="4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autoRedefine/>
    <w:qFormat/>
    <w:uiPriority w:val="0"/>
    <w:rPr>
      <w:b/>
    </w:rPr>
  </w:style>
  <w:style w:type="character" w:styleId="45">
    <w:name w:val="FollowedHyperlink"/>
    <w:basedOn w:val="43"/>
    <w:autoRedefine/>
    <w:semiHidden/>
    <w:unhideWhenUsed/>
    <w:qFormat/>
    <w:uiPriority w:val="99"/>
    <w:rPr>
      <w:color w:val="954F72"/>
      <w:u w:val="single"/>
    </w:rPr>
  </w:style>
  <w:style w:type="character" w:styleId="46">
    <w:name w:val="Hyperlink"/>
    <w:basedOn w:val="43"/>
    <w:autoRedefine/>
    <w:unhideWhenUsed/>
    <w:qFormat/>
    <w:uiPriority w:val="99"/>
    <w:rPr>
      <w:color w:val="0000FF" w:themeColor="hyperlink"/>
      <w:u w:val="single"/>
      <w14:textFill>
        <w14:solidFill>
          <w14:schemeClr w14:val="hlink"/>
        </w14:solidFill>
      </w14:textFill>
    </w:rPr>
  </w:style>
  <w:style w:type="character" w:styleId="47">
    <w:name w:val="annotation reference"/>
    <w:autoRedefine/>
    <w:semiHidden/>
    <w:qFormat/>
    <w:uiPriority w:val="0"/>
    <w:rPr>
      <w:sz w:val="21"/>
      <w:szCs w:val="21"/>
    </w:rPr>
  </w:style>
  <w:style w:type="character" w:styleId="48">
    <w:name w:val="footnote reference"/>
    <w:autoRedefine/>
    <w:qFormat/>
    <w:uiPriority w:val="0"/>
    <w:rPr>
      <w:vertAlign w:val="superscript"/>
    </w:rPr>
  </w:style>
  <w:style w:type="paragraph" w:customStyle="1" w:styleId="49">
    <w:name w:val="*正文"/>
    <w:basedOn w:val="13"/>
    <w:qFormat/>
    <w:uiPriority w:val="0"/>
    <w:pPr>
      <w:ind w:firstLine="200"/>
    </w:pPr>
    <w:rPr>
      <w:rFonts w:ascii="宋体" w:hAnsi="宋体" w:eastAsia="宋体" w:cs="Times New Roman"/>
      <w:color w:val="000000"/>
    </w:rPr>
  </w:style>
  <w:style w:type="paragraph" w:customStyle="1" w:styleId="50">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1">
    <w:name w:val="标题 1 字符"/>
    <w:basedOn w:val="43"/>
    <w:link w:val="3"/>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3"/>
    <w:link w:val="4"/>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3"/>
    <w:link w:val="5"/>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3"/>
    <w:link w:val="6"/>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3"/>
    <w:link w:val="7"/>
    <w:autoRedefine/>
    <w:qFormat/>
    <w:uiPriority w:val="9"/>
    <w:rPr>
      <w:rFonts w:ascii="Times New Roman" w:hAnsi="Times New Roman" w:eastAsia="宋体" w:cs="Times New Roman"/>
      <w:b/>
      <w:bCs/>
      <w:sz w:val="28"/>
      <w:szCs w:val="28"/>
    </w:rPr>
  </w:style>
  <w:style w:type="character" w:customStyle="1" w:styleId="56">
    <w:name w:val="标题 6 字符"/>
    <w:basedOn w:val="43"/>
    <w:link w:val="8"/>
    <w:autoRedefine/>
    <w:qFormat/>
    <w:uiPriority w:val="9"/>
    <w:rPr>
      <w:rFonts w:ascii="Arial" w:hAnsi="Arial" w:eastAsia="黑体" w:cs="Times New Roman"/>
      <w:b/>
      <w:bCs/>
      <w:sz w:val="24"/>
      <w:szCs w:val="24"/>
    </w:rPr>
  </w:style>
  <w:style w:type="character" w:customStyle="1" w:styleId="57">
    <w:name w:val="标题 7 字符"/>
    <w:basedOn w:val="43"/>
    <w:link w:val="9"/>
    <w:autoRedefine/>
    <w:qFormat/>
    <w:uiPriority w:val="0"/>
    <w:rPr>
      <w:rFonts w:ascii="Times New Roman" w:hAnsi="Times New Roman" w:eastAsia="宋体" w:cs="Times New Roman"/>
      <w:b/>
      <w:bCs/>
      <w:sz w:val="24"/>
      <w:szCs w:val="24"/>
    </w:rPr>
  </w:style>
  <w:style w:type="character" w:customStyle="1" w:styleId="58">
    <w:name w:val="标题 8 字符"/>
    <w:basedOn w:val="43"/>
    <w:link w:val="10"/>
    <w:autoRedefine/>
    <w:qFormat/>
    <w:uiPriority w:val="0"/>
    <w:rPr>
      <w:rFonts w:ascii="Arial" w:hAnsi="Arial" w:eastAsia="黑体" w:cs="Times New Roman"/>
      <w:sz w:val="24"/>
      <w:szCs w:val="24"/>
    </w:rPr>
  </w:style>
  <w:style w:type="character" w:customStyle="1" w:styleId="59">
    <w:name w:val="标题 9 字符"/>
    <w:basedOn w:val="43"/>
    <w:link w:val="11"/>
    <w:autoRedefine/>
    <w:qFormat/>
    <w:uiPriority w:val="9"/>
    <w:rPr>
      <w:rFonts w:ascii="Arial" w:hAnsi="Arial" w:eastAsia="黑体" w:cs="Times New Roman"/>
      <w:szCs w:val="21"/>
    </w:rPr>
  </w:style>
  <w:style w:type="character" w:customStyle="1" w:styleId="60">
    <w:name w:val="页眉 字符"/>
    <w:basedOn w:val="43"/>
    <w:link w:val="29"/>
    <w:autoRedefine/>
    <w:qFormat/>
    <w:uiPriority w:val="0"/>
    <w:rPr>
      <w:sz w:val="18"/>
      <w:szCs w:val="18"/>
    </w:rPr>
  </w:style>
  <w:style w:type="character" w:customStyle="1" w:styleId="61">
    <w:name w:val="页脚 字符"/>
    <w:basedOn w:val="43"/>
    <w:link w:val="27"/>
    <w:autoRedefine/>
    <w:qFormat/>
    <w:uiPriority w:val="0"/>
    <w:rPr>
      <w:sz w:val="18"/>
      <w:szCs w:val="18"/>
    </w:rPr>
  </w:style>
  <w:style w:type="character" w:customStyle="1" w:styleId="62">
    <w:name w:val="批注框文本 字符"/>
    <w:basedOn w:val="43"/>
    <w:link w:val="26"/>
    <w:autoRedefine/>
    <w:semiHidden/>
    <w:qFormat/>
    <w:uiPriority w:val="99"/>
    <w:rPr>
      <w:sz w:val="18"/>
      <w:szCs w:val="18"/>
    </w:rPr>
  </w:style>
  <w:style w:type="character" w:customStyle="1" w:styleId="63">
    <w:name w:val="正文文本缩进 字符"/>
    <w:basedOn w:val="43"/>
    <w:link w:val="15"/>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3"/>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3"/>
    <w:link w:val="17"/>
    <w:autoRedefine/>
    <w:semiHidden/>
    <w:qFormat/>
    <w:uiPriority w:val="99"/>
    <w:rPr>
      <w:rFonts w:ascii="Times New Roman" w:hAnsi="Times New Roman" w:eastAsia="宋体" w:cs="Times New Roman"/>
      <w:kern w:val="0"/>
      <w:sz w:val="16"/>
      <w:szCs w:val="16"/>
    </w:rPr>
  </w:style>
  <w:style w:type="character" w:customStyle="1" w:styleId="74">
    <w:name w:val="fontstyle01"/>
    <w:basedOn w:val="43"/>
    <w:autoRedefine/>
    <w:qFormat/>
    <w:uiPriority w:val="0"/>
    <w:rPr>
      <w:rFonts w:hint="eastAsia" w:ascii="宋体" w:hAnsi="宋体" w:eastAsia="宋体"/>
      <w:color w:val="000000"/>
      <w:sz w:val="44"/>
      <w:szCs w:val="44"/>
    </w:rPr>
  </w:style>
  <w:style w:type="character" w:customStyle="1" w:styleId="75">
    <w:name w:val="fontstyle21"/>
    <w:basedOn w:val="43"/>
    <w:autoRedefine/>
    <w:qFormat/>
    <w:uiPriority w:val="0"/>
    <w:rPr>
      <w:rFonts w:hint="default" w:ascii="Wingdings-Regular" w:hAnsi="Wingdings-Regular"/>
      <w:color w:val="000000"/>
      <w:sz w:val="22"/>
      <w:szCs w:val="22"/>
    </w:rPr>
  </w:style>
  <w:style w:type="character" w:customStyle="1" w:styleId="76">
    <w:name w:val="正文文本缩进 2 字符"/>
    <w:basedOn w:val="43"/>
    <w:link w:val="25"/>
    <w:autoRedefine/>
    <w:qFormat/>
    <w:uiPriority w:val="99"/>
    <w:rPr>
      <w:rFonts w:ascii="Times New Roman" w:hAnsi="Times New Roman" w:eastAsia="宋体" w:cs="Times New Roman"/>
      <w:kern w:val="0"/>
      <w:szCs w:val="20"/>
    </w:rPr>
  </w:style>
  <w:style w:type="character" w:customStyle="1" w:styleId="77">
    <w:name w:val="Unresolved Mention"/>
    <w:basedOn w:val="43"/>
    <w:autoRedefine/>
    <w:semiHidden/>
    <w:unhideWhenUsed/>
    <w:qFormat/>
    <w:uiPriority w:val="99"/>
    <w:rPr>
      <w:color w:val="605E5C"/>
      <w:shd w:val="clear" w:color="auto" w:fill="E1DFDD"/>
    </w:rPr>
  </w:style>
  <w:style w:type="character" w:customStyle="1" w:styleId="78">
    <w:name w:val="日期 字符"/>
    <w:basedOn w:val="43"/>
    <w:link w:val="24"/>
    <w:autoRedefine/>
    <w:semiHidden/>
    <w:qFormat/>
    <w:uiPriority w:val="99"/>
    <w:rPr>
      <w:rFonts w:ascii="Times New Roman" w:hAnsi="Times New Roman" w:eastAsia="宋体" w:cs="Times New Roman"/>
      <w:kern w:val="0"/>
      <w:szCs w:val="20"/>
    </w:rPr>
  </w:style>
  <w:style w:type="character" w:customStyle="1" w:styleId="79">
    <w:name w:val="正文缩进 字符"/>
    <w:link w:val="13"/>
    <w:autoRedefine/>
    <w:qFormat/>
    <w:uiPriority w:val="0"/>
    <w:rPr>
      <w:rFonts w:ascii="宋体"/>
      <w:sz w:val="24"/>
    </w:rPr>
  </w:style>
  <w:style w:type="character" w:customStyle="1" w:styleId="80">
    <w:name w:val="正文文本 字符"/>
    <w:basedOn w:val="43"/>
    <w:link w:val="18"/>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14"/>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40"/>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3"/>
    <w:link w:val="16"/>
    <w:autoRedefine/>
    <w:qFormat/>
    <w:uiPriority w:val="0"/>
    <w:rPr>
      <w:rFonts w:ascii="Times New Roman" w:hAnsi="Times New Roman" w:eastAsia="宋体" w:cs="Times New Roman"/>
      <w:kern w:val="0"/>
      <w:sz w:val="20"/>
      <w:szCs w:val="20"/>
    </w:rPr>
  </w:style>
  <w:style w:type="character" w:customStyle="1" w:styleId="118">
    <w:name w:val="纯文本 字符"/>
    <w:basedOn w:val="43"/>
    <w:link w:val="22"/>
    <w:autoRedefine/>
    <w:qFormat/>
    <w:uiPriority w:val="0"/>
    <w:rPr>
      <w:rFonts w:ascii="宋体" w:hAnsi="Courier New" w:eastAsia="宋体" w:cs="Times New Roman"/>
      <w:kern w:val="0"/>
      <w:szCs w:val="20"/>
    </w:rPr>
  </w:style>
  <w:style w:type="character" w:customStyle="1" w:styleId="119">
    <w:name w:val="信息标题 字符"/>
    <w:basedOn w:val="43"/>
    <w:link w:val="37"/>
    <w:autoRedefine/>
    <w:qFormat/>
    <w:uiPriority w:val="0"/>
    <w:rPr>
      <w:rFonts w:ascii="Cambria" w:hAnsi="Cambria" w:eastAsia="宋体" w:cs="Times New Roman"/>
      <w:sz w:val="24"/>
      <w:szCs w:val="20"/>
      <w:shd w:val="pct20" w:color="auto" w:fill="auto"/>
    </w:rPr>
  </w:style>
  <w:style w:type="character" w:customStyle="1" w:styleId="120">
    <w:name w:val="font41"/>
    <w:basedOn w:val="43"/>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3"/>
    <w:autoRedefine/>
    <w:qFormat/>
    <w:uiPriority w:val="0"/>
    <w:rPr>
      <w:rFonts w:hint="eastAsia" w:ascii="宋体" w:hAnsi="宋体" w:eastAsia="宋体"/>
      <w:b/>
      <w:color w:val="000000"/>
      <w:kern w:val="2"/>
      <w:sz w:val="18"/>
      <w:u w:val="none"/>
    </w:rPr>
  </w:style>
  <w:style w:type="paragraph" w:customStyle="1" w:styleId="124">
    <w:name w:val="模板普通正文"/>
    <w:basedOn w:val="15"/>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3"/>
    <w:link w:val="33"/>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 w:type="paragraph" w:customStyle="1" w:styleId="1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0">
    <w:name w:val="Table Text"/>
    <w:basedOn w:val="1"/>
    <w:autoRedefine/>
    <w:semiHidden/>
    <w:qFormat/>
    <w:uiPriority w:val="0"/>
    <w:rPr>
      <w:rFonts w:ascii="Arial" w:hAnsi="Arial" w:eastAsia="Arial" w:cs="Arial"/>
      <w:sz w:val="21"/>
      <w:szCs w:val="21"/>
      <w:lang w:val="en-US" w:eastAsia="en-US" w:bidi="ar-SA"/>
    </w:rPr>
  </w:style>
  <w:style w:type="table" w:customStyle="1" w:styleId="14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44</Pages>
  <Words>16914</Words>
  <Characters>17787</Characters>
  <Lines>29</Lines>
  <Paragraphs>8</Paragraphs>
  <TotalTime>0</TotalTime>
  <ScaleCrop>false</ScaleCrop>
  <LinksUpToDate>false</LinksUpToDate>
  <CharactersWithSpaces>18114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Z^_^R</cp:lastModifiedBy>
  <cp:lastPrinted>2022-08-19T09:30:00Z</cp:lastPrinted>
  <dcterms:modified xsi:type="dcterms:W3CDTF">2026-08-04T02:35:42Z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FAA3039451564B028DAFDF7004F749C5_13</vt:lpwstr>
  </property>
  <property fmtid="{D5CDD505-2E9C-101B-9397-08002B2CF9AE}" pid="4" name="KSOTemplateDocerSaveRecord">
    <vt:lpwstr>eyJoZGlkIjoiZmZiYmM4NzlhZjdiMmExNTk1YzZjMTNkYTVjNzExZDciLCJ1c2VySWQiOiIyNjUyMTU1NzAifQ==</vt:lpwstr>
  </property>
</Properties>
</file>