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13"/>
        <w:ind w:left="0" w:leftChars="0" w:firstLine="0" w:firstLineChars="0"/>
      </w:pPr>
    </w:p>
    <w:p w14:paraId="177428CA">
      <w:pPr>
        <w:spacing w:line="360" w:lineRule="auto"/>
        <w:ind w:firstLine="442" w:firstLineChars="100"/>
        <w:jc w:val="center"/>
        <w:rPr>
          <w:rFonts w:hint="eastAsia" w:ascii="宋体" w:hAnsi="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桐城师范高等专科学校交通班车租赁服务</w:t>
      </w:r>
    </w:p>
    <w:p w14:paraId="71EAB638">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采购项目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018</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r>
        <w:rPr>
          <w:rFonts w:ascii="宋体" w:hAnsi="宋体" w:cs="仿宋_GB2312"/>
          <w:b/>
          <w:color w:val="auto"/>
          <w:spacing w:val="20"/>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安徽文都招标代理咨询有限公司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0C2CB5DA">
      <w:pPr>
        <w:spacing w:line="480" w:lineRule="exact"/>
        <w:jc w:val="center"/>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29"/>
        <w:tabs>
          <w:tab w:val="right" w:leader="dot" w:pos="9070"/>
        </w:tabs>
        <w:spacing w:line="360" w:lineRule="auto"/>
        <w:rPr>
          <w:color w:val="auto"/>
          <w:sz w:val="28"/>
          <w:szCs w:val="24"/>
          <w:highlight w:val="none"/>
        </w:rPr>
      </w:pPr>
      <w:bookmarkStart w:id="0" w:name="_Toc21464"/>
      <w:bookmarkStart w:id="1" w:name="_Toc54941328"/>
      <w:bookmarkStart w:id="2" w:name="_Toc23467"/>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谈判邀请</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p>
    <w:p w14:paraId="25820FA5">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6</w:t>
      </w:r>
      <w:r>
        <w:rPr>
          <w:color w:val="auto"/>
          <w:sz w:val="28"/>
          <w:szCs w:val="40"/>
          <w:highlight w:val="none"/>
        </w:rPr>
        <w:fldChar w:fldCharType="end"/>
      </w:r>
    </w:p>
    <w:p w14:paraId="4473F23C">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4</w:t>
      </w:r>
    </w:p>
    <w:p w14:paraId="4DE78E20">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8</w:t>
      </w:r>
    </w:p>
    <w:p w14:paraId="7143EA37">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1</w:t>
      </w:r>
    </w:p>
    <w:p w14:paraId="1B92A2FD">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25</w:t>
      </w:r>
      <w:r>
        <w:rPr>
          <w:color w:val="auto"/>
          <w:sz w:val="28"/>
          <w:szCs w:val="24"/>
          <w:highlight w:val="none"/>
        </w:rPr>
        <w:fldChar w:fldCharType="end"/>
      </w:r>
      <w:r>
        <w:rPr>
          <w:color w:val="auto"/>
          <w:sz w:val="28"/>
          <w:szCs w:val="40"/>
          <w:highlight w:val="none"/>
        </w:rPr>
        <w:fldChar w:fldCharType="end"/>
      </w:r>
    </w:p>
    <w:p w14:paraId="78B5310B">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3</w:t>
      </w:r>
      <w:r>
        <w:rPr>
          <w:color w:val="auto"/>
          <w:sz w:val="28"/>
          <w:szCs w:val="40"/>
          <w:highlight w:val="none"/>
        </w:rPr>
        <w:fldChar w:fldCharType="end"/>
      </w:r>
      <w:r>
        <w:rPr>
          <w:rFonts w:hint="eastAsia"/>
          <w:color w:val="auto"/>
          <w:sz w:val="28"/>
          <w:szCs w:val="40"/>
          <w:highlight w:val="none"/>
          <w:lang w:val="en-US" w:eastAsia="zh-CN"/>
        </w:rPr>
        <w:t>5</w:t>
      </w:r>
    </w:p>
    <w:p w14:paraId="6989B8C6">
      <w:pPr>
        <w:pStyle w:val="21"/>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1"/>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谈判</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7340"/>
      <w:bookmarkStart w:id="6" w:name="_Toc21967"/>
      <w:bookmarkStart w:id="7" w:name="_Toc2461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w:t>
      </w:r>
      <w:r>
        <w:rPr>
          <w:rFonts w:hint="eastAsia" w:ascii="宋体" w:hAnsi="宋体"/>
          <w:color w:val="auto"/>
          <w:sz w:val="24"/>
          <w:szCs w:val="18"/>
          <w:highlight w:val="none"/>
          <w:u w:val="single"/>
          <w:lang w:val="en-US" w:eastAsia="zh-CN"/>
        </w:rPr>
        <w:t>18</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桐城师范高等专科学校交通班车租赁服务采购项目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230560</w:t>
      </w:r>
      <w:r>
        <w:rPr>
          <w:rFonts w:hint="eastAsia" w:ascii="宋体" w:hAnsi="宋体" w:eastAsia="宋体"/>
          <w:color w:val="auto"/>
          <w:sz w:val="24"/>
          <w:szCs w:val="18"/>
          <w:highlight w:val="none"/>
          <w:u w:val="single"/>
          <w:lang w:val="en-US" w:eastAsia="zh-CN"/>
        </w:rPr>
        <w:t>元</w:t>
      </w:r>
      <w:r>
        <w:rPr>
          <w:rFonts w:hint="eastAsia" w:ascii="宋体" w:hAnsi="宋体"/>
          <w:color w:val="auto"/>
          <w:sz w:val="24"/>
          <w:szCs w:val="18"/>
          <w:highlight w:val="none"/>
          <w:u w:val="single"/>
          <w:lang w:val="en-US" w:eastAsia="zh-CN"/>
        </w:rPr>
        <w:t>/年</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230560</w:t>
      </w:r>
      <w:r>
        <w:rPr>
          <w:rFonts w:hint="eastAsia" w:ascii="宋体" w:hAnsi="宋体" w:eastAsia="宋体"/>
          <w:color w:val="auto"/>
          <w:sz w:val="24"/>
          <w:szCs w:val="18"/>
          <w:highlight w:val="none"/>
          <w:u w:val="single"/>
          <w:lang w:val="en-US" w:eastAsia="zh-CN"/>
        </w:rPr>
        <w:t>元</w:t>
      </w:r>
      <w:r>
        <w:rPr>
          <w:rFonts w:hint="eastAsia" w:ascii="宋体" w:hAnsi="宋体"/>
          <w:color w:val="auto"/>
          <w:sz w:val="24"/>
          <w:szCs w:val="18"/>
          <w:highlight w:val="none"/>
          <w:u w:val="single"/>
          <w:lang w:val="en-US" w:eastAsia="zh-CN"/>
        </w:rPr>
        <w:t>/年</w:t>
      </w:r>
      <w:r>
        <w:rPr>
          <w:rFonts w:ascii="宋体" w:hAnsi="宋体" w:eastAsia="宋体"/>
          <w:color w:val="auto"/>
          <w:sz w:val="24"/>
          <w:szCs w:val="18"/>
          <w:highlight w:val="none"/>
          <w:u w:val="single"/>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桐城师范高等专科学校交通班车租赁服务采购项目，详见采购需求</w:t>
      </w:r>
    </w:p>
    <w:p w14:paraId="7714AF6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3年，合同一年一签</w:t>
      </w:r>
      <w:r>
        <w:rPr>
          <w:rFonts w:hint="eastAsia" w:ascii="宋体" w:hAnsi="宋体" w:eastAsia="宋体"/>
          <w:color w:val="auto"/>
          <w:sz w:val="24"/>
          <w:szCs w:val="18"/>
          <w:highlight w:val="none"/>
          <w:u w:val="single"/>
        </w:rPr>
        <w:t>（具体以租赁汽车的实际交付时间为准，合同期内，以实际租赁期限为准；如遇如车改等国家政策调整招标人随时可以解除合同且不承担任何违约责任）</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9766"/>
      <w:bookmarkStart w:id="10" w:name="_Toc5862"/>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50148E6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lang w:val="en-US" w:eastAsia="zh-CN"/>
        </w:rPr>
        <w:t>具有交通运输主管部门颁发的《道路运输经营许可证》。</w:t>
      </w:r>
    </w:p>
    <w:p w14:paraId="3BA13CD6">
      <w:pPr>
        <w:spacing w:line="360" w:lineRule="auto"/>
        <w:ind w:firstLine="435"/>
        <w:rPr>
          <w:rFonts w:ascii="宋体" w:hAnsi="宋体" w:eastAsia="宋体"/>
          <w:b/>
          <w:bCs/>
          <w:color w:val="auto"/>
          <w:sz w:val="24"/>
          <w:szCs w:val="18"/>
          <w:highlight w:val="none"/>
        </w:rPr>
      </w:pPr>
      <w:bookmarkStart w:id="11" w:name="_Toc4607"/>
      <w:bookmarkStart w:id="12" w:name="_Toc31469"/>
      <w:bookmarkStart w:id="13" w:name="_Toc31607"/>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分前（北京时间）</w:t>
      </w:r>
    </w:p>
    <w:p w14:paraId="63649A3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sz w:val="24"/>
          <w:szCs w:val="24"/>
          <w:highlight w:val="none"/>
          <w:u w:val="single"/>
        </w:rPr>
        <w:t>桐城师范高等专科学校官网</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16674"/>
      <w:bookmarkStart w:id="16" w:name="_Toc346"/>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纸质响应文件提交至桐城市民营经济开发区朝阳玉雕城A-15</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10846"/>
      <w:bookmarkStart w:id="19"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sz w:val="24"/>
          <w:szCs w:val="24"/>
          <w:highlight w:val="none"/>
          <w:u w:val="single"/>
        </w:rPr>
        <w:t>桐城市民营经济开发区朝阳玉雕城A-15</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6124"/>
      <w:bookmarkStart w:id="21" w:name="_Toc14575"/>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16366"/>
      <w:bookmarkStart w:id="24" w:name="_Toc35393626"/>
      <w:bookmarkStart w:id="25" w:name="_Toc35393795"/>
      <w:bookmarkStart w:id="26" w:name="_Toc21264"/>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24122"/>
      <w:bookmarkStart w:id="28" w:name="_Toc7755"/>
      <w:r>
        <w:rPr>
          <w:rFonts w:hint="eastAsia" w:ascii="宋体" w:hAnsi="宋体" w:eastAsia="宋体"/>
          <w:b w:val="0"/>
          <w:bCs w:val="0"/>
          <w:color w:val="auto"/>
          <w:sz w:val="24"/>
          <w:szCs w:val="1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2.中标单位应按照中标通知书要求及时与采购人签订合同并完成备案，否则将记入不良行为记录，并予以披露。</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color w:val="auto"/>
          <w:sz w:val="24"/>
          <w:szCs w:val="18"/>
          <w:highlight w:val="none"/>
          <w:lang w:val="en-US" w:eastAsia="zh-CN"/>
        </w:rPr>
        <w:t>李</w:t>
      </w:r>
      <w:r>
        <w:rPr>
          <w:rFonts w:hint="eastAsia" w:ascii="宋体" w:hAnsi="宋体" w:eastAsia="宋体"/>
          <w:color w:val="auto"/>
          <w:sz w:val="24"/>
          <w:szCs w:val="18"/>
          <w:highlight w:val="none"/>
          <w:lang w:val="en-US" w:eastAsia="zh-CN"/>
        </w:rPr>
        <w:t>老师          联系方式：15205568877</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名称：安徽文都招标代理咨询有限公司</w:t>
      </w:r>
    </w:p>
    <w:p w14:paraId="2ADF2CD4">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地址：桐城市民营经济开发区朝阳玉雕城A-15</w:t>
      </w:r>
    </w:p>
    <w:p w14:paraId="34E18E8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联系人：叶女士           联系电话：0556-6567777</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26069"/>
      <w:bookmarkStart w:id="30" w:name="_Toc11266"/>
      <w:bookmarkStart w:id="31" w:name="_Toc54941329"/>
      <w:bookmarkStart w:id="32" w:name="_Toc2521"/>
      <w:bookmarkStart w:id="33" w:name="_Toc54941331"/>
      <w:bookmarkStart w:id="34" w:name="_Toc439316872"/>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3"/>
        <w:rPr>
          <w:rFonts w:hint="eastAsia" w:eastAsia="宋体" w:cs="Tahoma"/>
          <w:bCs/>
          <w:color w:val="auto"/>
          <w:kern w:val="0"/>
          <w:sz w:val="28"/>
          <w:szCs w:val="28"/>
          <w:highlight w:val="none"/>
          <w:lang w:eastAsia="zh-CN"/>
        </w:rPr>
      </w:pPr>
      <w:bookmarkStart w:id="35" w:name="_Toc17862"/>
      <w:bookmarkStart w:id="36" w:name="_Toc439316871"/>
      <w:bookmarkStart w:id="37" w:name="_Toc54941330"/>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0"/>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安徽文都招标代理咨询有限公司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p w14:paraId="4A95921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Times New Roman" w:eastAsiaTheme="minorEastAsia"/>
                <w:b w:val="0"/>
                <w:bCs w:val="0"/>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u w:val="single"/>
              </w:rPr>
              <w:t>202</w:t>
            </w:r>
            <w:r>
              <w:rPr>
                <w:rFonts w:hint="eastAsia" w:asciiTheme="minorEastAsia" w:hAnsiTheme="minorEastAsia" w:eastAsiaTheme="minorEastAsia" w:cstheme="minorEastAsia"/>
                <w:sz w:val="21"/>
                <w:szCs w:val="21"/>
                <w:highlight w:val="none"/>
                <w:u w:val="single"/>
                <w:lang w:val="en-US" w:eastAsia="zh-CN"/>
              </w:rPr>
              <w:t>6</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lang w:val="en-US" w:eastAsia="zh-CN"/>
              </w:rPr>
              <w:t xml:space="preserve"> 8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lang w:val="en-US" w:eastAsia="zh-CN"/>
              </w:rPr>
              <w:t xml:space="preserve"> 27 </w:t>
            </w:r>
            <w:r>
              <w:rPr>
                <w:rFonts w:hint="eastAsia" w:asciiTheme="minorEastAsia" w:hAnsiTheme="minorEastAsia" w:eastAsiaTheme="minorEastAsia" w:cstheme="minorEastAsia"/>
                <w:sz w:val="21"/>
                <w:szCs w:val="21"/>
                <w:highlight w:val="none"/>
              </w:rPr>
              <w:t>日</w:t>
            </w:r>
            <w:r>
              <w:rPr>
                <w:rFonts w:hint="eastAsia" w:asciiTheme="minorEastAsia" w:hAnsiTheme="minorEastAsia" w:eastAsiaTheme="minorEastAsia" w:cstheme="minorEastAsia"/>
                <w:sz w:val="21"/>
                <w:szCs w:val="21"/>
                <w:highlight w:val="none"/>
                <w:u w:val="single"/>
                <w:lang w:val="en-US" w:eastAsia="zh-CN"/>
              </w:rPr>
              <w:t xml:space="preserve"> 09 </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u w:val="single"/>
                <w:lang w:val="en-US" w:eastAsia="zh-CN"/>
              </w:rPr>
              <w:t xml:space="preserve"> 0</w:t>
            </w:r>
            <w:r>
              <w:rPr>
                <w:rFonts w:hint="eastAsia" w:asciiTheme="minorEastAsia" w:hAnsiTheme="minorEastAsia" w:eastAsiaTheme="minorEastAsia" w:cstheme="minorEastAsia"/>
                <w:sz w:val="21"/>
                <w:szCs w:val="21"/>
                <w:highlight w:val="none"/>
                <w:u w:val="single"/>
              </w:rPr>
              <w:t>0</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分前</w:t>
            </w:r>
            <w:r>
              <w:rPr>
                <w:rFonts w:hint="eastAsia" w:asciiTheme="minorEastAsia" w:hAnsiTheme="minorEastAsia" w:eastAsiaTheme="minorEastAsia" w:cstheme="minorEastAsia"/>
                <w:bCs/>
                <w:sz w:val="21"/>
                <w:szCs w:val="21"/>
                <w:highlight w:val="none"/>
              </w:rPr>
              <w:t>（北京时间）</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4"/>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通讯地址：</w:t>
            </w:r>
            <w:r>
              <w:rPr>
                <w:rFonts w:hint="eastAsia" w:asciiTheme="minorEastAsia" w:hAnsiTheme="minorEastAsia" w:eastAsiaTheme="minorEastAsia" w:cstheme="minorEastAsia"/>
                <w:lang w:val="en-US" w:eastAsia="zh-CN"/>
              </w:rPr>
              <w:t xml:space="preserve"> 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13"/>
        <w:rPr>
          <w:rFonts w:hint="eastAsia" w:cs="Tahoma"/>
          <w:bCs/>
          <w:color w:val="auto"/>
          <w:kern w:val="0"/>
          <w:sz w:val="32"/>
          <w:szCs w:val="32"/>
          <w:highlight w:val="none"/>
          <w:lang w:val="en-US" w:eastAsia="zh-CN"/>
        </w:rPr>
      </w:pPr>
    </w:p>
    <w:p w14:paraId="2136D265">
      <w:pPr>
        <w:pStyle w:val="13"/>
        <w:rPr>
          <w:rFonts w:hint="eastAsia" w:cs="Tahoma"/>
          <w:bCs/>
          <w:color w:val="auto"/>
          <w:kern w:val="0"/>
          <w:sz w:val="32"/>
          <w:szCs w:val="32"/>
          <w:highlight w:val="none"/>
          <w:lang w:val="en-US" w:eastAsia="zh-CN"/>
        </w:rPr>
      </w:pPr>
    </w:p>
    <w:bookmarkEnd w:id="32"/>
    <w:bookmarkEnd w:id="33"/>
    <w:bookmarkEnd w:id="34"/>
    <w:p w14:paraId="1B0B2A3E">
      <w:pPr>
        <w:pStyle w:val="2"/>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10523"/>
      <w:bookmarkStart w:id="40" w:name="_Toc439316919"/>
      <w:bookmarkStart w:id="41" w:name="_Toc15055"/>
      <w:bookmarkStart w:id="42" w:name="_Toc21078"/>
      <w:bookmarkStart w:id="43" w:name="_Toc439316873"/>
      <w:bookmarkStart w:id="44" w:name="_Toc25270"/>
      <w:bookmarkStart w:id="45" w:name="_Toc7325"/>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的结果如何，供应商应承担其所有与准备和参加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第一章  </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的供应商将被视为完全认同本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文件要求的证明文件，证明其响应内容符合</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文件另有规定或说明，供应商对同一项目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时，不得同时提供备选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报价应遵守《中华人民共和国价格法》。</w:t>
      </w:r>
    </w:p>
    <w:p w14:paraId="4150C6B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.2供应商应</w:t>
      </w:r>
      <w:r>
        <w:rPr>
          <w:rFonts w:hint="eastAsia" w:asciiTheme="minorEastAsia" w:hAnsiTheme="minorEastAsia" w:eastAsiaTheme="minorEastAsia"/>
          <w:color w:val="auto"/>
          <w:sz w:val="24"/>
          <w:highlight w:val="none"/>
        </w:rPr>
        <w:t>在分项报价表上标明分项服务、伴随的货物和工程的价格（如适用）和总价，未标明的视同包含在</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报价中。</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除非</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有效期为从响应文件提交截止之日算起的日历天数，</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有效期内，供应商的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保持有效，供应商不得要求撤销或修改其响应文件。</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有效期截止之前，要求供应商延长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有效期。接受该要求的供应商将不会被要求和允许修正其响应文件。供应商可以拒绝延长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小组在评审中发现的计算错误并进行核实的修改、按照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文件的变动情况和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小组成员由3人以上（含）单数组成，</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小组依法对响应文件进行评审，并根据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文件规定的程序、评定成交的标准等事项与实质性响应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文件要求的供应商进行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小组应当从质量和服务均能满足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公告规定的时间和地点组织</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小组对供应商必须满足和实质性响应的内容进行评审，供应商未实质性响应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文件要求导致响应无效的，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小组将与单一供应商分别进行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，并给予所有参加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的供应商平等的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小组应当要求所有继续参加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的供应商在规定时间内提交最后报价。如供应商未在规定时间内（30分钟内）提交最后报价，则视为供应商自愿退出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w:t>
      </w:r>
      <w:r>
        <w:rPr>
          <w:rFonts w:hint="eastAsia" w:ascii="宋体" w:hAnsi="宋体" w:cs="Times New Roman"/>
          <w:b/>
          <w:bCs/>
          <w:color w:val="auto"/>
          <w:sz w:val="24"/>
          <w:highlight w:val="none"/>
          <w:lang w:val="en-US" w:eastAsia="zh-CN"/>
        </w:rPr>
        <w:t>谈判</w:t>
      </w:r>
      <w:r>
        <w:rPr>
          <w:rFonts w:hint="eastAsia" w:ascii="宋体" w:hAnsi="宋体" w:eastAsia="宋体" w:cs="Times New Roman"/>
          <w:b/>
          <w:bCs/>
          <w:color w:val="auto"/>
          <w:sz w:val="24"/>
          <w:highlight w:val="none"/>
          <w:lang w:val="en-US" w:eastAsia="zh-CN"/>
        </w:rPr>
        <w:t>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小组根据与供应商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情况可能实质性变动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文件的内容，包括采购需求中的技术、服务要求以及合同草案条款。</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文件有实质性变动的，经采购人代表确认作为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文件的有效组成部分，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小组将以书面形式通知所有参加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时携带了证书材料的原件，但响应文件中未提供与之内容完全一致的扫描件的，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并不限定只进行二轮报价，如果</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小组依据本项目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文件所约定的评审方法和标准，按照最后报价由低到高的顺序依次推荐成交候选人。最后报价相同的，则由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小组按照最后报价由低到高的顺序和供应商须知前附表中规定确定成交候选人。按供应商须知前附表中规定，由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小组成员签字的原始评审记录和评审结果编写的报告，评审报告由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小组全体成员签字。对评审结论持有异议的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小组成员可以书面方式阐述其不同意见和理由。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2"/>
        <w:numPr>
          <w:ilvl w:val="0"/>
          <w:numId w:val="0"/>
        </w:numPr>
        <w:spacing w:before="0" w:beforeAutospacing="0" w:afterLines="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第三章 采购需求</w:t>
      </w:r>
      <w:bookmarkEnd w:id="38"/>
    </w:p>
    <w:p w14:paraId="57F92650">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48" w:name="_Toc16371"/>
      <w:r>
        <w:rPr>
          <w:rFonts w:hint="eastAsia" w:ascii="宋体" w:hAnsi="宋体" w:eastAsia="宋体" w:cs="宋体"/>
          <w:b/>
          <w:bCs/>
          <w:sz w:val="24"/>
          <w:szCs w:val="24"/>
          <w:lang w:val="en-US" w:eastAsia="zh-CN" w:bidi="ar-SA"/>
        </w:rPr>
        <w:t>一、商务要求</w:t>
      </w:r>
    </w:p>
    <w:tbl>
      <w:tblPr>
        <w:tblStyle w:val="40"/>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8"/>
        <w:gridCol w:w="6646"/>
      </w:tblGrid>
      <w:tr w14:paraId="502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2966F35B">
            <w:pPr>
              <w:pStyle w:val="22"/>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108" w:type="dxa"/>
            <w:vAlign w:val="center"/>
          </w:tcPr>
          <w:p w14:paraId="78ECC137">
            <w:pPr>
              <w:pStyle w:val="22"/>
              <w:jc w:val="center"/>
            </w:pPr>
            <w:r>
              <w:rPr>
                <w:rFonts w:hint="eastAsia" w:asciiTheme="minorEastAsia" w:hAnsiTheme="minorEastAsia"/>
                <w:b/>
                <w:bCs/>
                <w:color w:val="auto"/>
                <w:sz w:val="24"/>
                <w:szCs w:val="24"/>
                <w:highlight w:val="none"/>
              </w:rPr>
              <w:t>商务条款</w:t>
            </w:r>
          </w:p>
        </w:tc>
        <w:tc>
          <w:tcPr>
            <w:tcW w:w="6646" w:type="dxa"/>
            <w:vAlign w:val="center"/>
          </w:tcPr>
          <w:p w14:paraId="73136536">
            <w:pPr>
              <w:pStyle w:val="22"/>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r>
      <w:tr w14:paraId="7B9D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808" w:type="dxa"/>
            <w:vAlign w:val="center"/>
          </w:tcPr>
          <w:p w14:paraId="151E8ADE">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108" w:type="dxa"/>
            <w:vAlign w:val="center"/>
          </w:tcPr>
          <w:p w14:paraId="05793A89">
            <w:pPr>
              <w:jc w:val="center"/>
              <w:rPr>
                <w:rFonts w:ascii="宋体" w:hAnsi="宋体"/>
                <w:sz w:val="24"/>
              </w:rPr>
            </w:pPr>
            <w:r>
              <w:rPr>
                <w:rFonts w:asciiTheme="minorEastAsia" w:hAnsiTheme="minorEastAsia" w:eastAsiaTheme="minorEastAsia"/>
                <w:color w:val="auto"/>
                <w:sz w:val="24"/>
                <w:highlight w:val="none"/>
              </w:rPr>
              <w:t>付款方式</w:t>
            </w:r>
          </w:p>
        </w:tc>
        <w:tc>
          <w:tcPr>
            <w:tcW w:w="6646" w:type="dxa"/>
            <w:vAlign w:val="center"/>
          </w:tcPr>
          <w:p w14:paraId="4BD2A12B">
            <w:pPr>
              <w:pStyle w:val="49"/>
              <w:jc w:val="center"/>
              <w:rPr>
                <w:rFonts w:hint="default"/>
                <w:lang w:val="en-US" w:eastAsia="zh-CN"/>
              </w:rPr>
            </w:pPr>
            <w:r>
              <w:rPr>
                <w:rFonts w:hint="default" w:asciiTheme="minorEastAsia" w:hAnsiTheme="minorEastAsia" w:eastAsiaTheme="minorEastAsia"/>
                <w:sz w:val="24"/>
                <w:lang w:val="en-US" w:eastAsia="zh-CN"/>
              </w:rPr>
              <w:t>按实际发生数量及成交单价</w:t>
            </w:r>
            <w:r>
              <w:rPr>
                <w:rFonts w:hint="eastAsia" w:asciiTheme="minorEastAsia" w:hAnsiTheme="minorEastAsia" w:eastAsiaTheme="minorEastAsia"/>
                <w:sz w:val="24"/>
                <w:lang w:val="en-US" w:eastAsia="zh-CN"/>
              </w:rPr>
              <w:t>每月</w:t>
            </w:r>
            <w:r>
              <w:rPr>
                <w:rFonts w:hint="default" w:asciiTheme="minorEastAsia" w:hAnsiTheme="minorEastAsia" w:eastAsiaTheme="minorEastAsia"/>
                <w:sz w:val="24"/>
                <w:lang w:val="en-US" w:eastAsia="zh-CN"/>
              </w:rPr>
              <w:t>据实结算</w:t>
            </w:r>
          </w:p>
        </w:tc>
      </w:tr>
      <w:tr w14:paraId="6A60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35B4FD05">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108" w:type="dxa"/>
            <w:vAlign w:val="center"/>
          </w:tcPr>
          <w:p w14:paraId="3927B841">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地点</w:t>
            </w:r>
          </w:p>
        </w:tc>
        <w:tc>
          <w:tcPr>
            <w:tcW w:w="6646" w:type="dxa"/>
            <w:vAlign w:val="center"/>
          </w:tcPr>
          <w:p w14:paraId="66C7572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桐城市</w:t>
            </w:r>
          </w:p>
        </w:tc>
      </w:tr>
      <w:tr w14:paraId="49AA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319512A6">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108" w:type="dxa"/>
            <w:vAlign w:val="center"/>
          </w:tcPr>
          <w:p w14:paraId="39223CE6">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期限</w:t>
            </w:r>
          </w:p>
        </w:tc>
        <w:tc>
          <w:tcPr>
            <w:tcW w:w="6646" w:type="dxa"/>
            <w:vAlign w:val="center"/>
          </w:tcPr>
          <w:p w14:paraId="0049E74A">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3年，合同一年一签</w:t>
            </w:r>
          </w:p>
        </w:tc>
      </w:tr>
    </w:tbl>
    <w:p w14:paraId="5EE72C6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olor w:val="auto"/>
          <w:sz w:val="24"/>
          <w:szCs w:val="24"/>
          <w:highlight w:val="none"/>
          <w:lang w:eastAsia="zh-CN"/>
        </w:rPr>
      </w:pPr>
    </w:p>
    <w:p w14:paraId="2F149F06">
      <w:pPr>
        <w:pStyle w:val="4"/>
        <w:keepNext/>
        <w:keepLines/>
        <w:pageBreakBefore w:val="0"/>
        <w:widowControl w:val="0"/>
        <w:numPr>
          <w:ilvl w:val="0"/>
          <w:numId w:val="1"/>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项目</w:t>
      </w:r>
      <w:r>
        <w:rPr>
          <w:rFonts w:hint="eastAsia" w:ascii="宋体" w:hAnsi="宋体" w:eastAsia="宋体" w:cs="宋体"/>
          <w:bCs/>
          <w:sz w:val="24"/>
          <w:szCs w:val="24"/>
        </w:rPr>
        <w:t>内容</w:t>
      </w:r>
    </w:p>
    <w:p w14:paraId="4414F2E4">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桐城师范高等专科学校交通班车租赁服务</w:t>
      </w:r>
      <w:r>
        <w:rPr>
          <w:rFonts w:hint="eastAsia" w:asciiTheme="minorEastAsia" w:hAnsiTheme="minorEastAsia" w:eastAsiaTheme="minorEastAsia"/>
          <w:sz w:val="24"/>
          <w:lang w:val="en-US" w:eastAsia="zh-CN"/>
        </w:rPr>
        <w:t>采购</w:t>
      </w:r>
      <w:r>
        <w:rPr>
          <w:rFonts w:hint="eastAsia" w:asciiTheme="minorEastAsia" w:hAnsiTheme="minorEastAsia" w:eastAsiaTheme="minorEastAsia"/>
          <w:sz w:val="24"/>
        </w:rPr>
        <w:t>项目。</w:t>
      </w:r>
    </w:p>
    <w:p w14:paraId="45AF92CD">
      <w:pPr>
        <w:pStyle w:val="4"/>
        <w:keepNext/>
        <w:keepLines/>
        <w:pageBreakBefore w:val="0"/>
        <w:widowControl w:val="0"/>
        <w:numPr>
          <w:ilvl w:val="0"/>
          <w:numId w:val="1"/>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Cs/>
          <w:sz w:val="24"/>
          <w:szCs w:val="24"/>
        </w:rPr>
      </w:pPr>
      <w:r>
        <w:rPr>
          <w:rFonts w:hint="eastAsia" w:ascii="宋体" w:hAnsi="宋体" w:eastAsia="宋体" w:cs="宋体"/>
          <w:bCs/>
          <w:sz w:val="24"/>
          <w:szCs w:val="24"/>
        </w:rPr>
        <w:t>服务需求及</w:t>
      </w:r>
      <w:r>
        <w:rPr>
          <w:rFonts w:hint="eastAsia" w:ascii="宋体" w:hAnsi="宋体" w:eastAsia="宋体" w:cs="宋体"/>
          <w:bCs/>
          <w:sz w:val="24"/>
          <w:szCs w:val="24"/>
          <w:lang w:val="en-US" w:eastAsia="zh-CN"/>
        </w:rPr>
        <w:t>技术</w:t>
      </w:r>
      <w:r>
        <w:rPr>
          <w:rFonts w:hint="eastAsia" w:ascii="宋体" w:hAnsi="宋体" w:eastAsia="宋体" w:cs="宋体"/>
          <w:bCs/>
          <w:sz w:val="24"/>
          <w:szCs w:val="24"/>
        </w:rPr>
        <w:t>要求</w:t>
      </w:r>
    </w:p>
    <w:p w14:paraId="5133480A">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为满足我校交通班车需求，拟租用至少50座以上（含50座）空调交通班车1辆、35座以上（含35座）空调交通班车2辆以及19座以上（含19座）空调交通班车1辆，提供服务的车辆购买时间为2018年01月01日（含）以后购买的（以机动车登记证上时间为准）。</w:t>
      </w:r>
    </w:p>
    <w:p w14:paraId="72C2B6E4">
      <w:pPr>
        <w:pStyle w:val="4"/>
        <w:keepNext/>
        <w:keepLines/>
        <w:pageBreakBefore w:val="0"/>
        <w:widowControl w:val="0"/>
        <w:numPr>
          <w:ilvl w:val="0"/>
          <w:numId w:val="1"/>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Cs/>
          <w:sz w:val="24"/>
          <w:szCs w:val="24"/>
          <w:lang w:eastAsia="zh-CN"/>
        </w:rPr>
      </w:pPr>
      <w:bookmarkStart w:id="49" w:name="bookmark291"/>
      <w:bookmarkEnd w:id="49"/>
      <w:bookmarkStart w:id="50" w:name="bookmark293"/>
      <w:bookmarkEnd w:id="50"/>
      <w:r>
        <w:rPr>
          <w:rFonts w:hint="eastAsia" w:ascii="宋体" w:hAnsi="宋体" w:eastAsia="宋体" w:cs="宋体"/>
          <w:bCs/>
          <w:sz w:val="24"/>
          <w:szCs w:val="24"/>
        </w:rPr>
        <w:t>车辆要求</w:t>
      </w:r>
      <w:r>
        <w:rPr>
          <w:rFonts w:hint="eastAsia" w:ascii="宋体" w:hAnsi="宋体" w:eastAsia="宋体" w:cs="宋体"/>
          <w:bCs/>
          <w:sz w:val="24"/>
          <w:szCs w:val="24"/>
          <w:lang w:eastAsia="zh-CN"/>
        </w:rPr>
        <w:t>及相关要求</w:t>
      </w:r>
    </w:p>
    <w:p w14:paraId="5F453AFB">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（一）车辆要求</w:t>
      </w:r>
    </w:p>
    <w:p w14:paraId="0052C7AB">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所租车辆应符合市内包车的安全、卫生和准运要求，车辆具有营运资质，所租车型应为空调客车,各种手续合法完整，车辆性能好，设备齐全，安全可靠，舒适卫生。为防止车主随意变更车牌，合同中应注明车架号。中标人接到招标人用车需求后，应于当天立即反馈。中标人不得变更上述要求。</w:t>
      </w:r>
    </w:p>
    <w:p w14:paraId="0CD311A4">
      <w:pPr>
        <w:spacing w:line="360" w:lineRule="auto"/>
        <w:ind w:firstLine="480" w:firstLineChars="200"/>
        <w:rPr>
          <w:rFonts w:hint="eastAsia" w:cs="Times New Roman" w:asciiTheme="minorEastAsia" w:hAnsiTheme="minorEastAsia" w:eastAsiaTheme="minorEastAsia"/>
          <w:sz w:val="24"/>
          <w:lang w:val="en-US" w:eastAsia="zh-CN"/>
        </w:rPr>
      </w:pPr>
      <w:bookmarkStart w:id="51" w:name="bookmark294"/>
      <w:bookmarkEnd w:id="51"/>
      <w:r>
        <w:rPr>
          <w:rFonts w:hint="eastAsia" w:cs="Times New Roman" w:asciiTheme="minorEastAsia" w:hAnsiTheme="minorEastAsia" w:eastAsiaTheme="minorEastAsia"/>
          <w:sz w:val="24"/>
          <w:lang w:val="en-US" w:eastAsia="zh-CN"/>
        </w:rPr>
        <w:t>（二）运行路线、班次和时间</w:t>
      </w:r>
    </w:p>
    <w:p w14:paraId="6812D128">
      <w:pPr>
        <w:spacing w:line="360" w:lineRule="auto"/>
        <w:ind w:firstLine="482" w:firstLineChars="200"/>
        <w:rPr>
          <w:rFonts w:hint="eastAsia" w:ascii="仿宋" w:hAnsi="仿宋" w:eastAsia="仿宋" w:cs="仿宋"/>
          <w:b/>
          <w:bCs/>
          <w:color w:val="auto"/>
          <w:sz w:val="32"/>
          <w:szCs w:val="32"/>
          <w:lang w:eastAsia="zh-CN"/>
        </w:rPr>
      </w:pPr>
      <w:r>
        <w:rPr>
          <w:rFonts w:hint="eastAsia" w:cs="Times New Roman" w:asciiTheme="minorEastAsia" w:hAnsiTheme="minorEastAsia" w:eastAsiaTheme="minorEastAsia"/>
          <w:b/>
          <w:bCs/>
          <w:sz w:val="24"/>
          <w:lang w:val="en-US" w:eastAsia="zh-CN"/>
        </w:rPr>
        <w:t>1.运行时间：星期一至星期五</w:t>
      </w:r>
    </w:p>
    <w:p w14:paraId="1E9AD868">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上、下班车辆：每天安排两辆车4个单边</w:t>
      </w:r>
    </w:p>
    <w:p w14:paraId="6FE49CBF">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始发站：上午7：20  终点站：7：50；</w:t>
      </w:r>
    </w:p>
    <w:p w14:paraId="1F1BAA30">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始发站：上午11：40 终点站：12：10；</w:t>
      </w:r>
    </w:p>
    <w:p w14:paraId="16AC5A05">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始发站：下午13：20终点站：上午13：50；</w:t>
      </w:r>
    </w:p>
    <w:p w14:paraId="00F630BA">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始发站：下午17：40终点站：下午18：10。</w:t>
      </w:r>
    </w:p>
    <w:p w14:paraId="0F697326">
      <w:pPr>
        <w:spacing w:line="360" w:lineRule="auto"/>
        <w:ind w:firstLine="482" w:firstLineChars="200"/>
        <w:rPr>
          <w:rFonts w:hint="eastAsia" w:cs="Times New Roman" w:asciiTheme="minorEastAsia" w:hAnsiTheme="minorEastAsia" w:eastAsiaTheme="minorEastAsia"/>
          <w:b/>
          <w:bCs/>
          <w:sz w:val="24"/>
          <w:lang w:val="en-US" w:eastAsia="zh-CN"/>
        </w:rPr>
      </w:pPr>
      <w:r>
        <w:rPr>
          <w:rFonts w:hint="eastAsia" w:cs="Times New Roman" w:asciiTheme="minorEastAsia" w:hAnsiTheme="minorEastAsia" w:eastAsiaTheme="minorEastAsia"/>
          <w:b/>
          <w:bCs/>
          <w:sz w:val="24"/>
          <w:lang w:val="en-US" w:eastAsia="zh-CN"/>
        </w:rPr>
        <w:t>2.运行路线</w:t>
      </w:r>
    </w:p>
    <w:p w14:paraId="78346270">
      <w:pPr>
        <w:spacing w:line="360" w:lineRule="auto"/>
        <w:ind w:firstLine="480" w:firstLineChars="200"/>
        <w:rPr>
          <w:rFonts w:hint="eastAsia" w:cs="Times New Roman" w:asciiTheme="minorEastAsia" w:hAnsiTheme="minorEastAsia" w:eastAsiaTheme="minorEastAsia"/>
          <w:sz w:val="24"/>
          <w:lang w:val="en-US" w:eastAsia="zh-CN"/>
        </w:rPr>
      </w:pPr>
      <w:bookmarkStart w:id="52" w:name="bookmark295"/>
      <w:bookmarkEnd w:id="52"/>
      <w:r>
        <w:rPr>
          <w:rFonts w:hint="eastAsia" w:cs="Times New Roman" w:asciiTheme="minorEastAsia" w:hAnsiTheme="minorEastAsia" w:eastAsiaTheme="minorEastAsia"/>
          <w:sz w:val="24"/>
          <w:lang w:val="en-US" w:eastAsia="zh-CN"/>
        </w:rPr>
        <w:t xml:space="preserve">线路一：桐城师专老校区、龙安广场、山水龙城、碧峰中心小学、中华职校，海峰桥、仁爱医院、老中医药、碧桂园、桐城师专新校区。  </w:t>
      </w:r>
    </w:p>
    <w:p w14:paraId="3D447D0F">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线路二：上和家园、桐城市教育局、行政服务中心、市交警队、杨桥，劳动力市场，实验中学、技工学校、客运总站、新校区。</w:t>
      </w:r>
    </w:p>
    <w:p w14:paraId="5C8346D5">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备注：根据实际运行情况及教职工通勤需求，学校可对班车运行路线进行变更。</w:t>
      </w:r>
    </w:p>
    <w:p w14:paraId="2688CCDD">
      <w:pPr>
        <w:spacing w:line="360" w:lineRule="auto"/>
        <w:ind w:firstLine="482" w:firstLineChars="200"/>
        <w:rPr>
          <w:rFonts w:hint="eastAsia" w:cs="Times New Roman" w:asciiTheme="minorEastAsia" w:hAnsiTheme="minorEastAsia" w:eastAsiaTheme="minorEastAsia"/>
          <w:b/>
          <w:bCs/>
          <w:sz w:val="24"/>
          <w:lang w:val="en-US" w:eastAsia="zh-CN"/>
        </w:rPr>
      </w:pPr>
      <w:r>
        <w:rPr>
          <w:rFonts w:hint="eastAsia" w:cs="Times New Roman" w:asciiTheme="minorEastAsia" w:hAnsiTheme="minorEastAsia" w:eastAsiaTheme="minorEastAsia"/>
          <w:b/>
          <w:bCs/>
          <w:sz w:val="24"/>
          <w:lang w:val="en-US" w:eastAsia="zh-CN"/>
        </w:rPr>
        <w:t>3.其他事项</w:t>
      </w:r>
    </w:p>
    <w:p w14:paraId="25E0C2E3">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（1）中标后依照明细报价表中所提单价为依据，进行结算。</w:t>
      </w:r>
    </w:p>
    <w:p w14:paraId="23B630D2">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（2）所投车辆所有权属于投标人。</w:t>
      </w:r>
    </w:p>
    <w:p w14:paraId="044116D5">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3）中标人应随车为出租车辆配备符合法律规定，具有相应驾驶资格的从业人员，驾驶员要求男性年龄在55周岁以内，女性年龄在50周岁以内，具备A1驾驶证，资格证件齐全，该驾驶员为中标人员工或由中标人雇佣，并承担驾驶人员的劳动（劳务）法律责任和义务。驾驶员必须定期体检，中标后提供人员社保与联系方式、服务期内提供驾驶员定期体检报告交由学校备案，</w:t>
      </w:r>
    </w:p>
    <w:p w14:paraId="72E56DE5">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（4）中标人应严格执行招标人制定的班车车次和时间，提供安全、准时、优质、高效的客运服务。</w:t>
      </w:r>
    </w:p>
    <w:p w14:paraId="0539C1DC">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（5）中标人应指定专人负责所租车辆的调度、指挥和协调工作，并制定完善的应急预案，确保招标人用车需要。</w:t>
      </w:r>
    </w:p>
    <w:p w14:paraId="2FE9183F">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（6）中标人应确保所租车辆符合</w:t>
      </w:r>
      <w:r>
        <w:rPr>
          <w:rFonts w:hint="eastAsia" w:cs="Times New Roman" w:asciiTheme="minorEastAsia" w:hAnsiTheme="minorEastAsia" w:eastAsiaTheme="minorEastAsia"/>
          <w:sz w:val="24"/>
          <w:lang w:val="zh-CN" w:eastAsia="zh-CN"/>
        </w:rPr>
        <w:t>“车辆</w:t>
      </w:r>
      <w:r>
        <w:rPr>
          <w:rFonts w:hint="eastAsia" w:cs="Times New Roman" w:asciiTheme="minorEastAsia" w:hAnsiTheme="minorEastAsia" w:eastAsiaTheme="minorEastAsia"/>
          <w:sz w:val="24"/>
          <w:lang w:val="en-US" w:eastAsia="zh-CN"/>
        </w:rPr>
        <w:t>要求"的约定，所配驾驶人员技术娴熟、经验丰富、服务规范。</w:t>
      </w:r>
    </w:p>
    <w:p w14:paraId="4F7D9375">
      <w:pPr>
        <w:spacing w:line="360" w:lineRule="auto"/>
        <w:ind w:firstLine="480" w:firstLineChars="200"/>
        <w:rPr>
          <w:rFonts w:hint="default"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（7）中标人应保证所租车辆干净整洁，定期对坐垫、靠背等设施清洗、消毒，车辆运行途中应 保持车内的换气通风。夏季保证冷气开放，冬季保证暖气开放。车辆必须具有定期检修的记录。</w:t>
      </w:r>
    </w:p>
    <w:p w14:paraId="2F930467">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（8）中标人为所租车辆投保交强险。投运前须将车辆驶车证及保单复印件提供给招标人，否则， 招标人有权无条件单方终止协议。</w:t>
      </w:r>
    </w:p>
    <w:p w14:paraId="059EBA01">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（9）中标人应确保安全行车并将乘车规定明示于车厢内，所租车辆发生的任何事故导致车辆和第三方损失的均与招标人无关，由中标人自行处理。如在上下车和行驶中造成招标人职工人身和财 产损失的，中标人应依照国家相关法律法规承担一切经济损失、赔偿费用和责任。</w:t>
      </w:r>
    </w:p>
    <w:p w14:paraId="5E46188A">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（10）中标人车辆和人员进入招标人单位应服从招标人指挥，遵守招标人规章制度。</w:t>
      </w:r>
    </w:p>
    <w:p w14:paraId="6464920A">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11）中标人车辆因晚点、抛锚、事故、可预见的交通管制以及其他非自然灾害因素不能在规定的时间范围内到达规定站点时，中标人应及时通知招标人并迅速调配不低于同档次车辆要求的车辆顶替以保证招标人职工正常上下班。高温、高寒、内涝、浓雾等恶劣环境下需预留充足发车时间，避免因车轮爆裂、油料防冻失效或结冰防滑减速、路淹改道及能见度剧降等情况而造成工作延误。如15分钟后仍无车到达，经中标人确认后，招标人职工可合乘出租车或以其他方式上下班或转乘，费用由中标人承担，在租赁费中予以扣除。</w:t>
      </w:r>
    </w:p>
    <w:p w14:paraId="3AD447DE">
      <w:pPr>
        <w:spacing w:line="360" w:lineRule="auto"/>
        <w:ind w:firstLine="480" w:firstLineChars="200"/>
        <w:rPr>
          <w:rFonts w:hint="default"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12）中标人车辆因年检、维修等停驶时，中标人应安排不低于同档次车辆要求的车辆顶替，并及时向招标人提供车牌及外观，以防招标人职工漏乘，并保证乘坐人员均有座位。不得在未告知招标人或招标人未允许的前提下私自更换服务车辆。</w:t>
      </w:r>
    </w:p>
    <w:p w14:paraId="7E0ED902">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（13）中标人车辆应提前5分钟到达始发站。中标人应加强对驾驶员安全行车的教育及班车运行 秩序的管理，严格按双方确定的路线、时间、站点运行，不得私自提前发车、迟到、串线、溜站、 甩客。对招标人的投诉，中标人应及时处理和整改。</w:t>
      </w:r>
    </w:p>
    <w:p w14:paraId="3B7E7C78">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（14）中标人驾驶员有权监督和规范招标人职工的乘车行为，对违反乘车规定的职工，有权制止, 并向招标人管理人员反映，对招标人职工提出的不符合乘车规定和行车安全的要求，中标人驾驶员有权制止和拒载。</w:t>
      </w:r>
    </w:p>
    <w:p w14:paraId="6F99BFB8">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（15）中标人必须根据招标人需求釆取定车定人、专项服务方式实行日常承运服务，在接到招标 人有关班车调度、服务质量的投诉后15分钟内给予明确答复，对于重大投诉应及时给出书面改正意见或致歉书。若对招标人投诉未及时正确处理和解决达两次以上招标人有权做出相应处理，重者解除合同。</w:t>
      </w:r>
    </w:p>
    <w:p w14:paraId="0BC2C30E">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（16）对于因车况（空调、安全性等）原因连续投</w:t>
      </w:r>
      <w:r>
        <w:rPr>
          <w:rFonts w:hint="eastAsia" w:cs="Times New Roman" w:asciiTheme="minorEastAsia" w:hAnsiTheme="minorEastAsia" w:eastAsiaTheme="minorEastAsia"/>
          <w:sz w:val="24"/>
          <w:lang w:val="zh-CN" w:eastAsia="zh-CN"/>
        </w:rPr>
        <w:t>诉同一</w:t>
      </w:r>
      <w:r>
        <w:rPr>
          <w:rFonts w:hint="eastAsia" w:cs="Times New Roman" w:asciiTheme="minorEastAsia" w:hAnsiTheme="minorEastAsia" w:eastAsiaTheme="minorEastAsia"/>
          <w:sz w:val="24"/>
          <w:lang w:val="en-US" w:eastAsia="zh-CN"/>
        </w:rPr>
        <w:t>车辆两次的，中标人应更换车辆。中标人驾驶员本着服务的宗旨，禁止与招标人员工争吵、打架，如发生前述情形，招标人有权解除本合同，同一驾驶员一个月内被招标人员工投诉两次或三位员工同时投诉的中标人应更换司机，如被投 诉车辆得不到明显改善或车况达不到合同承诺的标准以及不更换招标人不认可的驾驶员，招标人有权扣除中标人5000元以内的车费并有权与中标人解除合同。</w:t>
      </w:r>
    </w:p>
    <w:p w14:paraId="403778EF">
      <w:pPr>
        <w:spacing w:line="360" w:lineRule="auto"/>
        <w:ind w:firstLine="482" w:firstLineChars="200"/>
        <w:rPr>
          <w:rFonts w:hint="eastAsia" w:cs="Times New Roman" w:asciiTheme="minorEastAsia" w:hAnsiTheme="minorEastAsia" w:eastAsiaTheme="minorEastAsia"/>
          <w:b/>
          <w:bCs/>
          <w:sz w:val="24"/>
          <w:lang w:val="en-US" w:eastAsia="zh-CN"/>
        </w:rPr>
      </w:pPr>
      <w:bookmarkStart w:id="53" w:name="bookmark296"/>
      <w:bookmarkEnd w:id="53"/>
      <w:r>
        <w:rPr>
          <w:rFonts w:hint="eastAsia" w:cs="Times New Roman" w:asciiTheme="minorEastAsia" w:hAnsiTheme="minorEastAsia" w:eastAsiaTheme="minorEastAsia"/>
          <w:b/>
          <w:bCs/>
          <w:sz w:val="24"/>
          <w:lang w:val="en-US" w:eastAsia="zh-CN"/>
        </w:rPr>
        <w:t>4.客车报价要求</w:t>
      </w:r>
    </w:p>
    <w:p w14:paraId="083B62CE">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报价应包含合同期内所有驾驶员工资薪酬、社会保险费用等人工费、材料费、机械费、管理费、 日常保养费、维修费、年审费、保险、相关税金、措施费、利润、服务期限内的风险费用等所有费用由中标供应商承担，不另收超程、超时费等完成本次招标范围内工作所发生的全部费用。后续不得再以任何理由追加报价。投标人需列明单边报价，若实际服务过程中有增加单边，则根据单边报价进行结算。周日根据招标人实际需要运行。</w:t>
      </w:r>
    </w:p>
    <w:p w14:paraId="0605CEEB">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u w:val="single"/>
          <w:lang w:val="en-US" w:eastAsia="zh-CN"/>
        </w:rPr>
        <w:t>中标人车辆具备营运资质、保险手续完备，必须具备道路运输经营资质，提供两名驾驶员具</w:t>
      </w:r>
      <w:bookmarkStart w:id="136" w:name="_GoBack"/>
      <w:bookmarkEnd w:id="136"/>
      <w:r>
        <w:rPr>
          <w:rFonts w:hint="eastAsia" w:cs="Times New Roman" w:asciiTheme="minorEastAsia" w:hAnsiTheme="minorEastAsia" w:eastAsiaTheme="minorEastAsia"/>
          <w:sz w:val="24"/>
          <w:u w:val="single"/>
          <w:lang w:val="en-US" w:eastAsia="zh-CN"/>
        </w:rPr>
        <w:t>备有效期内的道路运输从业资格证件和A1驾驶证</w:t>
      </w:r>
      <w:r>
        <w:rPr>
          <w:rFonts w:hint="eastAsia" w:cs="Times New Roman" w:asciiTheme="minorEastAsia" w:hAnsiTheme="minorEastAsia" w:eastAsiaTheme="minorEastAsia"/>
          <w:sz w:val="24"/>
          <w:lang w:val="en-US" w:eastAsia="zh-CN"/>
        </w:rPr>
        <w:t>。</w:t>
      </w:r>
    </w:p>
    <w:p w14:paraId="1219E24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B88B31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00D4DD3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066E701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3D1DC35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37BEB7F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2FAEC9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7FD290E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7E533D6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15641FF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3B309CF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4774F12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1CEA93D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8D4ED91">
      <w:pPr>
        <w:pStyle w:val="2"/>
        <w:pageBreakBefore w:val="0"/>
        <w:numPr>
          <w:ilvl w:val="0"/>
          <w:numId w:val="0"/>
        </w:numPr>
        <w:kinsoku/>
        <w:overflowPunct/>
        <w:topLinePunct w:val="0"/>
        <w:autoSpaceDE/>
        <w:autoSpaceDN/>
        <w:bidi w:val="0"/>
        <w:spacing w:beforeAutospacing="0" w:after="0" w:afterAutospacing="0" w:line="500" w:lineRule="exact"/>
        <w:ind w:left="0" w:leftChars="0" w:right="0" w:firstLine="640" w:firstLineChars="20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8"/>
    </w:p>
    <w:p w14:paraId="3A517B7D">
      <w:pPr>
        <w:numPr>
          <w:ilvl w:val="0"/>
          <w:numId w:val="0"/>
        </w:numPr>
        <w:spacing w:line="360" w:lineRule="auto"/>
        <w:rPr>
          <w:rFonts w:hint="eastAsia" w:ascii="宋体" w:hAnsi="宋体"/>
          <w:b/>
          <w:color w:val="auto"/>
          <w:sz w:val="24"/>
          <w:szCs w:val="24"/>
          <w:highlight w:val="none"/>
          <w:lang w:val="en-US" w:eastAsia="zh-CN"/>
        </w:rPr>
      </w:pPr>
      <w:bookmarkStart w:id="54" w:name="_Toc8981"/>
      <w:bookmarkStart w:id="55" w:name="_Toc1812"/>
      <w:bookmarkStart w:id="56" w:name="_Toc54941341"/>
      <w:bookmarkStart w:id="57" w:name="_Toc439316880"/>
      <w:r>
        <w:rPr>
          <w:rFonts w:hint="eastAsia" w:ascii="宋体" w:hAnsi="宋体"/>
          <w:b/>
          <w:color w:val="auto"/>
          <w:sz w:val="24"/>
          <w:szCs w:val="24"/>
          <w:highlight w:val="none"/>
          <w:lang w:val="en-US" w:eastAsia="zh-CN"/>
        </w:rPr>
        <w:t xml:space="preserve">一、总则 </w:t>
      </w:r>
    </w:p>
    <w:p w14:paraId="5D5AD30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60E07CCB">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无须供应商提供，由采购人或采购代理机构查询。</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58BDDC10">
      <w:pPr>
        <w:spacing w:line="360" w:lineRule="auto"/>
        <w:ind w:firstLine="240" w:firstLineChars="100"/>
        <w:rPr>
          <w:rFonts w:hint="eastAsia" w:ascii="宋体" w:hAnsi="宋体" w:eastAsia="宋体" w:cs="Times New Roman"/>
          <w:color w:val="auto"/>
          <w:sz w:val="24"/>
          <w:highlight w:val="none"/>
          <w:lang w:val="en-US" w:eastAsia="zh-CN"/>
        </w:rPr>
      </w:pPr>
      <w:bookmarkStart w:id="58" w:name="_Toc28300"/>
      <w:bookmarkStart w:id="59" w:name="_Toc431"/>
      <w:bookmarkStart w:id="60" w:name="_Toc7241"/>
      <w:bookmarkStart w:id="61" w:name="_Toc3977"/>
      <w:bookmarkStart w:id="62" w:name="_Toc27586"/>
      <w:r>
        <w:rPr>
          <w:rFonts w:hint="eastAsia" w:ascii="宋体" w:hAnsi="宋体" w:eastAsia="宋体" w:cs="Times New Roman"/>
          <w:color w:val="auto"/>
          <w:sz w:val="24"/>
          <w:highlight w:val="none"/>
          <w:lang w:val="en-US" w:eastAsia="zh-CN"/>
        </w:rPr>
        <w:t>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4F47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3ABDF3A5">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65AB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7F56ADD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19DD0DF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43D3C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235348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545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654D651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1993C8E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64A65B01">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3CE723F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733D5F5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37A07AA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01659C4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363822AF">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2365689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745CD73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8"/>
      <w:bookmarkEnd w:id="59"/>
      <w:bookmarkEnd w:id="60"/>
      <w:bookmarkEnd w:id="61"/>
      <w:bookmarkEnd w:id="62"/>
    </w:p>
    <w:p w14:paraId="2114B15D">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合 同</w:t>
      </w:r>
    </w:p>
    <w:p w14:paraId="163075B1">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7002AE6">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0E4CF258">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10ED54E">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54FE513D">
      <w:pPr>
        <w:pStyle w:val="16"/>
        <w:rPr>
          <w:rFonts w:hint="eastAsia" w:ascii="宋体" w:hAnsi="宋体" w:eastAsia="宋体" w:cs="宋体"/>
          <w:b/>
          <w:bCs/>
          <w:spacing w:val="-20"/>
          <w:kern w:val="44"/>
          <w:sz w:val="24"/>
          <w:szCs w:val="24"/>
          <w:highlight w:val="none"/>
        </w:rPr>
      </w:pPr>
    </w:p>
    <w:p w14:paraId="307D03F5">
      <w:pPr>
        <w:pStyle w:val="16"/>
        <w:rPr>
          <w:rFonts w:hint="eastAsia" w:ascii="宋体" w:hAnsi="宋体" w:eastAsia="宋体" w:cs="宋体"/>
          <w:b/>
          <w:bCs/>
          <w:spacing w:val="-20"/>
          <w:kern w:val="44"/>
          <w:sz w:val="24"/>
          <w:szCs w:val="24"/>
          <w:highlight w:val="none"/>
        </w:rPr>
      </w:pPr>
    </w:p>
    <w:p w14:paraId="361D8C27">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718C8913">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390C8467">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01A50B0F">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A187E39">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5BF3BA24">
      <w:pPr>
        <w:pageBreakBefore w:val="0"/>
        <w:kinsoku/>
        <w:wordWrap/>
        <w:overflowPunct/>
        <w:topLinePunct w:val="0"/>
        <w:bidi w:val="0"/>
        <w:spacing w:line="360" w:lineRule="auto"/>
        <w:jc w:val="both"/>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6F0F531">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16598B53">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CF21033">
      <w:pPr>
        <w:pageBreakBefore w:val="0"/>
        <w:kinsoku/>
        <w:wordWrap/>
        <w:overflowPunct/>
        <w:topLinePunct w:val="0"/>
        <w:bidi w:val="0"/>
        <w:spacing w:line="360" w:lineRule="auto"/>
        <w:ind w:left="420" w:leftChars="200"/>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095CDD99">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F7C625B">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u w:val="none"/>
          <w:lang w:val="en-US" w:eastAsia="zh-CN"/>
        </w:rPr>
        <w:t>日</w:t>
      </w:r>
    </w:p>
    <w:p w14:paraId="1D6CA193">
      <w:pPr>
        <w:spacing w:line="360" w:lineRule="auto"/>
        <w:ind w:firstLine="480" w:firstLineChars="200"/>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w:t>
      </w:r>
      <w:r>
        <w:rPr>
          <w:rFonts w:hint="eastAsia" w:ascii="宋体" w:hAnsi="宋体"/>
          <w:sz w:val="24"/>
          <w:highlight w:val="none"/>
          <w:u w:val="single"/>
          <w:lang w:eastAsia="zh-CN"/>
        </w:rPr>
        <w:t>谈判</w:t>
      </w:r>
      <w:r>
        <w:rPr>
          <w:rFonts w:hint="eastAsia" w:ascii="宋体" w:hAnsi="宋体" w:eastAsia="宋体"/>
          <w:sz w:val="24"/>
          <w:highlight w:val="none"/>
        </w:rPr>
        <w:t>方式采购活动，经</w:t>
      </w:r>
      <w:r>
        <w:rPr>
          <w:rFonts w:hint="eastAsia" w:ascii="宋体" w:hAnsi="宋体"/>
          <w:sz w:val="24"/>
          <w:highlight w:val="none"/>
          <w:u w:val="single"/>
          <w:lang w:eastAsia="zh-CN"/>
        </w:rPr>
        <w:t>谈判</w:t>
      </w:r>
      <w:r>
        <w:rPr>
          <w:rFonts w:hint="eastAsia" w:ascii="宋体" w:hAnsi="宋体" w:eastAsia="宋体"/>
          <w:sz w:val="24"/>
          <w:highlight w:val="none"/>
          <w:u w:val="single"/>
        </w:rPr>
        <w:t>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63" w:name="_Toc2232"/>
      <w:bookmarkStart w:id="64" w:name="_Toc3029"/>
      <w:bookmarkStart w:id="65" w:name="_Toc24059"/>
      <w:r>
        <w:rPr>
          <w:rFonts w:hint="eastAsia" w:ascii="宋体" w:hAnsi="宋体" w:eastAsia="宋体"/>
          <w:b/>
          <w:bCs/>
          <w:sz w:val="24"/>
          <w:highlight w:val="none"/>
          <w:lang w:val="zh-CN"/>
        </w:rPr>
        <w:t>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63"/>
      <w:bookmarkEnd w:id="64"/>
      <w:bookmarkEnd w:id="65"/>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1.4</w:t>
      </w:r>
      <w:r>
        <w:rPr>
          <w:rFonts w:hint="eastAsia" w:ascii="宋体" w:hAnsi="宋体"/>
          <w:sz w:val="24"/>
          <w:highlight w:val="none"/>
          <w:lang w:val="zh-CN"/>
        </w:rPr>
        <w:t>谈判</w:t>
      </w:r>
      <w:r>
        <w:rPr>
          <w:rFonts w:hint="eastAsia" w:ascii="宋体" w:hAnsi="宋体" w:eastAsia="宋体"/>
          <w:sz w:val="24"/>
          <w:highlight w:val="none"/>
          <w:lang w:val="zh-CN"/>
        </w:rPr>
        <w:t>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1.5其他相关采购文件。</w:t>
      </w:r>
    </w:p>
    <w:p w14:paraId="5A12C8EF">
      <w:pPr>
        <w:spacing w:line="360" w:lineRule="auto"/>
        <w:ind w:firstLine="437"/>
        <w:outlineLvl w:val="2"/>
        <w:rPr>
          <w:rFonts w:ascii="宋体" w:hAnsi="宋体" w:eastAsia="宋体"/>
          <w:b/>
          <w:bCs/>
          <w:sz w:val="24"/>
          <w:highlight w:val="none"/>
          <w:lang w:val="zh-CN"/>
        </w:rPr>
      </w:pPr>
      <w:bookmarkStart w:id="66" w:name="_Toc18585"/>
      <w:bookmarkStart w:id="67" w:name="_Toc2918"/>
      <w:bookmarkStart w:id="68" w:name="_Toc6311"/>
      <w:bookmarkStart w:id="69" w:name="_Toc6773"/>
      <w:bookmarkStart w:id="70" w:name="_Toc22185"/>
      <w:r>
        <w:rPr>
          <w:rFonts w:hint="eastAsia" w:ascii="宋体" w:hAnsi="宋体" w:eastAsia="宋体"/>
          <w:b/>
          <w:bCs/>
          <w:sz w:val="24"/>
          <w:highlight w:val="none"/>
          <w:lang w:val="zh-CN"/>
        </w:rPr>
        <w:t xml:space="preserve">2 </w:t>
      </w:r>
      <w:bookmarkEnd w:id="66"/>
      <w:bookmarkEnd w:id="67"/>
      <w:bookmarkEnd w:id="68"/>
      <w:bookmarkEnd w:id="69"/>
      <w:bookmarkEnd w:id="70"/>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71" w:name="_Toc21551"/>
      <w:bookmarkStart w:id="72" w:name="_Toc21631"/>
      <w:bookmarkStart w:id="73" w:name="_Toc23292"/>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71"/>
      <w:bookmarkEnd w:id="72"/>
      <w:bookmarkEnd w:id="73"/>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061275F7">
      <w:pPr>
        <w:spacing w:line="360" w:lineRule="auto"/>
        <w:ind w:firstLine="437"/>
        <w:outlineLvl w:val="2"/>
        <w:rPr>
          <w:rFonts w:ascii="宋体" w:hAnsi="宋体" w:eastAsia="宋体"/>
          <w:b/>
          <w:bCs/>
          <w:sz w:val="24"/>
          <w:highlight w:val="none"/>
          <w:lang w:val="zh-CN"/>
        </w:rPr>
      </w:pPr>
      <w:bookmarkStart w:id="74" w:name="_Toc10340"/>
      <w:bookmarkStart w:id="75" w:name="_Toc1814"/>
      <w:bookmarkStart w:id="76" w:name="_Toc22618"/>
      <w:r>
        <w:rPr>
          <w:rFonts w:ascii="宋体" w:hAnsi="宋体" w:eastAsia="宋体"/>
          <w:b/>
          <w:bCs/>
          <w:sz w:val="24"/>
          <w:highlight w:val="none"/>
          <w:lang w:val="zh-CN"/>
        </w:rPr>
        <w:t>4 付款方式和发票开具方式</w:t>
      </w:r>
      <w:bookmarkEnd w:id="74"/>
      <w:bookmarkEnd w:id="75"/>
      <w:bookmarkEnd w:id="76"/>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7" w:name="_Toc19304"/>
      <w:bookmarkStart w:id="78" w:name="_Toc32071"/>
      <w:bookmarkStart w:id="79" w:name="_Toc2846"/>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7"/>
      <w:bookmarkEnd w:id="78"/>
      <w:bookmarkEnd w:id="79"/>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80" w:name="_Toc27250"/>
      <w:bookmarkStart w:id="81" w:name="_Toc19554"/>
      <w:bookmarkStart w:id="82" w:name="_Toc21423"/>
      <w:r>
        <w:rPr>
          <w:rFonts w:hint="eastAsia" w:ascii="宋体" w:hAnsi="宋体" w:eastAsia="宋体"/>
          <w:b/>
          <w:bCs/>
          <w:sz w:val="24"/>
          <w:highlight w:val="none"/>
          <w:lang w:val="zh-CN"/>
        </w:rPr>
        <w:t>6 违约责任</w:t>
      </w:r>
      <w:bookmarkEnd w:id="80"/>
      <w:bookmarkEnd w:id="81"/>
      <w:bookmarkEnd w:id="82"/>
    </w:p>
    <w:p w14:paraId="4AA07172">
      <w:pPr>
        <w:spacing w:line="360" w:lineRule="auto"/>
        <w:ind w:firstLine="435"/>
        <w:rPr>
          <w:rFonts w:ascii="宋体" w:hAnsi="宋体" w:eastAsia="宋体"/>
          <w:sz w:val="24"/>
          <w:highlight w:val="none"/>
        </w:rPr>
      </w:pPr>
      <w:bookmarkStart w:id="83" w:name="_Toc16021"/>
      <w:bookmarkStart w:id="84" w:name="_Toc15583"/>
      <w:bookmarkStart w:id="85" w:name="_Toc28375"/>
      <w:r>
        <w:rPr>
          <w:rFonts w:hint="eastAsia" w:ascii="宋体" w:hAnsi="宋体" w:eastAsia="宋体"/>
          <w:sz w:val="24"/>
          <w:highlight w:val="none"/>
        </w:rPr>
        <w:t>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0.3</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 xml:space="preserve"> 15</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0.3 </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w:t>
      </w:r>
      <w:r>
        <w:rPr>
          <w:rFonts w:hint="eastAsia" w:ascii="宋体" w:hAnsi="宋体"/>
          <w:sz w:val="24"/>
          <w:highlight w:val="none"/>
          <w:u w:val="single"/>
          <w:lang w:val="en-US" w:eastAsia="zh-CN"/>
        </w:rPr>
        <w:t>15</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0DB20F6">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7.合同争议的解决</w:t>
      </w:r>
      <w:bookmarkEnd w:id="83"/>
      <w:bookmarkEnd w:id="84"/>
      <w:bookmarkEnd w:id="85"/>
    </w:p>
    <w:p w14:paraId="4705AFF1">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69E60C15">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13CE017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5D398840">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1B42659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7261670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67CDE52">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727E8C58">
      <w:pPr>
        <w:pStyle w:val="16"/>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EF9B88A">
      <w:pPr>
        <w:widowControl/>
        <w:spacing w:line="560" w:lineRule="exact"/>
        <w:jc w:val="left"/>
        <w:rPr>
          <w:rFonts w:hint="eastAsia"/>
          <w:lang w:val="zh-CN"/>
        </w:rPr>
      </w:pPr>
      <w:r>
        <w:rPr>
          <w:rFonts w:hint="eastAsia" w:ascii="宋体" w:hAnsi="宋体" w:eastAsia="宋体" w:cs="宋体"/>
          <w:sz w:val="24"/>
          <w:szCs w:val="24"/>
          <w:highlight w:val="none"/>
          <w:u w:val="single"/>
        </w:rPr>
        <w:br w:type="page"/>
      </w:r>
    </w:p>
    <w:bookmarkEnd w:id="54"/>
    <w:bookmarkEnd w:id="55"/>
    <w:bookmarkEnd w:id="56"/>
    <w:bookmarkEnd w:id="57"/>
    <w:p w14:paraId="3BD274A0">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86" w:name="_Toc417656001"/>
      <w:r>
        <w:rPr>
          <w:rFonts w:hint="eastAsia" w:ascii="Arial" w:hAnsi="Arial"/>
          <w:color w:val="auto"/>
          <w:kern w:val="2"/>
          <w:sz w:val="36"/>
          <w:szCs w:val="36"/>
          <w:highlight w:val="none"/>
        </w:rPr>
        <w:t>响应文件格式</w:t>
      </w:r>
      <w:bookmarkEnd w:id="86"/>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8"/>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7" w:name="_Toc461056631"/>
      <w:bookmarkStart w:id="88" w:name="_Toc461053086"/>
      <w:bookmarkStart w:id="89" w:name="_Toc26791"/>
      <w:bookmarkStart w:id="90" w:name="_Toc520983587"/>
      <w:bookmarkStart w:id="91" w:name="_Toc5881"/>
      <w:r>
        <w:rPr>
          <w:rFonts w:hint="eastAsia" w:asciiTheme="minorEastAsia" w:hAnsiTheme="minorEastAsia" w:eastAsiaTheme="minorEastAsia"/>
          <w:b/>
          <w:color w:val="auto"/>
          <w:sz w:val="24"/>
          <w:highlight w:val="none"/>
        </w:rPr>
        <w:t>一</w:t>
      </w:r>
      <w:bookmarkEnd w:id="87"/>
      <w:bookmarkEnd w:id="88"/>
      <w:r>
        <w:rPr>
          <w:rFonts w:hint="eastAsia" w:asciiTheme="minorEastAsia" w:hAnsiTheme="minorEastAsia" w:eastAsiaTheme="minorEastAsia"/>
          <w:b/>
          <w:color w:val="auto"/>
          <w:sz w:val="24"/>
          <w:highlight w:val="none"/>
        </w:rPr>
        <w:t>、报价表格式</w:t>
      </w:r>
      <w:bookmarkEnd w:id="89"/>
      <w:bookmarkEnd w:id="90"/>
      <w:bookmarkEnd w:id="91"/>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68E9A70">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元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b/>
                <w:color w:val="auto"/>
                <w:sz w:val="24"/>
                <w:highlight w:val="none"/>
                <w:lang w:eastAsia="zh-CN"/>
              </w:rPr>
              <w:t>谈判</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w:t>
      </w:r>
      <w:r>
        <w:rPr>
          <w:rFonts w:hint="eastAsia" w:ascii="宋体" w:hAnsi="宋体"/>
          <w:b/>
          <w:bCs/>
          <w:color w:val="auto"/>
          <w:sz w:val="24"/>
          <w:szCs w:val="28"/>
          <w:highlight w:val="none"/>
          <w:lang w:eastAsia="zh-CN"/>
        </w:rPr>
        <w:t>谈判</w:t>
      </w:r>
      <w:r>
        <w:rPr>
          <w:rFonts w:hint="eastAsia" w:ascii="宋体" w:hAnsi="宋体" w:eastAsia="宋体"/>
          <w:b/>
          <w:bCs/>
          <w:color w:val="auto"/>
          <w:sz w:val="24"/>
          <w:szCs w:val="28"/>
          <w:highlight w:val="none"/>
        </w:rPr>
        <w:t>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3F0F1E8D">
      <w:pPr>
        <w:pStyle w:val="50"/>
        <w:ind w:left="0" w:leftChars="0" w:firstLine="0" w:firstLineChars="0"/>
        <w:rPr>
          <w:rFonts w:hint="default" w:ascii="宋体" w:hAnsi="宋体" w:eastAsia="宋体"/>
          <w:b/>
          <w:bCs/>
          <w:color w:val="auto"/>
          <w:sz w:val="24"/>
          <w:szCs w:val="28"/>
          <w:highlight w:val="none"/>
          <w:lang w:val="en-US" w:eastAsia="zh-CN"/>
        </w:rPr>
      </w:pPr>
    </w:p>
    <w:p w14:paraId="37794F29">
      <w:pPr>
        <w:rPr>
          <w:rFonts w:hint="eastAsia" w:hAnsi="宋体" w:cs="宋体"/>
          <w:color w:val="auto"/>
          <w:sz w:val="28"/>
          <w:szCs w:val="28"/>
          <w:highlight w:val="none"/>
          <w:lang w:val="en-US" w:eastAsia="zh-CN"/>
        </w:rPr>
      </w:pPr>
    </w:p>
    <w:p w14:paraId="7A508B9C">
      <w:pPr>
        <w:rPr>
          <w:color w:val="auto"/>
          <w:highlight w:val="none"/>
        </w:rPr>
      </w:pPr>
      <w:r>
        <w:rPr>
          <w:rFonts w:hint="eastAsia" w:hAnsi="宋体" w:cs="宋体"/>
          <w:color w:val="auto"/>
          <w:sz w:val="28"/>
          <w:szCs w:val="28"/>
          <w:highlight w:val="none"/>
          <w:lang w:val="en-US" w:eastAsia="zh-CN"/>
        </w:rPr>
        <w:t>2-2</w:t>
      </w:r>
      <w:r>
        <w:rPr>
          <w:rFonts w:hint="eastAsia" w:hAnsi="宋体" w:cs="宋体"/>
          <w:color w:val="auto"/>
          <w:sz w:val="28"/>
          <w:szCs w:val="28"/>
          <w:highlight w:val="none"/>
          <w:lang w:eastAsia="zh-CN"/>
        </w:rPr>
        <w:t>分项报价明细表</w:t>
      </w:r>
      <w:r>
        <w:rPr>
          <w:rFonts w:hint="eastAsia" w:hAnsi="宋体" w:cs="宋体"/>
          <w:color w:val="auto"/>
          <w:sz w:val="28"/>
          <w:szCs w:val="28"/>
          <w:highlight w:val="none"/>
        </w:rPr>
        <w:t>：</w:t>
      </w:r>
    </w:p>
    <w:tbl>
      <w:tblPr>
        <w:tblStyle w:val="40"/>
        <w:tblpPr w:leftFromText="180" w:rightFromText="180" w:vertAnchor="text" w:horzAnchor="page" w:tblpX="1414" w:tblpY="463"/>
        <w:tblOverlap w:val="never"/>
        <w:tblW w:w="967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3182"/>
        <w:gridCol w:w="1014"/>
        <w:gridCol w:w="960"/>
        <w:gridCol w:w="1053"/>
        <w:gridCol w:w="1093"/>
      </w:tblGrid>
      <w:tr w14:paraId="5004E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5" w:hRule="exact"/>
        </w:trPr>
        <w:tc>
          <w:tcPr>
            <w:tcW w:w="743" w:type="dxa"/>
            <w:tcBorders>
              <w:top w:val="single" w:color="auto" w:sz="4" w:space="0"/>
              <w:left w:val="single" w:color="auto" w:sz="4" w:space="0"/>
              <w:bottom w:val="single" w:color="auto" w:sz="4" w:space="0"/>
              <w:right w:val="single" w:color="auto" w:sz="4" w:space="0"/>
            </w:tcBorders>
            <w:noWrap w:val="0"/>
            <w:vAlign w:val="center"/>
          </w:tcPr>
          <w:p w14:paraId="1C01E288">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3F916477">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车辆</w:t>
            </w:r>
          </w:p>
        </w:tc>
        <w:tc>
          <w:tcPr>
            <w:tcW w:w="3182" w:type="dxa"/>
            <w:tcBorders>
              <w:top w:val="single" w:color="auto" w:sz="4" w:space="0"/>
              <w:left w:val="single" w:color="auto" w:sz="4" w:space="0"/>
              <w:bottom w:val="single" w:color="auto" w:sz="4" w:space="0"/>
              <w:right w:val="single" w:color="auto" w:sz="4" w:space="0"/>
            </w:tcBorders>
            <w:noWrap w:val="0"/>
            <w:vAlign w:val="center"/>
          </w:tcPr>
          <w:p w14:paraId="19637791">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车辆型号、基本配置、</w:t>
            </w:r>
          </w:p>
          <w:p w14:paraId="15CF2AD6">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出厂日期、车牌号</w:t>
            </w:r>
          </w:p>
        </w:tc>
        <w:tc>
          <w:tcPr>
            <w:tcW w:w="1014" w:type="dxa"/>
            <w:tcBorders>
              <w:top w:val="single" w:color="auto" w:sz="4" w:space="0"/>
              <w:left w:val="single" w:color="auto" w:sz="4" w:space="0"/>
              <w:bottom w:val="single" w:color="auto" w:sz="4" w:space="0"/>
              <w:right w:val="single" w:color="auto" w:sz="4" w:space="0"/>
            </w:tcBorders>
            <w:noWrap w:val="0"/>
            <w:vAlign w:val="center"/>
          </w:tcPr>
          <w:p w14:paraId="7256E1ED">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3763368E">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13D74859">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7F5A2FCC">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合价</w:t>
            </w:r>
          </w:p>
        </w:tc>
      </w:tr>
      <w:tr w14:paraId="09FE6B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1" w:hRule="exact"/>
        </w:trPr>
        <w:tc>
          <w:tcPr>
            <w:tcW w:w="743" w:type="dxa"/>
            <w:tcBorders>
              <w:top w:val="single" w:color="auto" w:sz="4" w:space="0"/>
              <w:left w:val="single" w:color="auto" w:sz="4" w:space="0"/>
              <w:bottom w:val="single" w:color="auto" w:sz="4" w:space="0"/>
              <w:right w:val="single" w:color="auto" w:sz="4" w:space="0"/>
            </w:tcBorders>
            <w:noWrap w:val="0"/>
            <w:vAlign w:val="center"/>
          </w:tcPr>
          <w:p w14:paraId="6FC57F0E">
            <w:pPr>
              <w:spacing w:line="360" w:lineRule="auto"/>
              <w:jc w:val="center"/>
              <w:rPr>
                <w:rFonts w:hint="eastAsia"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1</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42BBBC5F">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50座及以上车辆</w:t>
            </w:r>
          </w:p>
        </w:tc>
        <w:tc>
          <w:tcPr>
            <w:tcW w:w="3182" w:type="dxa"/>
            <w:tcBorders>
              <w:top w:val="single" w:color="auto" w:sz="4" w:space="0"/>
              <w:left w:val="single" w:color="auto" w:sz="4" w:space="0"/>
              <w:bottom w:val="single" w:color="auto" w:sz="4" w:space="0"/>
              <w:right w:val="single" w:color="auto" w:sz="4" w:space="0"/>
            </w:tcBorders>
            <w:noWrap w:val="0"/>
            <w:vAlign w:val="center"/>
          </w:tcPr>
          <w:p w14:paraId="5DF2B4B0">
            <w:pPr>
              <w:spacing w:line="360" w:lineRule="auto"/>
              <w:jc w:val="center"/>
              <w:rPr>
                <w:rFonts w:hint="eastAsia" w:ascii="仿宋" w:hAnsi="仿宋" w:eastAsia="仿宋" w:cs="仿宋"/>
                <w:color w:val="auto"/>
                <w:sz w:val="24"/>
                <w:szCs w:val="24"/>
              </w:rPr>
            </w:pPr>
          </w:p>
        </w:tc>
        <w:tc>
          <w:tcPr>
            <w:tcW w:w="1014" w:type="dxa"/>
            <w:tcBorders>
              <w:top w:val="single" w:color="auto" w:sz="4" w:space="0"/>
              <w:left w:val="single" w:color="auto" w:sz="4" w:space="0"/>
              <w:bottom w:val="single" w:color="auto" w:sz="4" w:space="0"/>
              <w:right w:val="single" w:color="auto" w:sz="4" w:space="0"/>
            </w:tcBorders>
            <w:noWrap w:val="0"/>
            <w:vAlign w:val="center"/>
          </w:tcPr>
          <w:p w14:paraId="395F36BB">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3F6B51D">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43E386EC">
            <w:pPr>
              <w:spacing w:line="360" w:lineRule="auto"/>
              <w:jc w:val="center"/>
              <w:rPr>
                <w:rFonts w:hint="eastAsia" w:ascii="仿宋" w:hAnsi="仿宋" w:eastAsia="仿宋" w:cs="仿宋"/>
                <w:color w:val="auto"/>
                <w:sz w:val="24"/>
                <w:szCs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14:paraId="44BC7481">
            <w:pPr>
              <w:spacing w:line="360" w:lineRule="auto"/>
              <w:jc w:val="center"/>
              <w:rPr>
                <w:rFonts w:hint="eastAsia" w:ascii="仿宋" w:hAnsi="仿宋" w:eastAsia="仿宋" w:cs="仿宋"/>
                <w:color w:val="auto"/>
                <w:sz w:val="24"/>
                <w:szCs w:val="24"/>
              </w:rPr>
            </w:pPr>
          </w:p>
        </w:tc>
      </w:tr>
      <w:tr w14:paraId="367FB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3" w:hRule="exact"/>
        </w:trPr>
        <w:tc>
          <w:tcPr>
            <w:tcW w:w="743" w:type="dxa"/>
            <w:tcBorders>
              <w:top w:val="single" w:color="auto" w:sz="4" w:space="0"/>
              <w:left w:val="single" w:color="auto" w:sz="4" w:space="0"/>
              <w:bottom w:val="single" w:color="auto" w:sz="4" w:space="0"/>
              <w:right w:val="single" w:color="auto" w:sz="4" w:space="0"/>
            </w:tcBorders>
            <w:noWrap w:val="0"/>
            <w:vAlign w:val="center"/>
          </w:tcPr>
          <w:p w14:paraId="296A1345">
            <w:pPr>
              <w:spacing w:line="360" w:lineRule="auto"/>
              <w:jc w:val="center"/>
              <w:rPr>
                <w:rFonts w:hint="default"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2</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5BE48F68">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35座及以上车辆</w:t>
            </w:r>
          </w:p>
        </w:tc>
        <w:tc>
          <w:tcPr>
            <w:tcW w:w="3182" w:type="dxa"/>
            <w:tcBorders>
              <w:top w:val="single" w:color="auto" w:sz="4" w:space="0"/>
              <w:left w:val="single" w:color="auto" w:sz="4" w:space="0"/>
              <w:bottom w:val="single" w:color="auto" w:sz="4" w:space="0"/>
              <w:right w:val="single" w:color="auto" w:sz="4" w:space="0"/>
            </w:tcBorders>
            <w:noWrap w:val="0"/>
            <w:vAlign w:val="center"/>
          </w:tcPr>
          <w:p w14:paraId="21F76B89">
            <w:pPr>
              <w:spacing w:line="360" w:lineRule="auto"/>
              <w:jc w:val="center"/>
              <w:rPr>
                <w:rFonts w:hint="eastAsia" w:ascii="仿宋" w:hAnsi="仿宋" w:eastAsia="仿宋" w:cs="仿宋"/>
                <w:color w:val="auto"/>
                <w:sz w:val="24"/>
                <w:szCs w:val="24"/>
              </w:rPr>
            </w:pPr>
          </w:p>
        </w:tc>
        <w:tc>
          <w:tcPr>
            <w:tcW w:w="1014" w:type="dxa"/>
            <w:tcBorders>
              <w:top w:val="single" w:color="auto" w:sz="4" w:space="0"/>
              <w:left w:val="single" w:color="auto" w:sz="4" w:space="0"/>
              <w:bottom w:val="single" w:color="auto" w:sz="4" w:space="0"/>
              <w:right w:val="single" w:color="auto" w:sz="4" w:space="0"/>
            </w:tcBorders>
            <w:noWrap w:val="0"/>
            <w:vAlign w:val="center"/>
          </w:tcPr>
          <w:p w14:paraId="45AF25B8">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97DE6F5">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1FB71A44">
            <w:pPr>
              <w:spacing w:line="360" w:lineRule="auto"/>
              <w:jc w:val="center"/>
              <w:rPr>
                <w:rFonts w:hint="eastAsia" w:ascii="仿宋" w:hAnsi="仿宋" w:eastAsia="仿宋" w:cs="仿宋"/>
                <w:color w:val="auto"/>
                <w:sz w:val="24"/>
                <w:szCs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14:paraId="187E6C90">
            <w:pPr>
              <w:spacing w:line="360" w:lineRule="auto"/>
              <w:jc w:val="center"/>
              <w:rPr>
                <w:rFonts w:hint="eastAsia" w:ascii="仿宋" w:hAnsi="仿宋" w:eastAsia="仿宋" w:cs="仿宋"/>
                <w:color w:val="auto"/>
                <w:sz w:val="24"/>
                <w:szCs w:val="24"/>
              </w:rPr>
            </w:pPr>
          </w:p>
        </w:tc>
      </w:tr>
      <w:tr w14:paraId="47790A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3" w:hRule="exact"/>
        </w:trPr>
        <w:tc>
          <w:tcPr>
            <w:tcW w:w="743" w:type="dxa"/>
            <w:tcBorders>
              <w:top w:val="single" w:color="auto" w:sz="4" w:space="0"/>
              <w:left w:val="single" w:color="auto" w:sz="4" w:space="0"/>
              <w:bottom w:val="single" w:color="auto" w:sz="4" w:space="0"/>
              <w:right w:val="single" w:color="auto" w:sz="4" w:space="0"/>
            </w:tcBorders>
            <w:noWrap w:val="0"/>
            <w:vAlign w:val="center"/>
          </w:tcPr>
          <w:p w14:paraId="145D57ED">
            <w:pPr>
              <w:spacing w:line="360" w:lineRule="auto"/>
              <w:jc w:val="center"/>
              <w:rPr>
                <w:rFonts w:hint="eastAsia"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3</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2E5CDC42">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19座及以上车辆</w:t>
            </w:r>
          </w:p>
        </w:tc>
        <w:tc>
          <w:tcPr>
            <w:tcW w:w="3182" w:type="dxa"/>
            <w:tcBorders>
              <w:top w:val="single" w:color="auto" w:sz="4" w:space="0"/>
              <w:left w:val="single" w:color="auto" w:sz="4" w:space="0"/>
              <w:bottom w:val="single" w:color="auto" w:sz="4" w:space="0"/>
              <w:right w:val="single" w:color="auto" w:sz="4" w:space="0"/>
            </w:tcBorders>
            <w:noWrap w:val="0"/>
            <w:vAlign w:val="center"/>
          </w:tcPr>
          <w:p w14:paraId="48CFD925">
            <w:pPr>
              <w:spacing w:line="360" w:lineRule="auto"/>
              <w:jc w:val="center"/>
              <w:rPr>
                <w:rFonts w:hint="eastAsia" w:ascii="仿宋" w:hAnsi="仿宋" w:eastAsia="仿宋" w:cs="仿宋"/>
                <w:color w:val="auto"/>
                <w:sz w:val="24"/>
                <w:szCs w:val="24"/>
              </w:rPr>
            </w:pPr>
          </w:p>
        </w:tc>
        <w:tc>
          <w:tcPr>
            <w:tcW w:w="1014" w:type="dxa"/>
            <w:tcBorders>
              <w:top w:val="single" w:color="auto" w:sz="4" w:space="0"/>
              <w:left w:val="single" w:color="auto" w:sz="4" w:space="0"/>
              <w:bottom w:val="single" w:color="auto" w:sz="4" w:space="0"/>
              <w:right w:val="single" w:color="auto" w:sz="4" w:space="0"/>
            </w:tcBorders>
            <w:noWrap w:val="0"/>
            <w:vAlign w:val="center"/>
          </w:tcPr>
          <w:p w14:paraId="73A7D37D">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86B02BE">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1C7B1790">
            <w:pPr>
              <w:spacing w:line="360" w:lineRule="auto"/>
              <w:jc w:val="center"/>
              <w:rPr>
                <w:rFonts w:hint="eastAsia" w:ascii="仿宋" w:hAnsi="仿宋" w:eastAsia="仿宋" w:cs="仿宋"/>
                <w:color w:val="auto"/>
                <w:sz w:val="24"/>
                <w:szCs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14:paraId="7403EA7A">
            <w:pPr>
              <w:spacing w:line="360" w:lineRule="auto"/>
              <w:jc w:val="center"/>
              <w:rPr>
                <w:rFonts w:hint="eastAsia" w:ascii="仿宋" w:hAnsi="仿宋" w:eastAsia="仿宋" w:cs="仿宋"/>
                <w:color w:val="auto"/>
                <w:sz w:val="24"/>
                <w:szCs w:val="24"/>
              </w:rPr>
            </w:pPr>
          </w:p>
        </w:tc>
      </w:tr>
      <w:tr w14:paraId="3CF4E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9" w:hRule="exact"/>
        </w:trPr>
        <w:tc>
          <w:tcPr>
            <w:tcW w:w="8585" w:type="dxa"/>
            <w:gridSpan w:val="6"/>
            <w:tcBorders>
              <w:top w:val="single" w:color="auto" w:sz="4" w:space="0"/>
              <w:left w:val="single" w:color="auto" w:sz="4" w:space="0"/>
              <w:bottom w:val="single" w:color="auto" w:sz="4" w:space="0"/>
              <w:right w:val="single" w:color="auto" w:sz="4" w:space="0"/>
            </w:tcBorders>
            <w:noWrap w:val="0"/>
            <w:vAlign w:val="center"/>
          </w:tcPr>
          <w:p w14:paraId="622C9964">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总价</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35960B87">
            <w:pPr>
              <w:spacing w:line="360" w:lineRule="auto"/>
              <w:jc w:val="center"/>
              <w:rPr>
                <w:rFonts w:hint="eastAsia" w:ascii="仿宋" w:hAnsi="仿宋" w:eastAsia="仿宋" w:cs="仿宋"/>
                <w:color w:val="auto"/>
                <w:sz w:val="24"/>
                <w:szCs w:val="24"/>
              </w:rPr>
            </w:pPr>
          </w:p>
        </w:tc>
      </w:tr>
      <w:tr w14:paraId="0994F1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9678" w:type="dxa"/>
            <w:gridSpan w:val="7"/>
            <w:tcBorders>
              <w:top w:val="single" w:color="auto" w:sz="4" w:space="0"/>
              <w:left w:val="single" w:color="auto" w:sz="4" w:space="0"/>
              <w:bottom w:val="single" w:color="auto" w:sz="4" w:space="0"/>
              <w:right w:val="single" w:color="auto" w:sz="4" w:space="0"/>
            </w:tcBorders>
            <w:noWrap w:val="0"/>
            <w:vAlign w:val="center"/>
          </w:tcPr>
          <w:p w14:paraId="48C660D4">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分项</w:t>
            </w:r>
            <w:r>
              <w:rPr>
                <w:rFonts w:hint="eastAsia" w:ascii="仿宋" w:hAnsi="仿宋" w:eastAsia="仿宋" w:cs="仿宋"/>
                <w:color w:val="auto"/>
                <w:sz w:val="24"/>
                <w:szCs w:val="24"/>
              </w:rPr>
              <w:t>总价</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50座及以上车辆合价=单价*4个单边*1个月*22日历天*1辆</w:t>
            </w:r>
          </w:p>
          <w:p w14:paraId="64711F3B">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35座及以上车辆合价=单价*4个单边*9个月*22日历天*2辆</w:t>
            </w:r>
          </w:p>
          <w:p w14:paraId="473B8EB7">
            <w:pPr>
              <w:spacing w:line="360" w:lineRule="auto"/>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lang w:val="en-US" w:eastAsia="zh-CN"/>
              </w:rPr>
              <w:t>19座及以上车辆合价=单价*4个单边*1个月*22日历天*1辆</w:t>
            </w:r>
          </w:p>
        </w:tc>
      </w:tr>
      <w:tr w14:paraId="411E7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9678" w:type="dxa"/>
            <w:gridSpan w:val="7"/>
            <w:tcBorders>
              <w:top w:val="single" w:color="auto" w:sz="4" w:space="0"/>
              <w:left w:val="single" w:color="auto" w:sz="4" w:space="0"/>
              <w:bottom w:val="single" w:color="auto" w:sz="4" w:space="0"/>
              <w:right w:val="single" w:color="auto" w:sz="4" w:space="0"/>
            </w:tcBorders>
            <w:noWrap w:val="0"/>
            <w:vAlign w:val="center"/>
          </w:tcPr>
          <w:p w14:paraId="00558857">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备注：每个工作日四个单边，每月按照</w:t>
            </w:r>
            <w:r>
              <w:rPr>
                <w:rFonts w:hint="eastAsia" w:ascii="仿宋" w:hAnsi="仿宋" w:eastAsia="仿宋" w:cs="仿宋"/>
                <w:color w:val="auto"/>
                <w:sz w:val="24"/>
                <w:szCs w:val="24"/>
                <w:lang w:val="en-US" w:eastAsia="zh-CN"/>
              </w:rPr>
              <w:t>22个工作日计算。原则上35座及以上车辆使用9个月，50座及以上车辆使用1个月，19座及以上车辆使用1个月，请各投标人谨慎报价，中标后以所报单价每月按实结算，结算总价不得超过合同价。</w:t>
            </w:r>
          </w:p>
        </w:tc>
      </w:tr>
    </w:tbl>
    <w:p w14:paraId="6E611A8E">
      <w:pPr>
        <w:pStyle w:val="12"/>
        <w:ind w:left="0" w:leftChars="0" w:firstLine="0" w:firstLineChars="0"/>
        <w:rPr>
          <w:rFonts w:hAnsi="宋体" w:cs="宋体"/>
          <w:color w:val="auto"/>
          <w:highlight w:val="none"/>
        </w:rPr>
      </w:pPr>
    </w:p>
    <w:p w14:paraId="43A7A200">
      <w:pPr>
        <w:adjustRightInd w:val="0"/>
        <w:snapToGrid w:val="0"/>
        <w:spacing w:line="360" w:lineRule="auto"/>
        <w:rPr>
          <w:rFonts w:hint="eastAsia" w:ascii="宋体" w:hAnsi="宋体" w:eastAsia="宋体"/>
          <w:b/>
          <w:bCs/>
          <w:color w:val="auto"/>
          <w:sz w:val="24"/>
          <w:szCs w:val="28"/>
          <w:highlight w:val="none"/>
        </w:rPr>
      </w:pPr>
    </w:p>
    <w:p w14:paraId="79274F7D">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5B44BC99">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rPr>
        <w:t>表中所列服务为对应本项目需求的全部服务内容。如有漏项或缺项，供应商承担全部责任。</w:t>
      </w:r>
    </w:p>
    <w:p w14:paraId="18C5D655">
      <w:pPr>
        <w:adjustRightInd w:val="0"/>
        <w:snapToGrid w:val="0"/>
        <w:spacing w:line="360" w:lineRule="auto"/>
        <w:ind w:firstLine="480" w:firstLineChars="200"/>
        <w:rPr>
          <w:rFonts w:hint="eastAsia" w:ascii="宋体" w:hAnsi="宋体" w:eastAsia="宋体"/>
          <w:color w:val="auto"/>
          <w:sz w:val="24"/>
          <w:highlight w:val="none"/>
        </w:rPr>
      </w:pPr>
    </w:p>
    <w:p w14:paraId="0AA10548">
      <w:pPr>
        <w:adjustRightInd w:val="0"/>
        <w:snapToGrid w:val="0"/>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A2783F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A8729B1">
      <w:pPr>
        <w:widowControl/>
        <w:jc w:val="left"/>
        <w:rPr>
          <w:rFonts w:ascii="宋体" w:hAnsi="宋体" w:eastAsia="宋体"/>
          <w:b/>
          <w:bCs/>
          <w:color w:val="auto"/>
          <w:sz w:val="24"/>
          <w:szCs w:val="28"/>
          <w:highlight w:val="none"/>
        </w:rPr>
      </w:pPr>
    </w:p>
    <w:p w14:paraId="5AC10537">
      <w:pPr>
        <w:widowControl/>
        <w:jc w:val="left"/>
        <w:rPr>
          <w:rFonts w:ascii="宋体" w:hAnsi="宋体" w:eastAsia="宋体"/>
          <w:b/>
          <w:bCs/>
          <w:color w:val="auto"/>
          <w:sz w:val="24"/>
          <w:szCs w:val="28"/>
          <w:highlight w:val="none"/>
        </w:rPr>
      </w:pPr>
    </w:p>
    <w:p w14:paraId="66FEC328">
      <w:pPr>
        <w:widowControl/>
        <w:jc w:val="left"/>
        <w:rPr>
          <w:rFonts w:ascii="宋体" w:hAnsi="宋体" w:eastAsia="宋体"/>
          <w:b/>
          <w:bCs/>
          <w:color w:val="auto"/>
          <w:sz w:val="24"/>
          <w:szCs w:val="28"/>
          <w:highlight w:val="none"/>
        </w:rPr>
      </w:pPr>
    </w:p>
    <w:p w14:paraId="51E7AFB7">
      <w:pPr>
        <w:widowControl/>
        <w:jc w:val="left"/>
        <w:rPr>
          <w:rFonts w:ascii="宋体" w:hAnsi="宋体" w:eastAsia="宋体"/>
          <w:b/>
          <w:bCs/>
          <w:color w:val="auto"/>
          <w:sz w:val="24"/>
          <w:szCs w:val="28"/>
          <w:highlight w:val="none"/>
        </w:rPr>
      </w:pPr>
    </w:p>
    <w:p w14:paraId="3B649E72">
      <w:pPr>
        <w:widowControl/>
        <w:jc w:val="left"/>
        <w:rPr>
          <w:rFonts w:ascii="宋体" w:hAnsi="宋体" w:eastAsia="宋体"/>
          <w:b/>
          <w:bCs/>
          <w:color w:val="auto"/>
          <w:sz w:val="24"/>
          <w:szCs w:val="28"/>
          <w:highlight w:val="none"/>
        </w:rPr>
      </w:pPr>
    </w:p>
    <w:p w14:paraId="454C7780">
      <w:pPr>
        <w:widowControl/>
        <w:jc w:val="left"/>
        <w:rPr>
          <w:rFonts w:ascii="宋体" w:hAnsi="宋体" w:eastAsia="宋体"/>
          <w:b/>
          <w:bCs/>
          <w:color w:val="auto"/>
          <w:sz w:val="24"/>
          <w:szCs w:val="28"/>
          <w:highlight w:val="none"/>
        </w:rPr>
      </w:pPr>
    </w:p>
    <w:p w14:paraId="1EAEFF1B">
      <w:pPr>
        <w:widowControl/>
        <w:jc w:val="left"/>
        <w:rPr>
          <w:rFonts w:ascii="宋体" w:hAnsi="宋体" w:eastAsia="宋体"/>
          <w:b/>
          <w:bCs/>
          <w:color w:val="auto"/>
          <w:sz w:val="24"/>
          <w:szCs w:val="28"/>
          <w:highlight w:val="none"/>
        </w:rPr>
      </w:pPr>
    </w:p>
    <w:p w14:paraId="37D4A15E">
      <w:pPr>
        <w:widowControl/>
        <w:jc w:val="left"/>
        <w:rPr>
          <w:rFonts w:ascii="宋体" w:hAnsi="宋体" w:eastAsia="宋体"/>
          <w:b/>
          <w:bCs/>
          <w:color w:val="auto"/>
          <w:sz w:val="24"/>
          <w:szCs w:val="28"/>
          <w:highlight w:val="none"/>
        </w:rPr>
      </w:pPr>
    </w:p>
    <w:p w14:paraId="05CF3CB8">
      <w:pPr>
        <w:widowControl/>
        <w:jc w:val="left"/>
        <w:rPr>
          <w:rFonts w:ascii="宋体" w:hAnsi="宋体" w:eastAsia="宋体"/>
          <w:b/>
          <w:bCs/>
          <w:color w:val="auto"/>
          <w:sz w:val="24"/>
          <w:szCs w:val="28"/>
          <w:highlight w:val="none"/>
        </w:rPr>
      </w:pPr>
    </w:p>
    <w:p w14:paraId="68A4208E">
      <w:pPr>
        <w:spacing w:line="360" w:lineRule="auto"/>
        <w:jc w:val="center"/>
        <w:outlineLvl w:val="1"/>
        <w:rPr>
          <w:rFonts w:asciiTheme="minorEastAsia" w:hAnsiTheme="minorEastAsia" w:eastAsiaTheme="minorEastAsia"/>
          <w:b/>
          <w:color w:val="auto"/>
          <w:sz w:val="24"/>
          <w:highlight w:val="none"/>
        </w:rPr>
      </w:pPr>
      <w:bookmarkStart w:id="92" w:name="_Toc461056632"/>
      <w:bookmarkStart w:id="93" w:name="_Toc461053087"/>
      <w:bookmarkStart w:id="94" w:name="_Toc520983588"/>
      <w:bookmarkStart w:id="95" w:name="_Toc32436"/>
      <w:bookmarkStart w:id="96" w:name="_Toc28695"/>
      <w:r>
        <w:rPr>
          <w:rFonts w:hint="eastAsia" w:asciiTheme="minorEastAsia" w:hAnsiTheme="minorEastAsia" w:eastAsiaTheme="minorEastAsia"/>
          <w:b/>
          <w:color w:val="auto"/>
          <w:sz w:val="24"/>
          <w:highlight w:val="none"/>
        </w:rPr>
        <w:t>二</w:t>
      </w:r>
      <w:bookmarkEnd w:id="92"/>
      <w:bookmarkEnd w:id="93"/>
      <w:r>
        <w:rPr>
          <w:rFonts w:hint="eastAsia" w:asciiTheme="minorEastAsia" w:hAnsiTheme="minorEastAsia" w:eastAsiaTheme="minorEastAsia"/>
          <w:b/>
          <w:color w:val="auto"/>
          <w:sz w:val="24"/>
          <w:highlight w:val="none"/>
        </w:rPr>
        <w:t>、最后承诺报价表</w:t>
      </w:r>
      <w:bookmarkEnd w:id="94"/>
      <w:bookmarkEnd w:id="95"/>
      <w:bookmarkEnd w:id="96"/>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0CEBAE81">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元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b/>
                <w:bCs/>
                <w:color w:val="auto"/>
                <w:sz w:val="24"/>
                <w:szCs w:val="28"/>
                <w:highlight w:val="none"/>
                <w:lang w:eastAsia="zh-CN"/>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48D29B0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5A1A035">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w:t>
      </w:r>
      <w:r>
        <w:rPr>
          <w:rFonts w:hint="eastAsia" w:ascii="宋体" w:hAnsi="宋体"/>
          <w:b/>
          <w:bCs/>
          <w:color w:val="auto"/>
          <w:sz w:val="24"/>
          <w:highlight w:val="none"/>
          <w:lang w:eastAsia="zh-CN"/>
        </w:rPr>
        <w:t>谈判</w:t>
      </w:r>
      <w:r>
        <w:rPr>
          <w:rFonts w:hint="eastAsia" w:ascii="宋体" w:hAnsi="宋体" w:eastAsia="宋体"/>
          <w:b/>
          <w:bCs/>
          <w:color w:val="auto"/>
          <w:sz w:val="24"/>
          <w:highlight w:val="none"/>
        </w:rPr>
        <w:t>情况填写,并在规定时间内提交。</w:t>
      </w:r>
      <w:r>
        <w:rPr>
          <w:rFonts w:hint="eastAsia" w:ascii="宋体" w:hAnsi="宋体" w:eastAsia="宋体"/>
          <w:color w:val="auto"/>
          <w:sz w:val="24"/>
          <w:highlight w:val="none"/>
        </w:rPr>
        <w:t>考虑</w:t>
      </w:r>
      <w:r>
        <w:rPr>
          <w:rFonts w:hint="eastAsia" w:ascii="宋体" w:hAnsi="宋体"/>
          <w:color w:val="auto"/>
          <w:sz w:val="24"/>
          <w:highlight w:val="none"/>
          <w:lang w:eastAsia="zh-CN"/>
        </w:rPr>
        <w:t>谈判</w:t>
      </w:r>
      <w:r>
        <w:rPr>
          <w:rFonts w:hint="eastAsia" w:ascii="宋体" w:hAnsi="宋体" w:eastAsia="宋体"/>
          <w:color w:val="auto"/>
          <w:sz w:val="24"/>
          <w:highlight w:val="none"/>
        </w:rPr>
        <w:t>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74523BB0">
      <w:pPr>
        <w:widowControl/>
        <w:jc w:val="left"/>
        <w:rPr>
          <w:rFonts w:ascii="宋体" w:hAnsi="宋体" w:eastAsia="宋体"/>
          <w:bCs/>
          <w:color w:val="auto"/>
          <w:sz w:val="24"/>
          <w:highlight w:val="none"/>
        </w:rPr>
      </w:pPr>
    </w:p>
    <w:p w14:paraId="2B783B43">
      <w:pPr>
        <w:spacing w:line="360" w:lineRule="auto"/>
        <w:jc w:val="center"/>
        <w:outlineLvl w:val="1"/>
        <w:rPr>
          <w:rFonts w:hint="eastAsia" w:asciiTheme="minorEastAsia" w:hAnsiTheme="minorEastAsia" w:eastAsiaTheme="minorEastAsia"/>
          <w:b/>
          <w:color w:val="auto"/>
          <w:sz w:val="24"/>
          <w:highlight w:val="none"/>
        </w:rPr>
      </w:pPr>
      <w:bookmarkStart w:id="97" w:name="_Toc11500"/>
      <w:bookmarkStart w:id="98" w:name="_Toc520983591"/>
      <w:bookmarkStart w:id="99" w:name="_Toc32385"/>
    </w:p>
    <w:p w14:paraId="166BBDFA">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w:t>
      </w:r>
      <w:r>
        <w:rPr>
          <w:rFonts w:hint="eastAsia" w:asciiTheme="minorEastAsia" w:hAnsiTheme="minorEastAsia" w:eastAsiaTheme="minorEastAsia"/>
          <w:b/>
          <w:color w:val="auto"/>
          <w:sz w:val="24"/>
          <w:highlight w:val="none"/>
          <w:lang w:eastAsia="zh-CN"/>
        </w:rPr>
        <w:t>谈判</w:t>
      </w:r>
      <w:r>
        <w:rPr>
          <w:rFonts w:hint="eastAsia" w:asciiTheme="minorEastAsia" w:hAnsiTheme="minorEastAsia" w:eastAsiaTheme="minorEastAsia"/>
          <w:b/>
          <w:color w:val="auto"/>
          <w:sz w:val="24"/>
          <w:highlight w:val="none"/>
        </w:rPr>
        <w:t>响应函</w:t>
      </w:r>
      <w:bookmarkEnd w:id="97"/>
      <w:bookmarkEnd w:id="98"/>
      <w:bookmarkEnd w:id="99"/>
    </w:p>
    <w:p w14:paraId="5FCDD945">
      <w:pPr>
        <w:pStyle w:val="24"/>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5ADEBF28">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100" w:name="_Hlk44287543"/>
      <w:r>
        <w:rPr>
          <w:rFonts w:hint="eastAsia" w:ascii="宋体" w:hAnsi="宋体" w:eastAsia="宋体"/>
          <w:color w:val="auto"/>
          <w:sz w:val="24"/>
          <w:highlight w:val="none"/>
        </w:rPr>
        <w:t>竞争性</w:t>
      </w:r>
      <w:r>
        <w:rPr>
          <w:rFonts w:hint="eastAsia" w:ascii="宋体" w:hAnsi="宋体"/>
          <w:color w:val="auto"/>
          <w:sz w:val="24"/>
          <w:highlight w:val="none"/>
          <w:lang w:eastAsia="zh-CN"/>
        </w:rPr>
        <w:t>谈判</w:t>
      </w:r>
      <w:r>
        <w:rPr>
          <w:rFonts w:hint="eastAsia" w:ascii="宋体" w:hAnsi="宋体" w:eastAsia="宋体"/>
          <w:color w:val="auto"/>
          <w:sz w:val="24"/>
          <w:highlight w:val="none"/>
        </w:rPr>
        <w:t>公告和</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w:t>
      </w:r>
      <w:bookmarkEnd w:id="100"/>
      <w:r>
        <w:rPr>
          <w:rFonts w:hint="eastAsia" w:ascii="宋体" w:hAnsi="宋体" w:eastAsia="宋体"/>
          <w:color w:val="auto"/>
          <w:sz w:val="24"/>
          <w:highlight w:val="none"/>
        </w:rPr>
        <w:t>，我方兹宣布同意如下：</w:t>
      </w:r>
    </w:p>
    <w:p w14:paraId="382E69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文件各项条款、规定及要求均无异议。</w:t>
      </w:r>
    </w:p>
    <w:p w14:paraId="7261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有效期之前均具有约束力。</w:t>
      </w:r>
    </w:p>
    <w:p w14:paraId="72F65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01" w:name="_Toc21328"/>
      <w:r>
        <w:rPr>
          <w:rFonts w:hint="eastAsia" w:asciiTheme="minorEastAsia" w:hAnsiTheme="minorEastAsia" w:eastAsiaTheme="minorEastAsia"/>
          <w:b/>
          <w:color w:val="auto"/>
          <w:sz w:val="24"/>
          <w:highlight w:val="none"/>
          <w:lang w:val="en-US" w:eastAsia="zh-CN"/>
        </w:rPr>
        <w:t>四、供应商资格声明书</w:t>
      </w:r>
      <w:bookmarkEnd w:id="101"/>
    </w:p>
    <w:p w14:paraId="1EA6E051">
      <w:pPr>
        <w:pStyle w:val="24"/>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64C40B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F9385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5359D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B01F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7B9014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78A8D5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0330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9CF5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5DDA946A">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28441586">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5FAF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73354442">
            <w:pPr>
              <w:pStyle w:val="16"/>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28258176">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8E189A1">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5FFE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6B7F91A">
            <w:pPr>
              <w:pStyle w:val="16"/>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4B81DBBB">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23C42DF3">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102" w:name="_Toc26922"/>
      <w:bookmarkStart w:id="103" w:name="_Toc516969106"/>
      <w:bookmarkStart w:id="104" w:name="_Toc520983594"/>
      <w:bookmarkStart w:id="105" w:name="_Toc31518"/>
      <w:bookmarkStart w:id="106" w:name="_Toc204594911"/>
      <w:bookmarkStart w:id="107" w:name="_Toc121626298"/>
      <w:r>
        <w:rPr>
          <w:rFonts w:hint="eastAsia" w:asciiTheme="minorEastAsia" w:hAnsiTheme="minorEastAsia" w:eastAsiaTheme="minorEastAsia"/>
          <w:b/>
          <w:color w:val="auto"/>
          <w:sz w:val="24"/>
          <w:highlight w:val="none"/>
        </w:rPr>
        <w:t>五、授权书</w:t>
      </w:r>
      <w:bookmarkEnd w:id="102"/>
      <w:bookmarkEnd w:id="103"/>
      <w:bookmarkEnd w:id="104"/>
      <w:bookmarkEnd w:id="105"/>
      <w:bookmarkEnd w:id="106"/>
      <w:bookmarkEnd w:id="107"/>
    </w:p>
    <w:p w14:paraId="74844012">
      <w:pPr>
        <w:spacing w:line="360" w:lineRule="auto"/>
        <w:jc w:val="center"/>
        <w:rPr>
          <w:rFonts w:asciiTheme="minorEastAsia" w:hAnsiTheme="minorEastAsia" w:eastAsiaTheme="minorEastAsia"/>
          <w:b/>
          <w:color w:val="auto"/>
          <w:sz w:val="24"/>
          <w:highlight w:val="none"/>
        </w:rPr>
      </w:pPr>
    </w:p>
    <w:p w14:paraId="2FFA1621">
      <w:pPr>
        <w:pStyle w:val="2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w:t>
      </w:r>
      <w:r>
        <w:rPr>
          <w:rFonts w:hint="eastAsia" w:hAnsi="宋体"/>
          <w:color w:val="auto"/>
          <w:sz w:val="24"/>
          <w:szCs w:val="28"/>
          <w:highlight w:val="none"/>
          <w:lang w:eastAsia="zh-CN"/>
        </w:rPr>
        <w:t>谈判</w:t>
      </w:r>
      <w:r>
        <w:rPr>
          <w:rFonts w:hint="eastAsia" w:hAnsi="宋体" w:eastAsia="宋体"/>
          <w:color w:val="auto"/>
          <w:sz w:val="24"/>
          <w:szCs w:val="28"/>
          <w:highlight w:val="none"/>
        </w:rPr>
        <w:t>过程的一切事宜，包括但不限于：提交响应文件、参与</w:t>
      </w:r>
      <w:r>
        <w:rPr>
          <w:rFonts w:hint="eastAsia" w:hAnsi="宋体"/>
          <w:color w:val="auto"/>
          <w:sz w:val="24"/>
          <w:szCs w:val="28"/>
          <w:highlight w:val="none"/>
          <w:lang w:eastAsia="zh-CN"/>
        </w:rPr>
        <w:t>谈判</w:t>
      </w:r>
      <w:r>
        <w:rPr>
          <w:rFonts w:hint="eastAsia" w:hAnsi="宋体" w:eastAsia="宋体"/>
          <w:color w:val="auto"/>
          <w:sz w:val="24"/>
          <w:szCs w:val="28"/>
          <w:highlight w:val="none"/>
        </w:rPr>
        <w:t>、签约等。供应商授权代表在采购活动过程中所签署的一切文件和处理与之有关的一切事务，本公司均予以认可并对此承担责任。供应商授权代表无转委托权。特此授权。</w:t>
      </w:r>
    </w:p>
    <w:p w14:paraId="34E8E3A7">
      <w:pPr>
        <w:pStyle w:val="2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2"/>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2"/>
        <w:snapToGrid w:val="0"/>
        <w:spacing w:line="360" w:lineRule="auto"/>
        <w:ind w:firstLine="480" w:firstLineChars="200"/>
        <w:jc w:val="left"/>
        <w:rPr>
          <w:rFonts w:hAnsi="宋体" w:eastAsia="宋体"/>
          <w:color w:val="auto"/>
          <w:sz w:val="24"/>
          <w:highlight w:val="none"/>
        </w:rPr>
      </w:pPr>
    </w:p>
    <w:p w14:paraId="051E05DE">
      <w:pPr>
        <w:pStyle w:val="22"/>
        <w:snapToGrid w:val="0"/>
        <w:spacing w:line="360" w:lineRule="auto"/>
        <w:ind w:firstLine="480" w:firstLineChars="200"/>
        <w:jc w:val="left"/>
        <w:rPr>
          <w:rFonts w:hAnsi="宋体" w:eastAsia="宋体"/>
          <w:color w:val="auto"/>
          <w:sz w:val="24"/>
          <w:highlight w:val="none"/>
        </w:rPr>
      </w:pPr>
    </w:p>
    <w:p w14:paraId="2C51C88F">
      <w:pPr>
        <w:pStyle w:val="22"/>
        <w:snapToGrid w:val="0"/>
        <w:spacing w:line="360" w:lineRule="auto"/>
        <w:ind w:firstLine="480" w:firstLineChars="200"/>
        <w:jc w:val="left"/>
        <w:rPr>
          <w:rFonts w:hAnsi="宋体" w:eastAsia="宋体"/>
          <w:color w:val="auto"/>
          <w:sz w:val="24"/>
          <w:highlight w:val="none"/>
        </w:rPr>
      </w:pPr>
    </w:p>
    <w:p w14:paraId="2FC590E9">
      <w:pPr>
        <w:pStyle w:val="22"/>
        <w:snapToGrid w:val="0"/>
        <w:spacing w:line="360" w:lineRule="auto"/>
        <w:ind w:firstLine="480" w:firstLineChars="200"/>
        <w:jc w:val="left"/>
        <w:rPr>
          <w:rFonts w:hAnsi="宋体" w:eastAsia="宋体"/>
          <w:color w:val="auto"/>
          <w:sz w:val="24"/>
          <w:highlight w:val="none"/>
        </w:rPr>
      </w:pPr>
    </w:p>
    <w:p w14:paraId="7CB07B64">
      <w:pPr>
        <w:pStyle w:val="22"/>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2"/>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w:t>
      </w:r>
      <w:r>
        <w:rPr>
          <w:rFonts w:hint="eastAsia" w:ascii="宋体" w:hAnsi="宋体"/>
          <w:color w:val="auto"/>
          <w:sz w:val="24"/>
          <w:highlight w:val="none"/>
          <w:lang w:eastAsia="zh-CN"/>
        </w:rPr>
        <w:t>谈判</w:t>
      </w:r>
      <w:r>
        <w:rPr>
          <w:rFonts w:hint="eastAsia" w:ascii="宋体" w:hAnsi="宋体" w:eastAsia="宋体"/>
          <w:color w:val="auto"/>
          <w:sz w:val="24"/>
          <w:highlight w:val="none"/>
        </w:rPr>
        <w:t>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108" w:name="_Toc22233"/>
      <w:bookmarkStart w:id="109" w:name="_Toc280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谈判</w:t>
      </w:r>
      <w:r>
        <w:rPr>
          <w:rFonts w:hint="eastAsia" w:asciiTheme="minorEastAsia" w:hAnsiTheme="minorEastAsia" w:eastAsiaTheme="minorEastAsia"/>
          <w:b/>
          <w:color w:val="auto"/>
          <w:sz w:val="24"/>
          <w:highlight w:val="none"/>
        </w:rPr>
        <w:t>响应表</w:t>
      </w:r>
      <w:bookmarkEnd w:id="108"/>
      <w:bookmarkEnd w:id="109"/>
    </w:p>
    <w:p w14:paraId="01B07B6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109"/>
        <w:gridCol w:w="2749"/>
        <w:gridCol w:w="2834"/>
        <w:gridCol w:w="891"/>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423" w:type="pct"/>
            <w:vAlign w:val="center"/>
          </w:tcPr>
          <w:p w14:paraId="0911BDE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谈判文件</w:t>
            </w:r>
            <w:r>
              <w:rPr>
                <w:rFonts w:hint="eastAsia" w:cs="Wingdings" w:asciiTheme="minorEastAsia" w:hAnsiTheme="minorEastAsia"/>
                <w:b/>
                <w:color w:val="auto"/>
                <w:sz w:val="24"/>
                <w:highlight w:val="none"/>
              </w:rPr>
              <w:t>要求</w:t>
            </w:r>
          </w:p>
        </w:tc>
        <w:tc>
          <w:tcPr>
            <w:tcW w:w="1510" w:type="pct"/>
            <w:vAlign w:val="center"/>
          </w:tcPr>
          <w:p w14:paraId="4CB951DC">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658264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510" w:type="pct"/>
            <w:vAlign w:val="center"/>
          </w:tcPr>
          <w:p w14:paraId="765BAE84">
            <w:pPr>
              <w:jc w:val="center"/>
              <w:rPr>
                <w:rFonts w:asciiTheme="minorEastAsia" w:hAnsiTheme="minorEastAsia" w:eastAsiaTheme="minorEastAsia"/>
                <w:color w:val="auto"/>
                <w:sz w:val="24"/>
                <w:highlight w:val="none"/>
              </w:rPr>
            </w:pPr>
          </w:p>
        </w:tc>
        <w:tc>
          <w:tcPr>
            <w:tcW w:w="475"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510" w:type="pct"/>
            <w:vAlign w:val="center"/>
          </w:tcPr>
          <w:p w14:paraId="4451EAA0">
            <w:pPr>
              <w:jc w:val="center"/>
              <w:rPr>
                <w:rFonts w:asciiTheme="minorEastAsia" w:hAnsiTheme="minorEastAsia" w:eastAsiaTheme="minorEastAsia"/>
                <w:color w:val="auto"/>
                <w:sz w:val="24"/>
                <w:highlight w:val="none"/>
              </w:rPr>
            </w:pPr>
          </w:p>
        </w:tc>
        <w:tc>
          <w:tcPr>
            <w:tcW w:w="475"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510" w:type="pct"/>
            <w:vAlign w:val="center"/>
          </w:tcPr>
          <w:p w14:paraId="66A1AFA7">
            <w:pPr>
              <w:pStyle w:val="126"/>
              <w:jc w:val="center"/>
              <w:rPr>
                <w:rFonts w:asciiTheme="minorEastAsia" w:hAnsiTheme="minorEastAsia" w:eastAsiaTheme="minorEastAsia"/>
                <w:color w:val="auto"/>
                <w:highlight w:val="none"/>
              </w:rPr>
            </w:pPr>
          </w:p>
        </w:tc>
        <w:tc>
          <w:tcPr>
            <w:tcW w:w="475" w:type="pct"/>
            <w:vAlign w:val="center"/>
          </w:tcPr>
          <w:p w14:paraId="45E98B20">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423"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510" w:type="pct"/>
            <w:vAlign w:val="center"/>
          </w:tcPr>
          <w:p w14:paraId="0FDED007">
            <w:pPr>
              <w:jc w:val="center"/>
              <w:rPr>
                <w:rFonts w:asciiTheme="minorEastAsia" w:hAnsiTheme="minorEastAsia" w:eastAsiaTheme="minorEastAsia"/>
                <w:color w:val="auto"/>
                <w:sz w:val="24"/>
                <w:highlight w:val="none"/>
              </w:rPr>
            </w:pPr>
          </w:p>
        </w:tc>
        <w:tc>
          <w:tcPr>
            <w:tcW w:w="475"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57879636">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8B51F54">
      <w:pPr>
        <w:tabs>
          <w:tab w:val="left" w:pos="630"/>
        </w:tabs>
        <w:spacing w:line="360" w:lineRule="auto"/>
        <w:ind w:firstLine="4800" w:firstLineChars="2000"/>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bookmarkStart w:id="110" w:name="_Hlk44283017"/>
    </w:p>
    <w:bookmarkEnd w:id="110"/>
    <w:p w14:paraId="37E76ABE">
      <w:pPr>
        <w:rPr>
          <w:rFonts w:hint="eastAsia" w:asciiTheme="minorEastAsia" w:hAnsiTheme="minorEastAsia" w:eastAsiaTheme="minorEastAsia"/>
          <w:b/>
          <w:color w:val="auto"/>
          <w:sz w:val="24"/>
          <w:highlight w:val="none"/>
        </w:rPr>
      </w:pPr>
      <w:bookmarkStart w:id="111" w:name="_Toc20592"/>
      <w:bookmarkStart w:id="112" w:name="_Toc2278"/>
      <w:bookmarkStart w:id="113" w:name="_Hlk44283088"/>
    </w:p>
    <w:p w14:paraId="1AC1F39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11"/>
      <w:bookmarkEnd w:id="112"/>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7488D0E2">
      <w:pPr>
        <w:widowControl/>
        <w:jc w:val="left"/>
        <w:rPr>
          <w:rFonts w:hint="eastAsia" w:asciiTheme="minorEastAsia" w:hAnsiTheme="minorEastAsia" w:eastAsiaTheme="minorEastAsia"/>
          <w:b/>
          <w:color w:val="auto"/>
          <w:sz w:val="24"/>
          <w:highlight w:val="yellow"/>
          <w:lang w:val="en-US" w:eastAsia="zh-CN"/>
        </w:rPr>
      </w:pPr>
      <w:r>
        <w:rPr>
          <w:rFonts w:asciiTheme="minorEastAsia" w:hAnsiTheme="minorEastAsia" w:eastAsiaTheme="minorEastAsia"/>
          <w:b/>
          <w:color w:val="auto"/>
          <w:sz w:val="24"/>
          <w:highlight w:val="none"/>
        </w:rPr>
        <w:br w:type="page"/>
      </w:r>
    </w:p>
    <w:bookmarkEnd w:id="113"/>
    <w:p w14:paraId="1F4B89C8">
      <w:pPr>
        <w:spacing w:line="360" w:lineRule="auto"/>
        <w:jc w:val="center"/>
        <w:outlineLvl w:val="1"/>
        <w:rPr>
          <w:rFonts w:asciiTheme="minorEastAsia" w:hAnsiTheme="minorEastAsia" w:eastAsiaTheme="minorEastAsia"/>
          <w:b/>
          <w:color w:val="auto"/>
          <w:sz w:val="24"/>
          <w:highlight w:val="none"/>
        </w:rPr>
      </w:pPr>
      <w:bookmarkStart w:id="114" w:name="_Toc7807"/>
      <w:bookmarkStart w:id="115" w:name="_Toc3826"/>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114"/>
      <w:bookmarkEnd w:id="115"/>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116" w:name="_Toc63440924"/>
      <w:bookmarkStart w:id="117"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6"/>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7"/>
    </w:p>
    <w:p w14:paraId="41FD10DD">
      <w:pPr>
        <w:spacing w:line="360" w:lineRule="auto"/>
        <w:jc w:val="center"/>
        <w:outlineLvl w:val="1"/>
        <w:rPr>
          <w:rFonts w:ascii="仿宋" w:hAnsi="仿宋" w:eastAsia="仿宋" w:cs="仿宋"/>
          <w:b/>
          <w:bCs/>
          <w:color w:val="auto"/>
          <w:sz w:val="32"/>
          <w:szCs w:val="44"/>
          <w:highlight w:val="none"/>
        </w:rPr>
      </w:pPr>
      <w:bookmarkStart w:id="118" w:name="_Toc8735"/>
      <w:bookmarkStart w:id="119" w:name="_Toc2142"/>
      <w:r>
        <w:rPr>
          <w:rFonts w:hint="eastAsia" w:ascii="仿宋" w:hAnsi="仿宋" w:eastAsia="仿宋" w:cs="仿宋"/>
          <w:b/>
          <w:bCs/>
          <w:color w:val="auto"/>
          <w:sz w:val="32"/>
          <w:szCs w:val="44"/>
          <w:highlight w:val="none"/>
        </w:rPr>
        <w:t>询问函范本</w:t>
      </w:r>
      <w:bookmarkEnd w:id="118"/>
      <w:bookmarkEnd w:id="119"/>
    </w:p>
    <w:p w14:paraId="7FF4F45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20" w:name="_Toc26386"/>
      <w:bookmarkStart w:id="121" w:name="_Toc9092"/>
      <w:r>
        <w:rPr>
          <w:rFonts w:hint="eastAsia" w:cs="仿宋" w:asciiTheme="minorEastAsia" w:hAnsiTheme="minorEastAsia" w:eastAsiaTheme="minorEastAsia"/>
          <w:color w:val="auto"/>
          <w:sz w:val="24"/>
          <w:szCs w:val="24"/>
          <w:highlight w:val="none"/>
        </w:rPr>
        <w:t>一、(事项一)</w:t>
      </w:r>
      <w:bookmarkEnd w:id="120"/>
      <w:bookmarkEnd w:id="121"/>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22" w:name="_Toc17582"/>
      <w:bookmarkStart w:id="123" w:name="_Toc9273"/>
      <w:r>
        <w:rPr>
          <w:rFonts w:hint="eastAsia" w:cs="仿宋" w:asciiTheme="minorEastAsia" w:hAnsiTheme="minorEastAsia" w:eastAsiaTheme="minorEastAsia"/>
          <w:color w:val="auto"/>
          <w:sz w:val="24"/>
          <w:szCs w:val="24"/>
          <w:highlight w:val="none"/>
        </w:rPr>
        <w:t>二、(事项二)</w:t>
      </w:r>
      <w:bookmarkEnd w:id="122"/>
      <w:bookmarkEnd w:id="123"/>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24" w:name="_Toc26673"/>
      <w:bookmarkStart w:id="125" w:name="_Toc6990"/>
      <w:r>
        <w:rPr>
          <w:rFonts w:hint="eastAsia" w:ascii="仿宋" w:hAnsi="仿宋" w:eastAsia="仿宋" w:cs="仿宋"/>
          <w:b/>
          <w:bCs/>
          <w:color w:val="auto"/>
          <w:sz w:val="32"/>
          <w:szCs w:val="44"/>
          <w:highlight w:val="none"/>
        </w:rPr>
        <w:t>质疑函范本</w:t>
      </w:r>
      <w:bookmarkEnd w:id="124"/>
      <w:bookmarkEnd w:id="125"/>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6" w:name="_Toc29510"/>
      <w:bookmarkStart w:id="127" w:name="_Toc2994"/>
      <w:r>
        <w:rPr>
          <w:rFonts w:hint="eastAsia" w:cs="仿宋" w:asciiTheme="minorEastAsia" w:hAnsiTheme="minorEastAsia" w:eastAsiaTheme="minorEastAsia"/>
          <w:b/>
          <w:bCs/>
          <w:color w:val="auto"/>
          <w:sz w:val="24"/>
          <w:szCs w:val="24"/>
          <w:highlight w:val="none"/>
        </w:rPr>
        <w:t>一、质疑供应商基本信息</w:t>
      </w:r>
      <w:bookmarkEnd w:id="126"/>
      <w:bookmarkEnd w:id="127"/>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8" w:name="_Toc31042"/>
      <w:bookmarkStart w:id="129" w:name="_Toc28130"/>
      <w:r>
        <w:rPr>
          <w:rFonts w:hint="eastAsia" w:cs="仿宋" w:asciiTheme="minorEastAsia" w:hAnsiTheme="minorEastAsia" w:eastAsiaTheme="minorEastAsia"/>
          <w:b/>
          <w:bCs/>
          <w:color w:val="auto"/>
          <w:sz w:val="24"/>
          <w:szCs w:val="24"/>
          <w:highlight w:val="none"/>
        </w:rPr>
        <w:t>二、质疑项目基本情况</w:t>
      </w:r>
      <w:bookmarkEnd w:id="128"/>
      <w:bookmarkEnd w:id="129"/>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30" w:name="_Toc20587"/>
      <w:bookmarkStart w:id="131" w:name="_Toc6486"/>
      <w:r>
        <w:rPr>
          <w:rFonts w:hint="eastAsia" w:cs="仿宋" w:asciiTheme="minorEastAsia" w:hAnsiTheme="minorEastAsia" w:eastAsiaTheme="minorEastAsia"/>
          <w:b/>
          <w:bCs/>
          <w:color w:val="auto"/>
          <w:sz w:val="24"/>
          <w:szCs w:val="24"/>
          <w:highlight w:val="none"/>
        </w:rPr>
        <w:t>三、质疑事项具体内容</w:t>
      </w:r>
      <w:bookmarkEnd w:id="130"/>
      <w:bookmarkEnd w:id="131"/>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32" w:name="_Toc20470"/>
      <w:bookmarkStart w:id="133" w:name="_Toc32755"/>
      <w:r>
        <w:rPr>
          <w:rFonts w:hint="eastAsia" w:cs="仿宋" w:asciiTheme="minorEastAsia" w:hAnsiTheme="minorEastAsia" w:eastAsiaTheme="minorEastAsia"/>
          <w:b/>
          <w:bCs/>
          <w:color w:val="auto"/>
          <w:sz w:val="24"/>
          <w:szCs w:val="24"/>
          <w:highlight w:val="none"/>
        </w:rPr>
        <w:t>四、与质疑事项相关的质疑请求</w:t>
      </w:r>
      <w:bookmarkEnd w:id="132"/>
      <w:bookmarkEnd w:id="133"/>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34" w:name="_Toc8368"/>
      <w:bookmarkStart w:id="135" w:name="_Toc21667"/>
      <w:r>
        <w:rPr>
          <w:rFonts w:hint="eastAsia" w:asciiTheme="minorEastAsia" w:hAnsiTheme="minorEastAsia" w:eastAsiaTheme="minorEastAsia"/>
          <w:b/>
          <w:color w:val="auto"/>
          <w:sz w:val="28"/>
          <w:szCs w:val="32"/>
          <w:highlight w:val="none"/>
        </w:rPr>
        <w:t>质疑函制作说明：</w:t>
      </w:r>
      <w:bookmarkEnd w:id="134"/>
      <w:bookmarkEnd w:id="135"/>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7"/>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7"/>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7"/>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7"/>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8"/>
      <w:pBdr>
        <w:bottom w:val="none" w:color="auto" w:sz="0" w:space="1"/>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7C7A63"/>
    <w:multiLevelType w:val="singleLevel"/>
    <w:tmpl w:val="B17C7A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6563BB8"/>
    <w:rsid w:val="07C80EFB"/>
    <w:rsid w:val="08251EAA"/>
    <w:rsid w:val="08916AB3"/>
    <w:rsid w:val="09084174"/>
    <w:rsid w:val="09287EA3"/>
    <w:rsid w:val="0A903CFA"/>
    <w:rsid w:val="0A91481A"/>
    <w:rsid w:val="0CC021A1"/>
    <w:rsid w:val="10E24D87"/>
    <w:rsid w:val="119A1F8D"/>
    <w:rsid w:val="13524CBA"/>
    <w:rsid w:val="13750D6C"/>
    <w:rsid w:val="13C347B9"/>
    <w:rsid w:val="16A92918"/>
    <w:rsid w:val="18735030"/>
    <w:rsid w:val="18FA2EDF"/>
    <w:rsid w:val="1A66331F"/>
    <w:rsid w:val="1AF95668"/>
    <w:rsid w:val="1CE22479"/>
    <w:rsid w:val="1E0104DD"/>
    <w:rsid w:val="1EA4741C"/>
    <w:rsid w:val="20344F28"/>
    <w:rsid w:val="206770AC"/>
    <w:rsid w:val="23241284"/>
    <w:rsid w:val="23530B29"/>
    <w:rsid w:val="27AC56F0"/>
    <w:rsid w:val="282F3B79"/>
    <w:rsid w:val="283C571B"/>
    <w:rsid w:val="2850063C"/>
    <w:rsid w:val="286E4163"/>
    <w:rsid w:val="291E2007"/>
    <w:rsid w:val="29CF3D8B"/>
    <w:rsid w:val="2CD32C5A"/>
    <w:rsid w:val="2D2D2C20"/>
    <w:rsid w:val="30C62676"/>
    <w:rsid w:val="30D37E45"/>
    <w:rsid w:val="31BF072E"/>
    <w:rsid w:val="340842AA"/>
    <w:rsid w:val="353B3065"/>
    <w:rsid w:val="35DA59F3"/>
    <w:rsid w:val="37321D6A"/>
    <w:rsid w:val="37903539"/>
    <w:rsid w:val="388A16E7"/>
    <w:rsid w:val="38F3153C"/>
    <w:rsid w:val="39F03816"/>
    <w:rsid w:val="3BCC681B"/>
    <w:rsid w:val="3CC75F2B"/>
    <w:rsid w:val="3CE61832"/>
    <w:rsid w:val="3CF814E4"/>
    <w:rsid w:val="3D874491"/>
    <w:rsid w:val="3DDE563E"/>
    <w:rsid w:val="3F5D7BA0"/>
    <w:rsid w:val="406E7427"/>
    <w:rsid w:val="41817B76"/>
    <w:rsid w:val="418A33DF"/>
    <w:rsid w:val="435C016E"/>
    <w:rsid w:val="43964717"/>
    <w:rsid w:val="43BE3353"/>
    <w:rsid w:val="443D4540"/>
    <w:rsid w:val="45553AE5"/>
    <w:rsid w:val="45974888"/>
    <w:rsid w:val="47470D57"/>
    <w:rsid w:val="47D26073"/>
    <w:rsid w:val="47E75CBA"/>
    <w:rsid w:val="4B700D53"/>
    <w:rsid w:val="4BDA12B0"/>
    <w:rsid w:val="4C8F28A3"/>
    <w:rsid w:val="4D317F5A"/>
    <w:rsid w:val="4D3A7115"/>
    <w:rsid w:val="4D677E3B"/>
    <w:rsid w:val="50EC00C2"/>
    <w:rsid w:val="523429E2"/>
    <w:rsid w:val="536D2F2E"/>
    <w:rsid w:val="53F1220D"/>
    <w:rsid w:val="546D21DB"/>
    <w:rsid w:val="55EA7479"/>
    <w:rsid w:val="5658373F"/>
    <w:rsid w:val="566D6A2E"/>
    <w:rsid w:val="57346FE0"/>
    <w:rsid w:val="591C7D2C"/>
    <w:rsid w:val="59B361F2"/>
    <w:rsid w:val="5CAC4BB0"/>
    <w:rsid w:val="5DFC5B86"/>
    <w:rsid w:val="5E677C9B"/>
    <w:rsid w:val="5EA70DDA"/>
    <w:rsid w:val="60C63B32"/>
    <w:rsid w:val="629038C3"/>
    <w:rsid w:val="642A69CF"/>
    <w:rsid w:val="65271F32"/>
    <w:rsid w:val="66091AE9"/>
    <w:rsid w:val="68AB6E74"/>
    <w:rsid w:val="6942558D"/>
    <w:rsid w:val="6A2133F4"/>
    <w:rsid w:val="6A7702DC"/>
    <w:rsid w:val="6AC87D14"/>
    <w:rsid w:val="6B36760B"/>
    <w:rsid w:val="6BE0108D"/>
    <w:rsid w:val="6C550632"/>
    <w:rsid w:val="6D263022"/>
    <w:rsid w:val="742915A0"/>
    <w:rsid w:val="74B766DB"/>
    <w:rsid w:val="76764668"/>
    <w:rsid w:val="774C5829"/>
    <w:rsid w:val="77893908"/>
    <w:rsid w:val="77E56B80"/>
    <w:rsid w:val="78A3591C"/>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2">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3">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4">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5">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6">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7">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8">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9">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0">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2">
    <w:name w:val="Normal Indent"/>
    <w:basedOn w:val="1"/>
    <w:next w:val="13"/>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3">
    <w:name w:val="Body Text First Indent 2"/>
    <w:basedOn w:val="14"/>
    <w:next w:val="16"/>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paragraph" w:styleId="14">
    <w:name w:val="Body Text Indent"/>
    <w:basedOn w:val="1"/>
    <w:next w:val="15"/>
    <w:link w:val="63"/>
    <w:unhideWhenUsed/>
    <w:qFormat/>
    <w:uiPriority w:val="0"/>
    <w:pPr>
      <w:ind w:left="2730" w:hanging="2730" w:hangingChars="1365"/>
      <w:jc w:val="left"/>
    </w:pPr>
    <w:rPr>
      <w:sz w:val="20"/>
      <w:lang w:bidi="he-IL"/>
    </w:rPr>
  </w:style>
  <w:style w:type="paragraph" w:styleId="15">
    <w:name w:val="envelope return"/>
    <w:basedOn w:val="1"/>
    <w:qFormat/>
    <w:uiPriority w:val="0"/>
    <w:pPr>
      <w:snapToGrid w:val="0"/>
    </w:pPr>
    <w:rPr>
      <w:rFonts w:ascii="Arial" w:hAnsi="Arial"/>
    </w:rPr>
  </w:style>
  <w:style w:type="paragraph" w:styleId="16">
    <w:name w:val="Body Text"/>
    <w:basedOn w:val="1"/>
    <w:next w:val="1"/>
    <w:link w:val="80"/>
    <w:autoRedefine/>
    <w:unhideWhenUsed/>
    <w:qFormat/>
    <w:uiPriority w:val="0"/>
    <w:pPr>
      <w:spacing w:after="120"/>
    </w:pPr>
  </w:style>
  <w:style w:type="paragraph" w:styleId="17">
    <w:name w:val="annotation text"/>
    <w:basedOn w:val="1"/>
    <w:link w:val="117"/>
    <w:unhideWhenUsed/>
    <w:qFormat/>
    <w:uiPriority w:val="0"/>
    <w:pPr>
      <w:adjustRightInd/>
      <w:spacing w:line="500" w:lineRule="exact"/>
      <w:jc w:val="left"/>
    </w:pPr>
    <w:rPr>
      <w:sz w:val="20"/>
    </w:rPr>
  </w:style>
  <w:style w:type="paragraph" w:styleId="18">
    <w:name w:val="Body Text 3"/>
    <w:basedOn w:val="1"/>
    <w:link w:val="73"/>
    <w:semiHidden/>
    <w:unhideWhenUsed/>
    <w:qFormat/>
    <w:uiPriority w:val="99"/>
    <w:pPr>
      <w:spacing w:after="120"/>
    </w:pPr>
    <w:rPr>
      <w:sz w:val="16"/>
      <w:szCs w:val="16"/>
    </w:rPr>
  </w:style>
  <w:style w:type="paragraph" w:styleId="19">
    <w:name w:val="Block Text"/>
    <w:basedOn w:val="1"/>
    <w:autoRedefine/>
    <w:unhideWhenUsed/>
    <w:qFormat/>
    <w:uiPriority w:val="99"/>
    <w:pPr>
      <w:spacing w:after="120"/>
      <w:ind w:left="1440" w:leftChars="700" w:right="1440" w:rightChars="700"/>
    </w:pPr>
    <w:rPr>
      <w:szCs w:val="24"/>
    </w:rPr>
  </w:style>
  <w:style w:type="paragraph" w:styleId="20">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1">
    <w:name w:val="toc 3"/>
    <w:basedOn w:val="1"/>
    <w:next w:val="1"/>
    <w:autoRedefine/>
    <w:unhideWhenUsed/>
    <w:qFormat/>
    <w:uiPriority w:val="39"/>
    <w:pPr>
      <w:ind w:left="840" w:leftChars="400"/>
    </w:pPr>
  </w:style>
  <w:style w:type="paragraph" w:styleId="22">
    <w:name w:val="Plain Text"/>
    <w:basedOn w:val="1"/>
    <w:link w:val="118"/>
    <w:autoRedefine/>
    <w:qFormat/>
    <w:uiPriority w:val="0"/>
    <w:pPr>
      <w:textAlignment w:val="baseline"/>
    </w:pPr>
    <w:rPr>
      <w:rFonts w:ascii="宋体" w:hAnsi="Courier New"/>
    </w:rPr>
  </w:style>
  <w:style w:type="paragraph" w:styleId="23">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4">
    <w:name w:val="Date"/>
    <w:basedOn w:val="1"/>
    <w:next w:val="1"/>
    <w:link w:val="78"/>
    <w:autoRedefine/>
    <w:semiHidden/>
    <w:unhideWhenUsed/>
    <w:qFormat/>
    <w:uiPriority w:val="99"/>
    <w:pPr>
      <w:ind w:left="100" w:leftChars="2500"/>
    </w:pPr>
  </w:style>
  <w:style w:type="paragraph" w:styleId="25">
    <w:name w:val="Body Text Indent 2"/>
    <w:basedOn w:val="1"/>
    <w:link w:val="76"/>
    <w:autoRedefine/>
    <w:unhideWhenUsed/>
    <w:qFormat/>
    <w:uiPriority w:val="99"/>
    <w:pPr>
      <w:spacing w:after="120" w:line="480" w:lineRule="auto"/>
      <w:ind w:left="420" w:leftChars="200"/>
      <w:jc w:val="left"/>
    </w:pPr>
  </w:style>
  <w:style w:type="paragraph" w:styleId="26">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7">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8">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28"/>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2"/>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16"/>
    <w:link w:val="87"/>
    <w:autoRedefine/>
    <w:unhideWhenUsed/>
    <w:qFormat/>
    <w:uiPriority w:val="99"/>
    <w:pPr>
      <w:ind w:firstLine="420" w:firstLineChars="100"/>
    </w:p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9">
    <w:name w:val="*正文"/>
    <w:basedOn w:val="12"/>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2"/>
    <w:link w:val="2"/>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3"/>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4"/>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5"/>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6"/>
    <w:autoRedefine/>
    <w:qFormat/>
    <w:uiPriority w:val="9"/>
    <w:rPr>
      <w:rFonts w:ascii="Times New Roman" w:hAnsi="Times New Roman" w:eastAsia="宋体" w:cs="Times New Roman"/>
      <w:b/>
      <w:bCs/>
      <w:sz w:val="28"/>
      <w:szCs w:val="28"/>
    </w:rPr>
  </w:style>
  <w:style w:type="character" w:customStyle="1" w:styleId="56">
    <w:name w:val="标题 6 字符"/>
    <w:basedOn w:val="42"/>
    <w:link w:val="7"/>
    <w:autoRedefine/>
    <w:qFormat/>
    <w:uiPriority w:val="9"/>
    <w:rPr>
      <w:rFonts w:ascii="Arial" w:hAnsi="Arial" w:eastAsia="黑体" w:cs="Times New Roman"/>
      <w:b/>
      <w:bCs/>
      <w:sz w:val="24"/>
      <w:szCs w:val="24"/>
    </w:rPr>
  </w:style>
  <w:style w:type="character" w:customStyle="1" w:styleId="57">
    <w:name w:val="标题 7 字符"/>
    <w:basedOn w:val="42"/>
    <w:link w:val="8"/>
    <w:autoRedefine/>
    <w:qFormat/>
    <w:uiPriority w:val="0"/>
    <w:rPr>
      <w:rFonts w:ascii="Times New Roman" w:hAnsi="Times New Roman" w:eastAsia="宋体" w:cs="Times New Roman"/>
      <w:b/>
      <w:bCs/>
      <w:sz w:val="24"/>
      <w:szCs w:val="24"/>
    </w:rPr>
  </w:style>
  <w:style w:type="character" w:customStyle="1" w:styleId="58">
    <w:name w:val="标题 8 字符"/>
    <w:basedOn w:val="42"/>
    <w:link w:val="9"/>
    <w:autoRedefine/>
    <w:qFormat/>
    <w:uiPriority w:val="0"/>
    <w:rPr>
      <w:rFonts w:ascii="Arial" w:hAnsi="Arial" w:eastAsia="黑体" w:cs="Times New Roman"/>
      <w:sz w:val="24"/>
      <w:szCs w:val="24"/>
    </w:rPr>
  </w:style>
  <w:style w:type="character" w:customStyle="1" w:styleId="59">
    <w:name w:val="标题 9 字符"/>
    <w:basedOn w:val="42"/>
    <w:link w:val="10"/>
    <w:autoRedefine/>
    <w:qFormat/>
    <w:uiPriority w:val="9"/>
    <w:rPr>
      <w:rFonts w:ascii="Arial" w:hAnsi="Arial" w:eastAsia="黑体" w:cs="Times New Roman"/>
      <w:szCs w:val="21"/>
    </w:rPr>
  </w:style>
  <w:style w:type="character" w:customStyle="1" w:styleId="60">
    <w:name w:val="页眉 字符"/>
    <w:basedOn w:val="42"/>
    <w:link w:val="28"/>
    <w:autoRedefine/>
    <w:qFormat/>
    <w:uiPriority w:val="0"/>
    <w:rPr>
      <w:sz w:val="18"/>
      <w:szCs w:val="18"/>
    </w:rPr>
  </w:style>
  <w:style w:type="character" w:customStyle="1" w:styleId="61">
    <w:name w:val="页脚 字符"/>
    <w:basedOn w:val="42"/>
    <w:link w:val="27"/>
    <w:autoRedefine/>
    <w:qFormat/>
    <w:uiPriority w:val="0"/>
    <w:rPr>
      <w:sz w:val="18"/>
      <w:szCs w:val="18"/>
    </w:rPr>
  </w:style>
  <w:style w:type="character" w:customStyle="1" w:styleId="62">
    <w:name w:val="批注框文本 字符"/>
    <w:basedOn w:val="42"/>
    <w:link w:val="26"/>
    <w:autoRedefine/>
    <w:semiHidden/>
    <w:qFormat/>
    <w:uiPriority w:val="99"/>
    <w:rPr>
      <w:sz w:val="18"/>
      <w:szCs w:val="18"/>
    </w:rPr>
  </w:style>
  <w:style w:type="character" w:customStyle="1" w:styleId="63">
    <w:name w:val="正文文本缩进 字符"/>
    <w:basedOn w:val="42"/>
    <w:link w:val="14"/>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2"/>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8"/>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5"/>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4"/>
    <w:autoRedefine/>
    <w:semiHidden/>
    <w:qFormat/>
    <w:uiPriority w:val="99"/>
    <w:rPr>
      <w:rFonts w:ascii="Times New Roman" w:hAnsi="Times New Roman" w:eastAsia="宋体" w:cs="Times New Roman"/>
      <w:kern w:val="0"/>
      <w:szCs w:val="20"/>
    </w:rPr>
  </w:style>
  <w:style w:type="character" w:customStyle="1" w:styleId="79">
    <w:name w:val="正文缩进 字符"/>
    <w:link w:val="12"/>
    <w:autoRedefine/>
    <w:qFormat/>
    <w:uiPriority w:val="0"/>
    <w:rPr>
      <w:rFonts w:ascii="宋体"/>
      <w:sz w:val="24"/>
    </w:rPr>
  </w:style>
  <w:style w:type="character" w:customStyle="1" w:styleId="80">
    <w:name w:val="正文文本 字符"/>
    <w:basedOn w:val="42"/>
    <w:link w:val="16"/>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13"/>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9"/>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7"/>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2"/>
    <w:autoRedefine/>
    <w:qFormat/>
    <w:uiPriority w:val="0"/>
    <w:rPr>
      <w:rFonts w:ascii="宋体" w:hAnsi="Courier New" w:eastAsia="宋体" w:cs="Times New Roman"/>
      <w:kern w:val="0"/>
      <w:szCs w:val="20"/>
    </w:rPr>
  </w:style>
  <w:style w:type="character" w:customStyle="1" w:styleId="119">
    <w:name w:val="信息标题 字符"/>
    <w:basedOn w:val="42"/>
    <w:link w:val="36"/>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4"/>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2"/>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38</Pages>
  <Words>15467</Words>
  <Characters>16206</Characters>
  <Lines>29</Lines>
  <Paragraphs>8</Paragraphs>
  <TotalTime>2</TotalTime>
  <ScaleCrop>false</ScaleCrop>
  <LinksUpToDate>false</LinksUpToDate>
  <CharactersWithSpaces>17944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2026-08-23T23:21:15Z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5EA84C3DCDFE49B6B80265B2FF3832B8_13</vt:lpwstr>
  </property>
  <property fmtid="{D5CDD505-2E9C-101B-9397-08002B2CF9AE}" pid="4" name="KSOTemplateDocerSaveRecord">
    <vt:lpwstr>eyJoZGlkIjoiZmZiYmM4NzlhZjdiMmExNTk1YzZjMTNkYTVjNzExZDciLCJ1c2VySWQiOiIyNjUyMTU1NzAifQ==</vt:lpwstr>
  </property>
</Properties>
</file>