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40"/>
        <w:spacing w:after="0" w:afterAutospacing="0"/>
        <w:ind w:left="0" w:leftChars="0" w:firstLine="0" w:firstLineChars="0"/>
      </w:pPr>
    </w:p>
    <w:p w14:paraId="5236FF2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4EC5A28B">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3EA5A6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竞争性谈判文件示范文本（货物类）</w:t>
      </w:r>
    </w:p>
    <w:bookmarkEnd w:id="0"/>
    <w:p w14:paraId="56ADE248">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B55B4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12863B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6171087">
      <w:pPr>
        <w:tabs>
          <w:tab w:val="left" w:pos="2410"/>
        </w:tabs>
        <w:autoSpaceDE w:val="0"/>
        <w:autoSpaceDN w:val="0"/>
        <w:adjustRightInd w:val="0"/>
        <w:snapToGrid w:val="0"/>
        <w:spacing w:line="360" w:lineRule="auto"/>
        <w:jc w:val="both"/>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桐城师范高等专科学校</w:t>
      </w:r>
      <w:r>
        <w:rPr>
          <w:rFonts w:hint="eastAsia" w:ascii="宋体" w:hAnsi="宋体"/>
          <w:b/>
          <w:color w:val="auto"/>
          <w:spacing w:val="20"/>
          <w:kern w:val="0"/>
          <w:sz w:val="32"/>
          <w:szCs w:val="32"/>
          <w:highlight w:val="none"/>
          <w:u w:val="single"/>
          <w:lang w:val="en-US" w:eastAsia="zh-CN"/>
        </w:rPr>
        <w:t>教学楼课桌椅</w:t>
      </w:r>
      <w:r>
        <w:rPr>
          <w:rFonts w:hint="eastAsia" w:ascii="宋体" w:hAnsi="宋体" w:eastAsia="宋体"/>
          <w:b/>
          <w:color w:val="auto"/>
          <w:spacing w:val="20"/>
          <w:kern w:val="0"/>
          <w:sz w:val="32"/>
          <w:szCs w:val="32"/>
          <w:highlight w:val="none"/>
          <w:u w:val="single"/>
          <w:lang w:val="en-US" w:eastAsia="zh-CN"/>
        </w:rPr>
        <w:t>采购项目</w:t>
      </w:r>
      <w:r>
        <w:rPr>
          <w:rFonts w:hint="eastAsia" w:ascii="宋体" w:hAnsi="宋体"/>
          <w:b/>
          <w:color w:val="auto"/>
          <w:spacing w:val="20"/>
          <w:kern w:val="0"/>
          <w:sz w:val="32"/>
          <w:szCs w:val="32"/>
          <w:highlight w:val="none"/>
          <w:u w:val="single"/>
          <w:lang w:val="en-US" w:eastAsia="zh-CN"/>
        </w:rPr>
        <w:t xml:space="preserve"> </w:t>
      </w:r>
    </w:p>
    <w:p w14:paraId="107321F3">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lang w:val="en-US" w:eastAsia="zh-CN"/>
        </w:rPr>
        <w:t>TCSZCG(2026)00</w:t>
      </w:r>
      <w:r>
        <w:rPr>
          <w:rFonts w:hint="eastAsia" w:ascii="宋体" w:hAnsi="宋体"/>
          <w:b/>
          <w:color w:val="auto"/>
          <w:spacing w:val="20"/>
          <w:kern w:val="0"/>
          <w:sz w:val="32"/>
          <w:szCs w:val="32"/>
          <w:highlight w:val="none"/>
          <w:u w:val="single"/>
          <w:lang w:val="en-US" w:eastAsia="zh-CN"/>
        </w:rPr>
        <w:t>6</w:t>
      </w:r>
      <w:r>
        <w:rPr>
          <w:rFonts w:hint="eastAsia" w:ascii="宋体" w:hAnsi="宋体" w:eastAsia="宋体"/>
          <w:b/>
          <w:color w:val="auto"/>
          <w:spacing w:val="20"/>
          <w:kern w:val="0"/>
          <w:sz w:val="32"/>
          <w:szCs w:val="32"/>
          <w:highlight w:val="none"/>
          <w:u w:val="single"/>
          <w:lang w:val="en-US" w:eastAsia="zh-CN"/>
        </w:rPr>
        <w:t xml:space="preserve">号      </w:t>
      </w:r>
      <w:r>
        <w:rPr>
          <w:rFonts w:hint="eastAsia" w:ascii="宋体" w:hAnsi="宋体"/>
          <w:b/>
          <w:color w:val="auto"/>
          <w:spacing w:val="20"/>
          <w:kern w:val="0"/>
          <w:sz w:val="32"/>
          <w:szCs w:val="32"/>
          <w:highlight w:val="none"/>
          <w:u w:val="single"/>
          <w:lang w:val="en-US" w:eastAsia="zh-CN"/>
        </w:rPr>
        <w:t xml:space="preserve">   </w:t>
      </w:r>
    </w:p>
    <w:p w14:paraId="38AB956A">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lang w:val="en-US" w:eastAsia="zh-CN"/>
        </w:rPr>
        <w:t xml:space="preserve">桐城师范高等专科学校      </w:t>
      </w:r>
    </w:p>
    <w:p w14:paraId="284282E4">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安徽文都招标代理咨询有限公司</w:t>
      </w:r>
      <w:r>
        <w:rPr>
          <w:rFonts w:hint="eastAsia" w:ascii="宋体" w:hAnsi="宋体"/>
          <w:b/>
          <w:color w:val="auto"/>
          <w:spacing w:val="20"/>
          <w:kern w:val="0"/>
          <w:sz w:val="32"/>
          <w:szCs w:val="32"/>
          <w:highlight w:val="none"/>
          <w:u w:val="single"/>
          <w:lang w:val="en-US" w:eastAsia="zh-CN"/>
        </w:rPr>
        <w:t xml:space="preserve"> </w:t>
      </w:r>
    </w:p>
    <w:p w14:paraId="1BB318D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1D5F3F0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lang w:val="en-US" w:eastAsia="zh-CN"/>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b/>
          <w:color w:val="auto"/>
          <w:sz w:val="36"/>
          <w:highlight w:val="none"/>
          <w:u w:val="single"/>
          <w:lang w:val="en-US" w:eastAsia="zh-CN"/>
        </w:rPr>
        <w:t>二零二六</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b/>
          <w:color w:val="auto"/>
          <w:sz w:val="36"/>
          <w:highlight w:val="none"/>
          <w:u w:val="single"/>
          <w:lang w:val="en-US" w:eastAsia="zh-CN"/>
        </w:rPr>
        <w:t xml:space="preserve"> 五 </w:t>
      </w:r>
      <w:r>
        <w:rPr>
          <w:rFonts w:hint="eastAsia" w:ascii="宋体" w:hAnsi="宋体"/>
          <w:b/>
          <w:color w:val="auto"/>
          <w:sz w:val="36"/>
          <w:highlight w:val="none"/>
          <w:lang w:val="en-US" w:eastAsia="zh-CN"/>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36"/>
          <w:szCs w:val="36"/>
          <w:highlight w:val="none"/>
        </w:rPr>
      </w:pPr>
      <w:r>
        <w:rPr>
          <w:rFonts w:hint="eastAsia" w:ascii="宋体" w:hAnsi="宋体" w:eastAsia="宋体" w:cs="宋体"/>
          <w:b/>
          <w:bCs w:val="0"/>
          <w:color w:val="auto"/>
          <w:kern w:val="0"/>
          <w:sz w:val="36"/>
          <w:szCs w:val="36"/>
          <w:highlight w:val="none"/>
        </w:rPr>
        <w:t>重  要  提  醒</w:t>
      </w:r>
    </w:p>
    <w:p w14:paraId="0CD0EF50">
      <w:pPr>
        <w:pStyle w:val="2"/>
      </w:pPr>
    </w:p>
    <w:p w14:paraId="410A2A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1</w:t>
      </w:r>
      <w:r>
        <w:rPr>
          <w:rFonts w:hint="eastAsia" w:ascii="宋体" w:hAnsi="宋体" w:cs="宋体"/>
          <w:b/>
          <w:color w:val="auto"/>
          <w:kern w:val="0"/>
          <w:sz w:val="24"/>
          <w:highlight w:val="none"/>
          <w:lang w:val="en-US" w:eastAsia="zh-CN"/>
        </w:rPr>
        <w:t>.</w:t>
      </w:r>
      <w:r>
        <w:rPr>
          <w:rFonts w:hint="eastAsia" w:ascii="宋体" w:hAnsi="宋体" w:cs="宋体"/>
          <w:b/>
          <w:color w:val="auto"/>
          <w:kern w:val="0"/>
          <w:sz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2</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按照</w:t>
      </w:r>
      <w:r>
        <w:rPr>
          <w:rFonts w:hint="eastAsia" w:ascii="宋体" w:hAnsi="宋体" w:cs="宋体"/>
          <w:b/>
          <w:color w:val="auto"/>
          <w:kern w:val="0"/>
          <w:sz w:val="24"/>
          <w:highlight w:val="none"/>
          <w:lang w:val="en-US" w:eastAsia="zh-CN"/>
        </w:rPr>
        <w:t>竞争性谈判</w:t>
      </w:r>
      <w:r>
        <w:rPr>
          <w:rFonts w:hint="eastAsia" w:ascii="宋体" w:hAnsi="宋体" w:cs="宋体"/>
          <w:b/>
          <w:color w:val="auto"/>
          <w:kern w:val="0"/>
          <w:sz w:val="24"/>
          <w:highlight w:val="none"/>
        </w:rPr>
        <w:t>文件要求制作响应文件。</w:t>
      </w:r>
    </w:p>
    <w:p w14:paraId="65B8899B">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对</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活动中可能发生的质疑、投诉行为，须依法在规定的时间内提出。  </w:t>
      </w:r>
    </w:p>
    <w:p w14:paraId="29A71C63">
      <w:pPr>
        <w:keepNext w:val="0"/>
        <w:keepLines w:val="0"/>
        <w:pageBreakBefore w:val="0"/>
        <w:widowControl/>
        <w:kinsoku/>
        <w:wordWrap/>
        <w:overflowPunct/>
        <w:topLinePunct w:val="0"/>
        <w:autoSpaceDE/>
        <w:autoSpaceDN/>
        <w:bidi w:val="0"/>
        <w:adjustRightInd/>
        <w:snapToGrid/>
        <w:spacing w:line="560" w:lineRule="exact"/>
        <w:ind w:firstLine="241" w:firstLineChars="100"/>
        <w:jc w:val="left"/>
        <w:textAlignment w:val="auto"/>
        <w:rPr>
          <w:rFonts w:hint="eastAsia" w:ascii="宋体" w:hAnsi="宋体" w:cs="宋体"/>
          <w:b/>
          <w:color w:val="auto"/>
          <w:kern w:val="0"/>
          <w:sz w:val="24"/>
          <w:highlight w:val="none"/>
        </w:rPr>
      </w:pPr>
      <w:r>
        <w:rPr>
          <w:rFonts w:hint="eastAsia" w:ascii="宋体" w:hAnsi="宋体" w:cs="宋体"/>
          <w:b/>
          <w:color w:val="auto"/>
          <w:kern w:val="0"/>
          <w:sz w:val="24"/>
          <w:highlight w:val="none"/>
        </w:rPr>
        <w:t>4</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本项目</w:t>
      </w:r>
      <w:r>
        <w:rPr>
          <w:rFonts w:hint="eastAsia" w:ascii="宋体" w:hAnsi="宋体" w:cs="宋体"/>
          <w:b/>
          <w:color w:val="auto"/>
          <w:kern w:val="0"/>
          <w:sz w:val="24"/>
          <w:highlight w:val="none"/>
          <w:lang w:eastAsia="zh-CN"/>
        </w:rPr>
        <w:t>谈判</w:t>
      </w:r>
      <w:r>
        <w:rPr>
          <w:rFonts w:hint="eastAsia" w:ascii="宋体" w:hAnsi="宋体" w:cs="宋体"/>
          <w:b/>
          <w:color w:val="auto"/>
          <w:kern w:val="0"/>
          <w:sz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58"/>
        <w:rPr>
          <w:color w:val="auto"/>
          <w:highlight w:val="none"/>
          <w:lang w:val="zh-CN"/>
        </w:rPr>
      </w:pPr>
    </w:p>
    <w:p w14:paraId="6F456B9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bookmarkStart w:id="1" w:name="_Toc54941328"/>
      <w:bookmarkStart w:id="2" w:name="_Toc23467"/>
      <w:bookmarkStart w:id="3" w:name="_Toc21464"/>
      <w:bookmarkStart w:id="4" w:name="_Toc439316870"/>
      <w:r>
        <w:rPr>
          <w:rFonts w:hint="eastAsia" w:asciiTheme="majorEastAsia" w:hAnsiTheme="majorEastAsia" w:eastAsiaTheme="majorEastAsia" w:cstheme="majorEastAsia"/>
          <w:b/>
          <w:bCs/>
          <w:color w:val="auto"/>
          <w:sz w:val="40"/>
          <w:szCs w:val="40"/>
          <w:highlight w:val="none"/>
        </w:rPr>
        <w:fldChar w:fldCharType="begin"/>
      </w:r>
      <w:r>
        <w:rPr>
          <w:rFonts w:hint="eastAsia" w:asciiTheme="majorEastAsia" w:hAnsiTheme="majorEastAsia" w:eastAsiaTheme="majorEastAsia" w:cstheme="majorEastAsia"/>
          <w:b/>
          <w:bCs/>
          <w:color w:val="auto"/>
          <w:sz w:val="40"/>
          <w:szCs w:val="40"/>
          <w:highlight w:val="none"/>
        </w:rPr>
        <w:instrText xml:space="preserve">TOC \o "1-1" \h \u </w:instrText>
      </w:r>
      <w:r>
        <w:rPr>
          <w:rFonts w:hint="eastAsia" w:asciiTheme="majorEastAsia" w:hAnsiTheme="majorEastAsia" w:eastAsiaTheme="majorEastAsia" w:cstheme="majorEastAsia"/>
          <w:b/>
          <w:bCs/>
          <w:color w:val="auto"/>
          <w:sz w:val="40"/>
          <w:szCs w:val="40"/>
          <w:highlight w:val="none"/>
        </w:rPr>
        <w:fldChar w:fldCharType="separate"/>
      </w: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_Toc7432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i w:val="0"/>
          <w:iCs/>
          <w:color w:val="auto"/>
          <w:sz w:val="28"/>
          <w:szCs w:val="44"/>
          <w:highlight w:val="none"/>
        </w:rPr>
        <w:t xml:space="preserve">第一章  </w:t>
      </w:r>
      <w:r>
        <w:rPr>
          <w:rFonts w:hint="eastAsia" w:asciiTheme="majorEastAsia" w:hAnsiTheme="majorEastAsia" w:eastAsiaTheme="majorEastAsia" w:cstheme="majorEastAsia"/>
          <w:b/>
          <w:bCs/>
          <w:i w:val="0"/>
          <w:iCs/>
          <w:color w:val="auto"/>
          <w:sz w:val="28"/>
          <w:szCs w:val="44"/>
          <w:highlight w:val="none"/>
          <w:lang w:val="en-US" w:eastAsia="zh-CN"/>
        </w:rPr>
        <w:t>谈判邀请</w:t>
      </w:r>
      <w:r>
        <w:rPr>
          <w:rFonts w:hint="eastAsia" w:asciiTheme="majorEastAsia" w:hAnsiTheme="majorEastAsia" w:eastAsiaTheme="majorEastAsia" w:cstheme="majorEastAsia"/>
          <w:b/>
          <w:bCs/>
          <w:color w:val="auto"/>
          <w:sz w:val="28"/>
          <w:szCs w:val="24"/>
          <w:highlight w:val="none"/>
          <w:lang w:val="en-US" w:eastAsia="zh-CN"/>
        </w:rPr>
        <w:t>...............................................</w:t>
      </w:r>
      <w:r>
        <w:rPr>
          <w:rFonts w:hint="eastAsia" w:asciiTheme="majorEastAsia" w:hAnsiTheme="majorEastAsia" w:eastAsiaTheme="majorEastAsia" w:cstheme="majorEastAsia"/>
          <w:b/>
          <w:bCs/>
          <w:color w:val="auto"/>
          <w:sz w:val="28"/>
          <w:szCs w:val="24"/>
          <w:highlight w:val="none"/>
        </w:rPr>
        <w:fldChar w:fldCharType="begin"/>
      </w:r>
      <w:r>
        <w:rPr>
          <w:rFonts w:hint="eastAsia" w:asciiTheme="majorEastAsia" w:hAnsiTheme="majorEastAsia" w:eastAsiaTheme="majorEastAsia" w:cstheme="majorEastAsia"/>
          <w:b/>
          <w:bCs/>
          <w:color w:val="auto"/>
          <w:sz w:val="28"/>
          <w:szCs w:val="24"/>
          <w:highlight w:val="none"/>
        </w:rPr>
        <w:instrText xml:space="preserve"> PAGEREF _Toc7432 \h </w:instrText>
      </w:r>
      <w:r>
        <w:rPr>
          <w:rFonts w:hint="eastAsia" w:asciiTheme="majorEastAsia" w:hAnsiTheme="majorEastAsia" w:eastAsiaTheme="majorEastAsia" w:cstheme="majorEastAsia"/>
          <w:b/>
          <w:bCs/>
          <w:color w:val="auto"/>
          <w:sz w:val="28"/>
          <w:szCs w:val="24"/>
          <w:highlight w:val="none"/>
        </w:rPr>
        <w:fldChar w:fldCharType="separate"/>
      </w:r>
      <w:r>
        <w:rPr>
          <w:rFonts w:hint="eastAsia" w:asciiTheme="majorEastAsia" w:hAnsiTheme="majorEastAsia" w:eastAsiaTheme="majorEastAsia" w:cstheme="majorEastAsia"/>
          <w:b/>
          <w:bCs/>
          <w:color w:val="auto"/>
          <w:sz w:val="28"/>
          <w:szCs w:val="24"/>
          <w:highlight w:val="none"/>
        </w:rPr>
        <w:t>3</w:t>
      </w:r>
      <w:r>
        <w:rPr>
          <w:rFonts w:hint="eastAsia" w:asciiTheme="majorEastAsia" w:hAnsiTheme="majorEastAsia" w:eastAsiaTheme="majorEastAsia" w:cstheme="majorEastAsia"/>
          <w:b/>
          <w:bCs/>
          <w:color w:val="auto"/>
          <w:sz w:val="28"/>
          <w:szCs w:val="24"/>
          <w:highlight w:val="none"/>
        </w:rPr>
        <w:fldChar w:fldCharType="end"/>
      </w:r>
      <w:r>
        <w:rPr>
          <w:rFonts w:hint="eastAsia" w:asciiTheme="majorEastAsia" w:hAnsiTheme="majorEastAsia" w:eastAsiaTheme="majorEastAsia" w:cstheme="majorEastAsia"/>
          <w:b/>
          <w:bCs/>
          <w:color w:val="auto"/>
          <w:sz w:val="28"/>
          <w:szCs w:val="40"/>
          <w:highlight w:val="none"/>
        </w:rPr>
        <w:fldChar w:fldCharType="end"/>
      </w:r>
    </w:p>
    <w:p w14:paraId="25820FA5">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_Toc11266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rPr>
        <w:t xml:space="preserve">第二章  </w:t>
      </w:r>
      <w:r>
        <w:rPr>
          <w:rFonts w:hint="eastAsia" w:asciiTheme="majorEastAsia" w:hAnsiTheme="majorEastAsia" w:eastAsiaTheme="majorEastAsia" w:cstheme="majorEastAsia"/>
          <w:b/>
          <w:bCs/>
          <w:color w:val="auto"/>
          <w:kern w:val="2"/>
          <w:sz w:val="28"/>
          <w:szCs w:val="44"/>
          <w:highlight w:val="none"/>
          <w:lang w:val="en-US" w:eastAsia="zh-CN"/>
        </w:rPr>
        <w:t>竞争性谈判</w:t>
      </w:r>
      <w:r>
        <w:rPr>
          <w:rFonts w:hint="eastAsia" w:asciiTheme="majorEastAsia" w:hAnsiTheme="majorEastAsia" w:eastAsiaTheme="majorEastAsia" w:cstheme="majorEastAsia"/>
          <w:b/>
          <w:bCs/>
          <w:color w:val="auto"/>
          <w:kern w:val="2"/>
          <w:sz w:val="28"/>
          <w:szCs w:val="44"/>
          <w:highlight w:val="none"/>
        </w:rPr>
        <w:t>须知</w:t>
      </w:r>
      <w:r>
        <w:rPr>
          <w:rFonts w:hint="eastAsia" w:asciiTheme="majorEastAsia" w:hAnsiTheme="majorEastAsia" w:eastAsiaTheme="majorEastAsia" w:cstheme="majorEastAsia"/>
          <w:b/>
          <w:bCs/>
          <w:color w:val="auto"/>
          <w:kern w:val="2"/>
          <w:sz w:val="28"/>
          <w:szCs w:val="44"/>
          <w:highlight w:val="none"/>
          <w:lang w:val="en-US" w:eastAsia="zh-CN"/>
        </w:rPr>
        <w:t>.........................................</w:t>
      </w:r>
      <w:r>
        <w:rPr>
          <w:rFonts w:hint="eastAsia" w:asciiTheme="majorEastAsia" w:hAnsiTheme="majorEastAsia" w:eastAsiaTheme="majorEastAsia" w:cstheme="majorEastAsia"/>
          <w:b/>
          <w:bCs/>
          <w:color w:val="auto"/>
          <w:sz w:val="28"/>
          <w:szCs w:val="24"/>
          <w:highlight w:val="none"/>
          <w:lang w:val="en-US" w:eastAsia="zh-CN"/>
        </w:rPr>
        <w:t>6</w:t>
      </w:r>
      <w:r>
        <w:rPr>
          <w:rFonts w:hint="eastAsia" w:asciiTheme="majorEastAsia" w:hAnsiTheme="majorEastAsia" w:eastAsiaTheme="majorEastAsia" w:cstheme="majorEastAsia"/>
          <w:b/>
          <w:bCs/>
          <w:color w:val="auto"/>
          <w:sz w:val="28"/>
          <w:szCs w:val="40"/>
          <w:highlight w:val="none"/>
        </w:rPr>
        <w:fldChar w:fldCharType="end"/>
      </w:r>
    </w:p>
    <w:p w14:paraId="4473F23C">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_Toc12353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 xml:space="preserve">第三章  </w:t>
      </w:r>
      <w:r>
        <w:rPr>
          <w:rFonts w:hint="eastAsia" w:asciiTheme="majorEastAsia" w:hAnsiTheme="majorEastAsia" w:eastAsiaTheme="majorEastAsia" w:cstheme="majorEastAsia"/>
          <w:b/>
          <w:bCs/>
          <w:color w:val="auto"/>
          <w:sz w:val="28"/>
          <w:szCs w:val="40"/>
          <w:highlight w:val="none"/>
          <w:lang w:val="en-US" w:eastAsia="zh-CN"/>
        </w:rPr>
        <w:t>采购需求</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...1</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7</w:t>
      </w:r>
    </w:p>
    <w:p w14:paraId="4DE78E20">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_Toc16371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4"/>
          <w:highlight w:val="none"/>
          <w:lang w:val="en-US" w:eastAsia="zh-CN"/>
        </w:rPr>
        <w:t>第四章  评</w:t>
      </w:r>
      <w:r>
        <w:rPr>
          <w:rFonts w:hint="eastAsia" w:asciiTheme="majorEastAsia" w:hAnsiTheme="majorEastAsia" w:eastAsiaTheme="majorEastAsia" w:cstheme="majorEastAsia"/>
          <w:b/>
          <w:bCs/>
          <w:strike w:val="0"/>
          <w:dstrike w:val="0"/>
          <w:color w:val="auto"/>
          <w:kern w:val="2"/>
          <w:sz w:val="28"/>
          <w:szCs w:val="44"/>
          <w:highlight w:val="none"/>
          <w:lang w:val="en-US" w:eastAsia="zh-CN"/>
        </w:rPr>
        <w:t>审方</w:t>
      </w:r>
      <w:r>
        <w:rPr>
          <w:rFonts w:hint="eastAsia" w:asciiTheme="majorEastAsia" w:hAnsiTheme="majorEastAsia" w:eastAsiaTheme="majorEastAsia" w:cstheme="majorEastAsia"/>
          <w:b/>
          <w:bCs/>
          <w:color w:val="auto"/>
          <w:kern w:val="2"/>
          <w:sz w:val="28"/>
          <w:szCs w:val="44"/>
          <w:highlight w:val="none"/>
          <w:lang w:val="en-US" w:eastAsia="zh-CN"/>
        </w:rPr>
        <w:t>法与标准</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1</w:t>
      </w:r>
    </w:p>
    <w:p w14:paraId="7143EA37">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_Toc27586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第五章  </w:t>
      </w:r>
      <w:r>
        <w:rPr>
          <w:rFonts w:hint="eastAsia" w:asciiTheme="majorEastAsia" w:hAnsiTheme="majorEastAsia" w:eastAsiaTheme="majorEastAsia" w:cstheme="majorEastAsia"/>
          <w:b/>
          <w:bCs/>
          <w:color w:val="auto"/>
          <w:sz w:val="28"/>
          <w:szCs w:val="24"/>
          <w:highlight w:val="none"/>
        </w:rPr>
        <w:t>政府采购合同主要条款</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2</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4</w:t>
      </w:r>
    </w:p>
    <w:p w14:paraId="1B92A2FD">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_Toc1812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kern w:val="2"/>
          <w:sz w:val="28"/>
          <w:szCs w:val="48"/>
          <w:highlight w:val="none"/>
          <w:lang w:val="zh-CN"/>
        </w:rPr>
        <w:t>第</w:t>
      </w:r>
      <w:r>
        <w:rPr>
          <w:rFonts w:hint="eastAsia" w:asciiTheme="majorEastAsia" w:hAnsiTheme="majorEastAsia" w:eastAsiaTheme="majorEastAsia" w:cstheme="majorEastAsia"/>
          <w:b/>
          <w:bCs/>
          <w:color w:val="auto"/>
          <w:kern w:val="2"/>
          <w:sz w:val="28"/>
          <w:szCs w:val="48"/>
          <w:highlight w:val="none"/>
          <w:lang w:val="en-US" w:eastAsia="zh-CN"/>
        </w:rPr>
        <w:t>六</w:t>
      </w:r>
      <w:r>
        <w:rPr>
          <w:rFonts w:hint="eastAsia" w:asciiTheme="majorEastAsia" w:hAnsiTheme="majorEastAsia" w:eastAsiaTheme="majorEastAsia" w:cstheme="majorEastAsia"/>
          <w:b/>
          <w:bCs/>
          <w:color w:val="auto"/>
          <w:kern w:val="2"/>
          <w:sz w:val="28"/>
          <w:szCs w:val="48"/>
          <w:highlight w:val="none"/>
          <w:lang w:val="zh-CN"/>
        </w:rPr>
        <w:t xml:space="preserve">章  </w:t>
      </w:r>
      <w:r>
        <w:rPr>
          <w:rFonts w:hint="eastAsia" w:asciiTheme="majorEastAsia" w:hAnsiTheme="majorEastAsia" w:eastAsiaTheme="majorEastAsia" w:cstheme="majorEastAsia"/>
          <w:b/>
          <w:bCs/>
          <w:color w:val="auto"/>
          <w:kern w:val="2"/>
          <w:sz w:val="28"/>
          <w:szCs w:val="48"/>
          <w:highlight w:val="none"/>
        </w:rPr>
        <w:t>响应文件格式</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4</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3</w:t>
      </w:r>
    </w:p>
    <w:p w14:paraId="78B5310B">
      <w:pPr>
        <w:pStyle w:val="29"/>
        <w:tabs>
          <w:tab w:val="right" w:leader="dot" w:pos="9070"/>
        </w:tabs>
        <w:spacing w:line="360" w:lineRule="auto"/>
        <w:rPr>
          <w:rFonts w:hint="eastAsia" w:asciiTheme="majorEastAsia" w:hAnsiTheme="majorEastAsia" w:eastAsiaTheme="majorEastAsia" w:cstheme="majorEastAsia"/>
          <w:b/>
          <w:bCs/>
          <w:color w:val="auto"/>
          <w:sz w:val="28"/>
          <w:szCs w:val="24"/>
          <w:highlight w:val="none"/>
          <w:lang w:val="en-US" w:eastAsia="zh-CN"/>
        </w:rPr>
      </w:pPr>
      <w:r>
        <w:rPr>
          <w:rFonts w:hint="eastAsia" w:asciiTheme="majorEastAsia" w:hAnsiTheme="majorEastAsia" w:eastAsiaTheme="majorEastAsia" w:cstheme="majorEastAsia"/>
          <w:b/>
          <w:bCs/>
          <w:color w:val="auto"/>
          <w:sz w:val="28"/>
          <w:szCs w:val="40"/>
          <w:highlight w:val="none"/>
        </w:rPr>
        <w:fldChar w:fldCharType="begin"/>
      </w:r>
      <w:r>
        <w:rPr>
          <w:rFonts w:hint="eastAsia" w:asciiTheme="majorEastAsia" w:hAnsiTheme="majorEastAsia" w:eastAsiaTheme="majorEastAsia" w:cstheme="majorEastAsia"/>
          <w:b/>
          <w:bCs/>
          <w:color w:val="auto"/>
          <w:sz w:val="28"/>
          <w:szCs w:val="40"/>
          <w:highlight w:val="none"/>
        </w:rPr>
        <w:instrText xml:space="preserve"> HYPERLINK \l _Toc2700 </w:instrText>
      </w:r>
      <w:r>
        <w:rPr>
          <w:rFonts w:hint="eastAsia" w:asciiTheme="majorEastAsia" w:hAnsiTheme="majorEastAsia" w:eastAsiaTheme="majorEastAsia" w:cstheme="majorEastAsia"/>
          <w:b/>
          <w:bCs/>
          <w:color w:val="auto"/>
          <w:sz w:val="28"/>
          <w:szCs w:val="40"/>
          <w:highlight w:val="none"/>
        </w:rPr>
        <w:fldChar w:fldCharType="separate"/>
      </w:r>
      <w:r>
        <w:rPr>
          <w:rFonts w:hint="eastAsia" w:asciiTheme="majorEastAsia" w:hAnsiTheme="majorEastAsia" w:eastAsiaTheme="majorEastAsia" w:cstheme="majorEastAsia"/>
          <w:b/>
          <w:bCs/>
          <w:color w:val="auto"/>
          <w:sz w:val="28"/>
          <w:szCs w:val="24"/>
          <w:highlight w:val="none"/>
          <w:lang w:val="en-US" w:eastAsia="zh-CN"/>
        </w:rPr>
        <w:t xml:space="preserve">第七章  </w:t>
      </w:r>
      <w:r>
        <w:rPr>
          <w:rFonts w:hint="eastAsia" w:asciiTheme="majorEastAsia" w:hAnsiTheme="majorEastAsia" w:eastAsiaTheme="majorEastAsia" w:cstheme="majorEastAsia"/>
          <w:b/>
          <w:bCs/>
          <w:color w:val="auto"/>
          <w:sz w:val="28"/>
          <w:szCs w:val="24"/>
          <w:highlight w:val="none"/>
        </w:rPr>
        <w:t>政府采购供应商质疑函范本</w:t>
      </w:r>
      <w:r>
        <w:rPr>
          <w:rFonts w:hint="eastAsia" w:asciiTheme="majorEastAsia" w:hAnsiTheme="majorEastAsia" w:eastAsiaTheme="majorEastAsia" w:cstheme="majorEastAsia"/>
          <w:b/>
          <w:bCs/>
          <w:color w:val="auto"/>
          <w:sz w:val="28"/>
          <w:szCs w:val="24"/>
          <w:highlight w:val="none"/>
        </w:rPr>
        <w:tab/>
      </w:r>
      <w:r>
        <w:rPr>
          <w:rFonts w:hint="eastAsia" w:asciiTheme="majorEastAsia" w:hAnsiTheme="majorEastAsia" w:eastAsiaTheme="majorEastAsia" w:cstheme="majorEastAsia"/>
          <w:b/>
          <w:bCs/>
          <w:color w:val="auto"/>
          <w:sz w:val="28"/>
          <w:szCs w:val="24"/>
          <w:highlight w:val="none"/>
          <w:lang w:val="en-US" w:eastAsia="zh-CN"/>
        </w:rPr>
        <w:t>.5</w:t>
      </w:r>
      <w:r>
        <w:rPr>
          <w:rFonts w:hint="eastAsia" w:asciiTheme="majorEastAsia" w:hAnsiTheme="majorEastAsia" w:eastAsiaTheme="majorEastAsia" w:cstheme="majorEastAsia"/>
          <w:b/>
          <w:bCs/>
          <w:color w:val="auto"/>
          <w:sz w:val="28"/>
          <w:szCs w:val="40"/>
          <w:highlight w:val="none"/>
        </w:rPr>
        <w:fldChar w:fldCharType="end"/>
      </w:r>
      <w:r>
        <w:rPr>
          <w:rFonts w:hint="eastAsia" w:asciiTheme="majorEastAsia" w:hAnsiTheme="majorEastAsia" w:eastAsiaTheme="majorEastAsia" w:cstheme="majorEastAsia"/>
          <w:b/>
          <w:bCs/>
          <w:color w:val="auto"/>
          <w:sz w:val="28"/>
          <w:szCs w:val="40"/>
          <w:highlight w:val="none"/>
          <w:lang w:val="en-US" w:eastAsia="zh-CN"/>
        </w:rPr>
        <w:t>5</w:t>
      </w:r>
    </w:p>
    <w:p w14:paraId="3353468B">
      <w:pPr>
        <w:pStyle w:val="20"/>
        <w:tabs>
          <w:tab w:val="right" w:leader="dot" w:pos="9060"/>
        </w:tabs>
        <w:spacing w:line="360" w:lineRule="auto"/>
        <w:rPr>
          <w:color w:val="auto"/>
          <w:szCs w:val="21"/>
          <w:highlight w:val="none"/>
        </w:rPr>
        <w:sectPr>
          <w:headerReference r:id="rId7" w:type="default"/>
          <w:footerReference r:id="rId8"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rFonts w:hint="eastAsia" w:asciiTheme="majorEastAsia" w:hAnsiTheme="majorEastAsia" w:eastAsiaTheme="majorEastAsia" w:cstheme="majorEastAsia"/>
          <w:b/>
          <w:bCs/>
          <w:color w:val="auto"/>
          <w:sz w:val="28"/>
          <w:szCs w:val="40"/>
          <w:highlight w:val="none"/>
        </w:rPr>
        <w:fldChar w:fldCharType="end"/>
      </w:r>
      <w:bookmarkStart w:id="5" w:name="_Toc7432"/>
    </w:p>
    <w:p w14:paraId="35D3DCA8">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rPr>
        <w:t xml:space="preserve">第一章   </w:t>
      </w:r>
      <w:bookmarkEnd w:id="1"/>
      <w:bookmarkEnd w:id="2"/>
      <w:bookmarkEnd w:id="3"/>
      <w:bookmarkEnd w:id="5"/>
      <w:r>
        <w:rPr>
          <w:rFonts w:hint="eastAsia" w:ascii="宋体" w:hAnsi="宋体" w:eastAsia="宋体" w:cs="宋体"/>
          <w:b/>
          <w:bCs/>
          <w:color w:val="auto"/>
          <w:kern w:val="2"/>
          <w:sz w:val="36"/>
          <w:szCs w:val="36"/>
          <w:highlight w:val="none"/>
          <w:lang w:val="en-US" w:eastAsia="zh-CN"/>
        </w:rPr>
        <w:t>谈判邀请</w:t>
      </w:r>
    </w:p>
    <w:p w14:paraId="2999F2B8">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6" w:name="_Toc35393797"/>
      <w:bookmarkStart w:id="7" w:name="_Toc28359011"/>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bCs/>
          <w:color w:val="auto"/>
          <w:kern w:val="44"/>
          <w:sz w:val="32"/>
          <w:szCs w:val="32"/>
          <w:highlight w:val="none"/>
          <w:lang w:val="en-US" w:eastAsia="zh-CN"/>
        </w:rPr>
        <w:t>桐城师范高等专科学校教学楼课桌椅采购项目</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bCs/>
          <w:color w:val="auto"/>
          <w:kern w:val="44"/>
          <w:sz w:val="32"/>
          <w:szCs w:val="32"/>
          <w:highlight w:val="none"/>
        </w:rPr>
      </w:pPr>
      <w:r>
        <w:rPr>
          <w:rFonts w:hint="eastAsia" w:asciiTheme="majorEastAsia" w:hAnsiTheme="majorEastAsia" w:eastAsiaTheme="majorEastAsia" w:cstheme="majorEastAsia"/>
          <w:b/>
          <w:bCs/>
          <w:color w:val="auto"/>
          <w:kern w:val="44"/>
          <w:sz w:val="32"/>
          <w:szCs w:val="32"/>
          <w:highlight w:val="none"/>
          <w:lang w:val="en-US" w:eastAsia="zh-CN"/>
        </w:rPr>
        <w:t>竞争性谈判</w:t>
      </w:r>
      <w:r>
        <w:rPr>
          <w:rFonts w:hint="eastAsia" w:asciiTheme="majorEastAsia" w:hAnsiTheme="majorEastAsia" w:eastAsiaTheme="majorEastAsia" w:cstheme="majorEastAsia"/>
          <w:b/>
          <w:bCs/>
          <w:color w:val="auto"/>
          <w:kern w:val="44"/>
          <w:sz w:val="32"/>
          <w:szCs w:val="32"/>
          <w:highlight w:val="none"/>
        </w:rPr>
        <w:t>公告</w:t>
      </w:r>
      <w:bookmarkEnd w:id="6"/>
      <w:bookmarkEnd w:id="7"/>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Autospacing="0" w:line="640" w:lineRule="exact"/>
              <w:ind w:right="0"/>
              <w:jc w:val="both"/>
              <w:textAlignment w:val="auto"/>
              <w:rPr>
                <w:rFonts w:hint="eastAsia" w:asciiTheme="minorEastAsia" w:hAnsiTheme="minorEastAsia" w:eastAsiaTheme="minorEastAsia" w:cstheme="minorEastAsia"/>
                <w:color w:val="333333"/>
                <w:sz w:val="28"/>
                <w:szCs w:val="28"/>
              </w:rPr>
            </w:pPr>
            <w:bookmarkStart w:id="8" w:name="OLE_LINK7"/>
            <w:bookmarkStart w:id="9" w:name="OLE_LINK1"/>
            <w:r>
              <w:rPr>
                <w:rFonts w:hint="eastAsia" w:asciiTheme="minorEastAsia" w:hAnsiTheme="minorEastAsia" w:eastAsiaTheme="minorEastAsia" w:cstheme="minorEastAsia"/>
                <w:color w:val="333333"/>
                <w:kern w:val="0"/>
                <w:sz w:val="28"/>
                <w:szCs w:val="28"/>
                <w:lang w:val="en-US" w:eastAsia="zh-CN" w:bidi="ar"/>
              </w:rPr>
              <w:t>项目概况</w:t>
            </w:r>
          </w:p>
          <w:p w14:paraId="78714DEE">
            <w:pPr>
              <w:keepNext w:val="0"/>
              <w:keepLines w:val="0"/>
              <w:pageBreakBefore w:val="0"/>
              <w:kinsoku/>
              <w:wordWrap/>
              <w:overflowPunct/>
              <w:topLinePunct w:val="0"/>
              <w:autoSpaceDE/>
              <w:autoSpaceDN/>
              <w:bidi w:val="0"/>
              <w:snapToGrid/>
              <w:spacing w:beforeAutospacing="0" w:line="640" w:lineRule="exact"/>
              <w:ind w:firstLine="560" w:firstLineChars="200"/>
              <w:textAlignment w:val="auto"/>
              <w:rPr>
                <w:color w:val="auto"/>
                <w:highlight w:val="none"/>
              </w:rPr>
            </w:pPr>
            <w:r>
              <w:rPr>
                <w:rFonts w:hint="eastAsia" w:asciiTheme="minorEastAsia" w:hAnsiTheme="minorEastAsia" w:eastAsiaTheme="minorEastAsia" w:cstheme="minorEastAsia"/>
                <w:color w:val="333333"/>
                <w:kern w:val="0"/>
                <w:sz w:val="28"/>
                <w:szCs w:val="28"/>
                <w:u w:val="single"/>
                <w:lang w:val="en-US" w:eastAsia="zh-CN" w:bidi="ar"/>
              </w:rPr>
              <w:t>桐城师范高等专科学校教学楼课桌椅采购项目</w:t>
            </w:r>
            <w:r>
              <w:rPr>
                <w:rFonts w:hint="eastAsia" w:asciiTheme="minorEastAsia" w:hAnsiTheme="minorEastAsia" w:eastAsiaTheme="minorEastAsia" w:cstheme="minorEastAsia"/>
                <w:color w:val="333333"/>
                <w:kern w:val="0"/>
                <w:sz w:val="28"/>
                <w:szCs w:val="28"/>
                <w:lang w:val="en-US" w:eastAsia="zh-CN" w:bidi="ar"/>
              </w:rPr>
              <w:t>的潜在供应商应在桐城师范高等专科学校官网和安庆市公共资源交易服务网“限额以下项目”上获取采购文件，并于2026年5月13日09时00分（北京时间）前提交响应文件。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0" w:name="_Toc28359089"/>
      <w:bookmarkStart w:id="11" w:name="_Toc35393798"/>
      <w:bookmarkStart w:id="12" w:name="_Toc35393629"/>
      <w:bookmarkStart w:id="13" w:name="_Toc28359012"/>
      <w:r>
        <w:rPr>
          <w:rFonts w:hint="eastAsia" w:asciiTheme="minorEastAsia" w:hAnsiTheme="minorEastAsia" w:eastAsiaTheme="minorEastAsia" w:cstheme="minorEastAsia"/>
          <w:b/>
          <w:bCs w:val="0"/>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1.1项目编号：TCSZCG(2026)006号</w:t>
      </w:r>
    </w:p>
    <w:p w14:paraId="57A52CC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1.2项目名称：桐城师范高等专科学校教学楼课桌椅采购项目</w:t>
      </w:r>
    </w:p>
    <w:p w14:paraId="6253FAF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1.3采购方式：竞争性谈判</w:t>
      </w:r>
    </w:p>
    <w:p w14:paraId="1FE109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1.4预算金额：354530.00元</w:t>
      </w:r>
    </w:p>
    <w:p w14:paraId="7B6913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1.5最高限价：354530.00元</w:t>
      </w:r>
    </w:p>
    <w:p w14:paraId="79DF3AC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1.6采购需求：桐城师范高等专科学校教学楼课桌椅采购，详见采购需求。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1.7合同履行期限：合同签订后60日历天完成供货、安装调试及采购人其他要求。</w:t>
      </w:r>
    </w:p>
    <w:p w14:paraId="0788DD7D">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1.8本项目不接受联合体。</w:t>
      </w:r>
    </w:p>
    <w:p w14:paraId="485E3833">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14" w:name="_Toc28359090"/>
      <w:bookmarkStart w:id="15" w:name="_Toc28359013"/>
      <w:bookmarkStart w:id="16" w:name="_Toc35393799"/>
      <w:bookmarkStart w:id="17" w:name="_Toc35393630"/>
      <w:r>
        <w:rPr>
          <w:rFonts w:hint="eastAsia" w:asciiTheme="minorEastAsia" w:hAnsiTheme="minorEastAsia" w:eastAsiaTheme="minorEastAsia" w:cstheme="minorEastAsia"/>
          <w:b/>
          <w:bCs w:val="0"/>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18" w:name="_Toc28359014"/>
      <w:bookmarkStart w:id="19" w:name="_Toc28359091"/>
      <w:bookmarkStart w:id="20" w:name="_Toc35393800"/>
      <w:bookmarkStart w:id="21" w:name="_Toc35393631"/>
      <w:r>
        <w:rPr>
          <w:rFonts w:hint="eastAsia" w:asciiTheme="minorEastAsia" w:hAnsiTheme="minorEastAsia" w:eastAsiaTheme="minorEastAsia" w:cstheme="minorEastAsia"/>
          <w:color w:val="auto"/>
          <w:sz w:val="28"/>
          <w:szCs w:val="28"/>
          <w:highlight w:val="none"/>
          <w:lang w:val="en-US" w:eastAsia="zh-CN"/>
        </w:rPr>
        <w:t>2.1满足《中华人民共和国政府采购法》第二十二条规定；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2.2落实政府采购政策需满足的资格要求：/；</w:t>
      </w:r>
    </w:p>
    <w:p w14:paraId="5D5DC7E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2.3本项目的特定资格要求：/。</w:t>
      </w:r>
    </w:p>
    <w:p w14:paraId="51A2CBF6">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3.1获取时间：2026年5月13日09时00分前（北京时间）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3.2获取地点：桐城师范高等专科学校官网和安庆市公共资源交易服务网“限额以下项目”自行下载。</w:t>
      </w:r>
    </w:p>
    <w:p w14:paraId="0A959C9A">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2" w:name="_Toc28359092"/>
      <w:bookmarkStart w:id="23" w:name="_Toc35393801"/>
      <w:bookmarkStart w:id="24" w:name="_Toc35393632"/>
      <w:bookmarkStart w:id="25" w:name="_Toc28359015"/>
      <w:r>
        <w:rPr>
          <w:rFonts w:hint="eastAsia" w:asciiTheme="minorEastAsia" w:hAnsiTheme="minorEastAsia" w:eastAsiaTheme="minorEastAsia" w:cstheme="minorEastAsia"/>
          <w:color w:val="auto"/>
          <w:sz w:val="28"/>
          <w:szCs w:val="28"/>
          <w:highlight w:val="none"/>
          <w:lang w:val="en-US" w:eastAsia="zh-CN"/>
        </w:rPr>
        <w:t>3.3文件售价：每套人民币0元。</w:t>
      </w:r>
    </w:p>
    <w:p w14:paraId="568EE227">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26" w:name="_Toc28359016"/>
      <w:bookmarkStart w:id="27" w:name="_Toc35393633"/>
      <w:bookmarkStart w:id="28" w:name="_Toc35393802"/>
      <w:bookmarkStart w:id="29" w:name="_Toc28359093"/>
      <w:r>
        <w:rPr>
          <w:rFonts w:hint="eastAsia" w:asciiTheme="minorEastAsia" w:hAnsiTheme="minorEastAsia" w:eastAsiaTheme="minorEastAsia" w:cstheme="minorEastAsia"/>
          <w:color w:val="auto"/>
          <w:sz w:val="28"/>
          <w:szCs w:val="28"/>
          <w:highlight w:val="none"/>
          <w:lang w:val="en-US" w:eastAsia="zh-CN"/>
        </w:rPr>
        <w:t>4.1截止时间：2026年5月13日09时00分（北京时间）</w:t>
      </w:r>
    </w:p>
    <w:p w14:paraId="38E049D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4.2提交文件地点：纸质响应文件提交至桐城市民营经济开发区朝阳玉雕城A-15</w:t>
      </w:r>
    </w:p>
    <w:p w14:paraId="281FBBEC">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bookmarkStart w:id="30" w:name="_Toc28359094"/>
      <w:bookmarkStart w:id="31" w:name="_Toc28359017"/>
      <w:bookmarkStart w:id="32" w:name="_Toc35393803"/>
      <w:bookmarkStart w:id="33" w:name="_Toc35393634"/>
      <w:r>
        <w:rPr>
          <w:rFonts w:hint="eastAsia" w:asciiTheme="minorEastAsia" w:hAnsiTheme="minorEastAsia" w:eastAsiaTheme="minorEastAsia" w:cstheme="minorEastAsia"/>
          <w:color w:val="auto"/>
          <w:sz w:val="28"/>
          <w:szCs w:val="28"/>
          <w:highlight w:val="none"/>
          <w:lang w:val="en-US" w:eastAsia="zh-CN"/>
        </w:rPr>
        <w:t>5.1时间：2026年5月13日09时00分（北京时间）</w:t>
      </w:r>
    </w:p>
    <w:p w14:paraId="05485D83">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5.2地点：桐城市民营经济开发区朝阳玉雕城A-15</w:t>
      </w:r>
    </w:p>
    <w:p w14:paraId="10F4E9FE">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本次谈判公告同时在桐城师范高等专科学校官网和安庆市公共资源交易服务网“限额以下项目”上发布，期限为自公告发布之日起3个工作日。</w:t>
      </w:r>
    </w:p>
    <w:p w14:paraId="7BC75874">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rPr>
      </w:pPr>
      <w:bookmarkStart w:id="34" w:name="_Toc35393804"/>
      <w:bookmarkStart w:id="35" w:name="_Toc35393635"/>
      <w:r>
        <w:rPr>
          <w:rFonts w:hint="eastAsia" w:asciiTheme="minorEastAsia" w:hAnsiTheme="minorEastAsia" w:eastAsiaTheme="minorEastAsia" w:cstheme="minorEastAsia"/>
          <w:b/>
          <w:bCs w:val="0"/>
          <w:color w:val="auto"/>
          <w:sz w:val="28"/>
          <w:szCs w:val="28"/>
          <w:highlight w:val="none"/>
          <w:lang w:val="en-US" w:eastAsia="zh-CN"/>
        </w:rPr>
        <w:t>七、</w:t>
      </w:r>
      <w:r>
        <w:rPr>
          <w:rFonts w:hint="eastAsia" w:asciiTheme="minorEastAsia" w:hAnsiTheme="minorEastAsia" w:eastAsiaTheme="minorEastAsia" w:cstheme="minorEastAsia"/>
          <w:b/>
          <w:bCs w:val="0"/>
          <w:color w:val="auto"/>
          <w:sz w:val="28"/>
          <w:szCs w:val="28"/>
          <w:highlight w:val="none"/>
        </w:rPr>
        <w:t>其他补充事宜</w:t>
      </w:r>
      <w:bookmarkEnd w:id="34"/>
      <w:bookmarkEnd w:id="35"/>
    </w:p>
    <w:bookmarkEnd w:id="8"/>
    <w:bookmarkEnd w:id="9"/>
    <w:p w14:paraId="5785056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7.1响应文件要求：投标时需将“响应文件”分正/副本（一正、一副）一起装袋密封，响应文件的密封袋的封口骑缝处应加盖供应商公章。未按要求装订密封，现场报名时招标代理将拒绝接收。 </w:t>
      </w:r>
    </w:p>
    <w:p w14:paraId="7ED76162">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7.2中标单位应按照中标通知书要求及时与采购人签订合同并完成备案，否则将记入不良行为记录，并予以披露。</w:t>
      </w:r>
    </w:p>
    <w:p w14:paraId="3D630712">
      <w:pPr>
        <w:keepNext w:val="0"/>
        <w:keepLines w:val="0"/>
        <w:pageBreakBefore w:val="0"/>
        <w:kinsoku/>
        <w:wordWrap/>
        <w:overflowPunct/>
        <w:topLinePunct w:val="0"/>
        <w:autoSpaceDE/>
        <w:autoSpaceDN/>
        <w:bidi w:val="0"/>
        <w:snapToGrid/>
        <w:spacing w:line="640" w:lineRule="exact"/>
        <w:textAlignment w:val="auto"/>
        <w:rPr>
          <w:rFonts w:hint="eastAsia"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lang w:val="en-US" w:eastAsia="zh-CN"/>
        </w:rPr>
        <w:t>八、凡对本次采购提出询问，请按以下方式联系。</w:t>
      </w:r>
    </w:p>
    <w:p w14:paraId="34E52F46">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8.1采购人信息</w:t>
      </w:r>
    </w:p>
    <w:p w14:paraId="69A662C4">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名称：桐城师范高等专科学校</w:t>
      </w:r>
    </w:p>
    <w:p w14:paraId="562B78D0">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地址：安徽省桐城市经开区学苑路199号</w:t>
      </w:r>
    </w:p>
    <w:p w14:paraId="5795DDD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联系人：项老师      联系方式：0556-6181576</w:t>
      </w:r>
    </w:p>
    <w:p w14:paraId="61285A9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8.2采购代理机构信息</w:t>
      </w:r>
    </w:p>
    <w:p w14:paraId="6BD76D67">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名称：安徽文都招标代理咨询有限公司</w:t>
      </w:r>
    </w:p>
    <w:p w14:paraId="62603ECB">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地址：桐城市民营经济开发区朝阳玉雕城A-15</w:t>
      </w:r>
    </w:p>
    <w:p w14:paraId="68C2F881">
      <w:pPr>
        <w:keepNext w:val="0"/>
        <w:keepLines w:val="0"/>
        <w:pageBreakBefore w:val="0"/>
        <w:widowControl w:val="0"/>
        <w:kinsoku/>
        <w:wordWrap/>
        <w:overflowPunct/>
        <w:topLinePunct w:val="0"/>
        <w:autoSpaceDE/>
        <w:autoSpaceDN/>
        <w:bidi w:val="0"/>
        <w:adjustRightInd/>
        <w:snapToGrid/>
        <w:spacing w:line="640" w:lineRule="exact"/>
        <w:ind w:firstLine="280" w:firstLineChars="1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联系人：赵女士          联系方式：0556-6567777</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4"/>
    <w:p w14:paraId="417B9442">
      <w:pPr>
        <w:pStyle w:val="3"/>
        <w:tabs>
          <w:tab w:val="left" w:pos="1440"/>
          <w:tab w:val="left" w:pos="5670"/>
        </w:tabs>
        <w:spacing w:before="62" w:beforeLines="20" w:after="0" w:afterAutospacing="0" w:line="480" w:lineRule="exact"/>
        <w:ind w:firstLine="0" w:firstLineChars="0"/>
        <w:jc w:val="center"/>
        <w:rPr>
          <w:rFonts w:hint="eastAsia" w:ascii="宋体" w:hAnsi="宋体" w:eastAsia="宋体" w:cs="宋体"/>
          <w:b/>
          <w:bCs/>
          <w:color w:val="auto"/>
          <w:kern w:val="2"/>
          <w:sz w:val="36"/>
          <w:szCs w:val="36"/>
          <w:highlight w:val="none"/>
        </w:rPr>
      </w:pPr>
      <w:bookmarkStart w:id="36" w:name="_Toc26069"/>
      <w:bookmarkStart w:id="37" w:name="_Toc54941329"/>
      <w:bookmarkStart w:id="38" w:name="_Toc11266"/>
      <w:bookmarkStart w:id="39" w:name="_Toc54941331"/>
      <w:bookmarkStart w:id="40" w:name="_Toc439316872"/>
      <w:bookmarkStart w:id="41" w:name="_Toc2521"/>
      <w:r>
        <w:rPr>
          <w:rFonts w:hint="eastAsia" w:ascii="宋体" w:hAnsi="宋体" w:eastAsia="宋体" w:cs="宋体"/>
          <w:b/>
          <w:bCs/>
          <w:color w:val="auto"/>
          <w:kern w:val="2"/>
          <w:sz w:val="36"/>
          <w:szCs w:val="36"/>
          <w:highlight w:val="none"/>
        </w:rPr>
        <w:t xml:space="preserve">第二章   </w:t>
      </w:r>
      <w:r>
        <w:rPr>
          <w:rFonts w:hint="eastAsia" w:ascii="宋体" w:hAnsi="宋体" w:eastAsia="宋体" w:cs="宋体"/>
          <w:b/>
          <w:bCs/>
          <w:color w:val="auto"/>
          <w:kern w:val="2"/>
          <w:sz w:val="36"/>
          <w:szCs w:val="36"/>
          <w:highlight w:val="none"/>
          <w:lang w:val="en-US" w:eastAsia="zh-CN"/>
        </w:rPr>
        <w:t>竞争性谈判</w:t>
      </w:r>
      <w:r>
        <w:rPr>
          <w:rFonts w:hint="eastAsia" w:ascii="宋体" w:hAnsi="宋体" w:eastAsia="宋体" w:cs="宋体"/>
          <w:b/>
          <w:bCs/>
          <w:color w:val="auto"/>
          <w:kern w:val="2"/>
          <w:sz w:val="36"/>
          <w:szCs w:val="36"/>
          <w:highlight w:val="none"/>
        </w:rPr>
        <w:t>须知</w:t>
      </w:r>
      <w:bookmarkEnd w:id="36"/>
      <w:bookmarkEnd w:id="37"/>
      <w:bookmarkEnd w:id="38"/>
    </w:p>
    <w:p w14:paraId="62BB8DF9">
      <w:pPr>
        <w:pStyle w:val="3"/>
        <w:tabs>
          <w:tab w:val="left" w:pos="1440"/>
          <w:tab w:val="left" w:pos="5670"/>
        </w:tabs>
        <w:spacing w:before="0" w:beforeAutospacing="0" w:after="62" w:afterLines="20" w:line="480" w:lineRule="exact"/>
        <w:ind w:firstLine="0" w:firstLineChars="0"/>
        <w:jc w:val="center"/>
        <w:rPr>
          <w:rFonts w:hint="eastAsia" w:ascii="宋体" w:hAnsi="宋体" w:eastAsia="宋体" w:cs="宋体"/>
          <w:b/>
          <w:bCs/>
          <w:color w:val="auto"/>
          <w:kern w:val="2"/>
          <w:sz w:val="32"/>
          <w:szCs w:val="32"/>
          <w:highlight w:val="none"/>
          <w:lang w:eastAsia="zh-CN"/>
        </w:rPr>
      </w:pPr>
      <w:bookmarkStart w:id="42" w:name="_Toc17862"/>
      <w:bookmarkStart w:id="43" w:name="_Toc439316871"/>
      <w:bookmarkStart w:id="44" w:name="_Toc54941330"/>
      <w:r>
        <w:rPr>
          <w:rFonts w:hint="eastAsia" w:ascii="宋体" w:hAnsi="宋体" w:eastAsia="宋体" w:cs="宋体"/>
          <w:b/>
          <w:bCs/>
          <w:color w:val="auto"/>
          <w:kern w:val="2"/>
          <w:sz w:val="32"/>
          <w:szCs w:val="32"/>
          <w:highlight w:val="none"/>
        </w:rPr>
        <w:t xml:space="preserve">第一节 </w:t>
      </w:r>
      <w:bookmarkEnd w:id="42"/>
      <w:bookmarkEnd w:id="43"/>
      <w:bookmarkEnd w:id="44"/>
      <w:r>
        <w:rPr>
          <w:rFonts w:hint="eastAsia" w:ascii="宋体" w:hAnsi="宋体" w:eastAsia="宋体" w:cs="宋体"/>
          <w:b/>
          <w:bCs/>
          <w:color w:val="auto"/>
          <w:kern w:val="2"/>
          <w:sz w:val="32"/>
          <w:szCs w:val="32"/>
          <w:highlight w:val="none"/>
          <w:lang w:eastAsia="zh-CN"/>
        </w:rPr>
        <w:t>谈判须知前附表</w:t>
      </w:r>
    </w:p>
    <w:tbl>
      <w:tblPr>
        <w:tblStyle w:val="41"/>
        <w:tblW w:w="10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2698"/>
        <w:gridCol w:w="7084"/>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00"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98"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7084"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0"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1</w:t>
            </w:r>
          </w:p>
        </w:tc>
        <w:tc>
          <w:tcPr>
            <w:tcW w:w="2698"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采购人</w:t>
            </w:r>
          </w:p>
        </w:tc>
        <w:tc>
          <w:tcPr>
            <w:tcW w:w="7084"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eastAsia="zh-CN"/>
              </w:rPr>
            </w:pPr>
            <w:r>
              <w:rPr>
                <w:rFonts w:hint="eastAsia" w:asciiTheme="minorEastAsia" w:hAnsiTheme="minorEastAsia" w:eastAsiaTheme="minorEastAsia" w:cstheme="minorEastAsia"/>
                <w:b/>
                <w:bCs/>
                <w:sz w:val="24"/>
                <w:szCs w:val="22"/>
                <w:lang w:val="en-US" w:eastAsia="zh-CN"/>
              </w:rPr>
              <w:t>2</w:t>
            </w:r>
          </w:p>
        </w:tc>
        <w:tc>
          <w:tcPr>
            <w:tcW w:w="2698"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采购</w:t>
            </w:r>
            <w:r>
              <w:rPr>
                <w:rFonts w:hint="eastAsia" w:asciiTheme="minorEastAsia" w:hAnsiTheme="minorEastAsia" w:eastAsiaTheme="minorEastAsia" w:cstheme="minorEastAsia"/>
                <w:sz w:val="24"/>
                <w:szCs w:val="22"/>
                <w:lang w:val="en-US" w:eastAsia="zh-CN"/>
              </w:rPr>
              <w:t>代理</w:t>
            </w:r>
            <w:r>
              <w:rPr>
                <w:rFonts w:hint="eastAsia" w:asciiTheme="minorEastAsia" w:hAnsiTheme="minorEastAsia" w:eastAsiaTheme="minorEastAsia" w:cstheme="minorEastAsia"/>
                <w:sz w:val="24"/>
                <w:szCs w:val="22"/>
              </w:rPr>
              <w:t>机构</w:t>
            </w:r>
          </w:p>
        </w:tc>
        <w:tc>
          <w:tcPr>
            <w:tcW w:w="7084"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3</w:t>
            </w:r>
          </w:p>
        </w:tc>
        <w:tc>
          <w:tcPr>
            <w:tcW w:w="2698"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申请人（供应商）</w:t>
            </w:r>
            <w:r>
              <w:rPr>
                <w:rFonts w:hint="eastAsia" w:asciiTheme="minorEastAsia" w:hAnsiTheme="minorEastAsia" w:eastAsiaTheme="minorEastAsia" w:cstheme="minorEastAsia"/>
                <w:sz w:val="24"/>
                <w:szCs w:val="22"/>
              </w:rPr>
              <w:t>资格要求</w:t>
            </w:r>
          </w:p>
        </w:tc>
        <w:tc>
          <w:tcPr>
            <w:tcW w:w="7084"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00"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4</w:t>
            </w:r>
          </w:p>
        </w:tc>
        <w:tc>
          <w:tcPr>
            <w:tcW w:w="2698"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现场考察</w:t>
            </w:r>
            <w:r>
              <w:rPr>
                <w:rFonts w:hint="eastAsia" w:asciiTheme="minorEastAsia" w:hAnsiTheme="minorEastAsia" w:eastAsiaTheme="minorEastAsia" w:cstheme="minorEastAsia"/>
                <w:sz w:val="24"/>
                <w:szCs w:val="22"/>
                <w:lang w:val="en-US" w:eastAsia="zh-CN"/>
              </w:rPr>
              <w:t>或标前答疑会</w:t>
            </w:r>
          </w:p>
        </w:tc>
        <w:tc>
          <w:tcPr>
            <w:tcW w:w="7084" w:type="dxa"/>
            <w:tcBorders>
              <w:top w:val="single" w:color="auto" w:sz="4" w:space="0"/>
              <w:left w:val="single" w:color="auto" w:sz="4" w:space="0"/>
              <w:bottom w:val="single" w:color="auto" w:sz="4" w:space="0"/>
            </w:tcBorders>
            <w:vAlign w:val="center"/>
          </w:tcPr>
          <w:p w14:paraId="772699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不组织</w:t>
            </w:r>
            <w:r>
              <w:rPr>
                <w:rFonts w:hint="eastAsia" w:asciiTheme="minorEastAsia" w:hAnsiTheme="minorEastAsia" w:eastAsiaTheme="minorEastAsia" w:cstheme="minorEastAsia"/>
                <w:sz w:val="24"/>
                <w:szCs w:val="22"/>
                <w:lang w:val="en-US" w:eastAsia="zh-CN"/>
              </w:rPr>
              <w:t>或不召开</w:t>
            </w:r>
          </w:p>
          <w:p w14:paraId="059EF7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rPr>
              <w:t>统一组织</w:t>
            </w:r>
            <w:r>
              <w:rPr>
                <w:rFonts w:hint="eastAsia" w:asciiTheme="minorEastAsia" w:hAnsiTheme="minorEastAsia" w:eastAsiaTheme="minorEastAsia" w:cstheme="minorEastAsia"/>
                <w:sz w:val="24"/>
                <w:szCs w:val="22"/>
                <w:lang w:val="en-US" w:eastAsia="zh-CN"/>
              </w:rPr>
              <w:t>或统一召开</w:t>
            </w:r>
          </w:p>
          <w:p w14:paraId="2B94F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时间：    年  月  日  时  分</w:t>
            </w:r>
          </w:p>
          <w:p w14:paraId="101A3A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地点：                       </w:t>
            </w:r>
          </w:p>
          <w:p w14:paraId="3ECEEB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联系人及联系电话：           </w:t>
            </w:r>
          </w:p>
          <w:p w14:paraId="051AAD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注：</w:t>
            </w:r>
            <w:r>
              <w:rPr>
                <w:rFonts w:hint="eastAsia" w:asciiTheme="minorEastAsia" w:hAnsiTheme="minorEastAsia" w:eastAsiaTheme="minorEastAsia" w:cstheme="minorEastAsia"/>
                <w:b/>
                <w:bCs/>
                <w:sz w:val="24"/>
                <w:szCs w:val="22"/>
              </w:rPr>
              <w:t>如</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未参加采购人统一组织的现场考察</w:t>
            </w:r>
            <w:r>
              <w:rPr>
                <w:rFonts w:hint="eastAsia" w:asciiTheme="minorEastAsia" w:hAnsiTheme="minorEastAsia" w:eastAsiaTheme="minorEastAsia" w:cstheme="minorEastAsia"/>
                <w:b/>
                <w:bCs/>
                <w:sz w:val="24"/>
                <w:szCs w:val="22"/>
                <w:lang w:val="en-US" w:eastAsia="zh-CN"/>
              </w:rPr>
              <w:t>或采购人统一召开的标前答疑会</w:t>
            </w:r>
            <w:r>
              <w:rPr>
                <w:rFonts w:hint="eastAsia" w:asciiTheme="minorEastAsia" w:hAnsiTheme="minorEastAsia" w:eastAsiaTheme="minorEastAsia" w:cstheme="minorEastAsia"/>
                <w:b/>
                <w:bCs/>
                <w:sz w:val="24"/>
                <w:szCs w:val="22"/>
              </w:rPr>
              <w:t>，视同放弃现场考察</w:t>
            </w:r>
            <w:r>
              <w:rPr>
                <w:rFonts w:hint="eastAsia" w:asciiTheme="minorEastAsia" w:hAnsiTheme="minorEastAsia" w:eastAsiaTheme="minorEastAsia" w:cstheme="minorEastAsia"/>
                <w:b/>
                <w:bCs/>
                <w:sz w:val="24"/>
                <w:szCs w:val="22"/>
                <w:lang w:val="en-US" w:eastAsia="zh-CN"/>
              </w:rPr>
              <w:t>或标前答疑会</w:t>
            </w:r>
            <w:r>
              <w:rPr>
                <w:rFonts w:hint="eastAsia" w:asciiTheme="minorEastAsia" w:hAnsiTheme="minorEastAsia" w:eastAsiaTheme="minorEastAsia" w:cstheme="minorEastAsia"/>
                <w:b/>
                <w:bCs/>
                <w:sz w:val="24"/>
                <w:szCs w:val="22"/>
              </w:rPr>
              <w:t>，由此引起的一切责任由</w:t>
            </w:r>
            <w:r>
              <w:rPr>
                <w:rFonts w:hint="eastAsia" w:asciiTheme="minorEastAsia" w:hAnsiTheme="minorEastAsia" w:eastAsiaTheme="minorEastAsia" w:cstheme="minorEastAsia"/>
                <w:b/>
                <w:bCs/>
                <w:sz w:val="24"/>
                <w:szCs w:val="22"/>
                <w:lang w:val="en-US" w:eastAsia="zh-CN"/>
              </w:rPr>
              <w:t>供应商</w:t>
            </w:r>
            <w:r>
              <w:rPr>
                <w:rFonts w:hint="eastAsia" w:asciiTheme="minorEastAsia" w:hAnsiTheme="minorEastAsia" w:eastAsiaTheme="minorEastAsia" w:cstheme="minorEastAsia"/>
                <w:b/>
                <w:bCs/>
                <w:sz w:val="24"/>
                <w:szCs w:val="22"/>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5</w:t>
            </w:r>
          </w:p>
        </w:tc>
        <w:tc>
          <w:tcPr>
            <w:tcW w:w="2698"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包别划分</w:t>
            </w:r>
          </w:p>
        </w:tc>
        <w:tc>
          <w:tcPr>
            <w:tcW w:w="7084"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6</w:t>
            </w:r>
          </w:p>
        </w:tc>
        <w:tc>
          <w:tcPr>
            <w:tcW w:w="2698"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有效期</w:t>
            </w:r>
          </w:p>
        </w:tc>
        <w:tc>
          <w:tcPr>
            <w:tcW w:w="7084"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color w:val="auto"/>
                <w:sz w:val="24"/>
                <w:szCs w:val="24"/>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7</w:t>
            </w:r>
          </w:p>
        </w:tc>
        <w:tc>
          <w:tcPr>
            <w:tcW w:w="2698"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响应文件要求</w:t>
            </w:r>
          </w:p>
        </w:tc>
        <w:tc>
          <w:tcPr>
            <w:tcW w:w="7084"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（1）供应商的响应文件需</w:t>
            </w:r>
            <w:r>
              <w:rPr>
                <w:rFonts w:hint="eastAsia" w:asciiTheme="minorEastAsia" w:hAnsiTheme="minorEastAsia" w:eastAsiaTheme="minorEastAsia" w:cstheme="minorEastAsia"/>
                <w:b/>
                <w:bCs/>
                <w:color w:val="auto"/>
                <w:kern w:val="0"/>
                <w:sz w:val="24"/>
                <w:szCs w:val="24"/>
                <w:highlight w:val="none"/>
                <w:lang w:val="en-US" w:eastAsia="zh-CN" w:bidi="ar"/>
              </w:rPr>
              <w:t>胶装</w:t>
            </w:r>
            <w:r>
              <w:rPr>
                <w:rFonts w:hint="eastAsia" w:asciiTheme="minorEastAsia" w:hAnsiTheme="minorEastAsia" w:eastAsiaTheme="minorEastAsia" w:cstheme="minorEastAsia"/>
                <w:b w:val="0"/>
                <w:bCs w:val="0"/>
                <w:color w:val="auto"/>
                <w:kern w:val="0"/>
                <w:sz w:val="24"/>
                <w:szCs w:val="24"/>
                <w:highlight w:val="none"/>
                <w:lang w:val="en-US" w:eastAsia="zh-CN" w:bidi="ar"/>
              </w:rPr>
              <w:t>成册，所附材料须按规定填写，并按要求签字盖章，否则按废标处理。</w:t>
            </w:r>
          </w:p>
          <w:p w14:paraId="27565755">
            <w:pPr>
              <w:pageBreakBefore w:val="0"/>
              <w:kinsoku/>
              <w:overflowPunct/>
              <w:topLinePunct w:val="0"/>
              <w:bidi w:val="0"/>
              <w:snapToGrid w:val="0"/>
              <w:spacing w:line="440" w:lineRule="exact"/>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00"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8</w:t>
            </w:r>
          </w:p>
        </w:tc>
        <w:tc>
          <w:tcPr>
            <w:tcW w:w="2698"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响应文件的密封和标记</w:t>
            </w:r>
          </w:p>
        </w:tc>
        <w:tc>
          <w:tcPr>
            <w:tcW w:w="7084"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密封要求：“响应文件”分正/副本（一正、一副）一起装袋密封</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，响应文件的密封袋的封口骑缝处应加盖</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供应商公章</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在</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密封袋上注明</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下列内容</w:t>
            </w: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w:t>
            </w:r>
          </w:p>
          <w:p w14:paraId="79A9EF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供应商名称：</w:t>
            </w: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zh-CN" w:eastAsia="zh-CN" w:bidi="ar-SA"/>
              </w:rPr>
              <w:t>项目名称：</w:t>
            </w:r>
          </w:p>
          <w:p w14:paraId="52450B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2026年5月13</w:t>
            </w:r>
            <w:bookmarkStart w:id="96" w:name="_GoBack"/>
            <w:bookmarkEnd w:id="96"/>
            <w:r>
              <w:rPr>
                <w:rFonts w:hint="eastAsia" w:asciiTheme="minorEastAsia" w:hAnsiTheme="minorEastAsia" w:eastAsiaTheme="minorEastAsia" w:cstheme="minorEastAsia"/>
                <w:b w:val="0"/>
                <w:bCs w:val="0"/>
                <w:strike w:val="0"/>
                <w:dstrike w:val="0"/>
                <w:color w:val="auto"/>
                <w:kern w:val="2"/>
                <w:sz w:val="24"/>
                <w:szCs w:val="24"/>
                <w:highlight w:val="none"/>
                <w:lang w:val="en-US" w:eastAsia="zh-CN" w:bidi="ar-SA"/>
              </w:rPr>
              <w:t xml:space="preserve"> 日09时00分（北京时间），此时间以前不得开封。</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0"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9</w:t>
            </w:r>
          </w:p>
        </w:tc>
        <w:tc>
          <w:tcPr>
            <w:tcW w:w="2698"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w:t>
            </w:r>
            <w:r>
              <w:rPr>
                <w:rFonts w:hint="eastAsia" w:asciiTheme="minorEastAsia" w:hAnsiTheme="minorEastAsia" w:eastAsiaTheme="minorEastAsia" w:cstheme="minorEastAsia"/>
                <w:sz w:val="24"/>
                <w:szCs w:val="22"/>
              </w:rPr>
              <w:t>文件提交</w:t>
            </w:r>
          </w:p>
        </w:tc>
        <w:tc>
          <w:tcPr>
            <w:tcW w:w="7084"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响应文件提交截止时间</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700"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10</w:t>
            </w:r>
          </w:p>
        </w:tc>
        <w:tc>
          <w:tcPr>
            <w:tcW w:w="2698"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时间和地点</w:t>
            </w:r>
          </w:p>
        </w:tc>
        <w:tc>
          <w:tcPr>
            <w:tcW w:w="7084"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00"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11</w:t>
            </w:r>
          </w:p>
        </w:tc>
        <w:tc>
          <w:tcPr>
            <w:tcW w:w="2698"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评审方法</w:t>
            </w:r>
          </w:p>
        </w:tc>
        <w:tc>
          <w:tcPr>
            <w:tcW w:w="7084"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color w:val="auto"/>
                <w:sz w:val="24"/>
                <w:szCs w:val="24"/>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700"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12</w:t>
            </w:r>
          </w:p>
        </w:tc>
        <w:tc>
          <w:tcPr>
            <w:tcW w:w="2698"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原件</w:t>
            </w:r>
          </w:p>
        </w:tc>
        <w:tc>
          <w:tcPr>
            <w:tcW w:w="7084"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本次</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时不要求供应商携带相关证件、业绩及奖项的原件（</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00"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13</w:t>
            </w:r>
          </w:p>
        </w:tc>
        <w:tc>
          <w:tcPr>
            <w:tcW w:w="2698"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确定成交候选供应商和成交供应商</w:t>
            </w:r>
          </w:p>
        </w:tc>
        <w:tc>
          <w:tcPr>
            <w:tcW w:w="7084"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00"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14</w:t>
            </w:r>
          </w:p>
        </w:tc>
        <w:tc>
          <w:tcPr>
            <w:tcW w:w="2698"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媒介发布</w:t>
            </w:r>
          </w:p>
        </w:tc>
        <w:tc>
          <w:tcPr>
            <w:tcW w:w="7084"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本次竞争性</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公告在</w:t>
            </w:r>
            <w:r>
              <w:rPr>
                <w:rFonts w:hint="eastAsia" w:asciiTheme="minorEastAsia" w:hAnsiTheme="minorEastAsia" w:eastAsiaTheme="minorEastAsia" w:cstheme="minorEastAsia"/>
                <w:sz w:val="24"/>
                <w:szCs w:val="22"/>
                <w:lang w:val="en-US" w:eastAsia="zh-CN"/>
              </w:rPr>
              <w:t>桐城师范高等专科学校官网和安庆市公共资源交易服务网“限额以下项目”</w:t>
            </w:r>
            <w:r>
              <w:rPr>
                <w:rFonts w:hint="eastAsia" w:asciiTheme="minorEastAsia" w:hAnsiTheme="minorEastAsia" w:eastAsiaTheme="minorEastAsia" w:cstheme="minorEastAsia"/>
                <w:sz w:val="24"/>
                <w:szCs w:val="22"/>
              </w:rPr>
              <w:t>上发布和推送</w:t>
            </w:r>
            <w:r>
              <w:rPr>
                <w:rFonts w:hint="eastAsia" w:asciiTheme="minorEastAsia" w:hAnsiTheme="minorEastAsia" w:eastAsiaTheme="minorEastAsia" w:cstheme="minorEastAsia"/>
                <w:sz w:val="24"/>
                <w:szCs w:val="22"/>
                <w:lang w:eastAsia="zh-CN"/>
              </w:rPr>
              <w:t>。</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15</w:t>
            </w:r>
          </w:p>
        </w:tc>
        <w:tc>
          <w:tcPr>
            <w:tcW w:w="2698"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成交通知书发出的形式</w:t>
            </w:r>
          </w:p>
        </w:tc>
        <w:tc>
          <w:tcPr>
            <w:tcW w:w="7084"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16</w:t>
            </w:r>
          </w:p>
        </w:tc>
        <w:tc>
          <w:tcPr>
            <w:tcW w:w="2698"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保证金</w:t>
            </w:r>
          </w:p>
        </w:tc>
        <w:tc>
          <w:tcPr>
            <w:tcW w:w="7084"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履约保证金</w:t>
            </w:r>
          </w:p>
        </w:tc>
        <w:tc>
          <w:tcPr>
            <w:tcW w:w="7084"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2"/>
                <w:lang w:val="en-US" w:eastAsia="zh-CN"/>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代理费用</w:t>
            </w:r>
          </w:p>
        </w:tc>
        <w:tc>
          <w:tcPr>
            <w:tcW w:w="7084"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4"/>
                <w:szCs w:val="40"/>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代理费用按项目合同价款的</w:t>
            </w:r>
            <w:r>
              <w:rPr>
                <w:rFonts w:hint="eastAsia" w:asciiTheme="minorEastAsia" w:hAnsiTheme="minorEastAsia" w:eastAsiaTheme="minorEastAsia" w:cstheme="minorEastAsia"/>
                <w:b w:val="0"/>
                <w:color w:val="auto"/>
                <w:kern w:val="2"/>
                <w:sz w:val="24"/>
                <w:szCs w:val="24"/>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4"/>
                <w:szCs w:val="24"/>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00"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17</w:t>
            </w:r>
          </w:p>
        </w:tc>
        <w:tc>
          <w:tcPr>
            <w:tcW w:w="2698"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质疑函递交方式、接收部门、联系电话和通讯地址</w:t>
            </w:r>
          </w:p>
        </w:tc>
        <w:tc>
          <w:tcPr>
            <w:tcW w:w="7084"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lang w:eastAsia="zh-CN"/>
              </w:rPr>
            </w:pPr>
            <w:r>
              <w:rPr>
                <w:rFonts w:hint="eastAsia" w:asciiTheme="minorEastAsia" w:hAnsiTheme="minorEastAsia" w:eastAsiaTheme="minorEastAsia" w:cstheme="minorEastAsia"/>
                <w:sz w:val="24"/>
                <w:szCs w:val="22"/>
              </w:rPr>
              <w:t>递交方式：</w:t>
            </w:r>
            <w:r>
              <w:rPr>
                <w:rFonts w:hint="eastAsia" w:asciiTheme="minorEastAsia" w:hAnsiTheme="minorEastAsia" w:eastAsiaTheme="minorEastAsia" w:cstheme="minorEastAsia"/>
                <w:sz w:val="24"/>
                <w:szCs w:val="22"/>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接收部门：</w:t>
            </w:r>
            <w:r>
              <w:rPr>
                <w:rFonts w:hint="eastAsia" w:asciiTheme="minorEastAsia" w:hAnsiTheme="minorEastAsia" w:eastAsiaTheme="minorEastAsia" w:cstheme="minorEastAsia"/>
                <w:sz w:val="24"/>
                <w:szCs w:val="22"/>
                <w:lang w:val="en-US" w:eastAsia="zh-CN"/>
              </w:rPr>
              <w:t>采购人或采购代理机构</w:t>
            </w:r>
            <w:r>
              <w:rPr>
                <w:rFonts w:hint="eastAsia" w:asciiTheme="minorEastAsia" w:hAnsiTheme="minorEastAsia" w:eastAsiaTheme="minorEastAsia" w:cstheme="minorEastAsia"/>
                <w:sz w:val="24"/>
                <w:szCs w:val="22"/>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联系电话：</w:t>
            </w:r>
            <w:r>
              <w:rPr>
                <w:rFonts w:hint="eastAsia" w:asciiTheme="minorEastAsia" w:hAnsiTheme="minorEastAsia" w:eastAsiaTheme="minorEastAsia" w:cstheme="minorEastAsia"/>
                <w:sz w:val="24"/>
                <w:szCs w:val="22"/>
                <w:lang w:val="en-US" w:eastAsia="zh-CN"/>
              </w:rPr>
              <w:t>0556-6181669</w:t>
            </w:r>
            <w:r>
              <w:rPr>
                <w:rFonts w:hint="eastAsia" w:asciiTheme="minorEastAsia" w:hAnsiTheme="minorEastAsia" w:eastAsiaTheme="minorEastAsia" w:cstheme="minorEastAsia"/>
                <w:sz w:val="24"/>
                <w:szCs w:val="22"/>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通讯地址：</w:t>
            </w:r>
            <w:r>
              <w:rPr>
                <w:rFonts w:hint="eastAsia" w:asciiTheme="minorEastAsia" w:hAnsiTheme="minorEastAsia" w:eastAsiaTheme="minorEastAsia" w:cstheme="minorEastAsia"/>
                <w:sz w:val="24"/>
                <w:szCs w:val="22"/>
                <w:lang w:val="en-US" w:eastAsia="zh-CN"/>
              </w:rPr>
              <w:t>安徽省桐城市经开区学苑路199号</w:t>
            </w:r>
            <w:r>
              <w:rPr>
                <w:rFonts w:hint="eastAsia" w:asciiTheme="minorEastAsia" w:hAnsiTheme="minorEastAsia" w:eastAsiaTheme="minorEastAsia" w:cstheme="minorEastAsia"/>
                <w:sz w:val="24"/>
                <w:szCs w:val="22"/>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700"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sz w:val="24"/>
                <w:szCs w:val="22"/>
                <w:lang w:val="en-US" w:eastAsia="zh-CN"/>
              </w:rPr>
            </w:pPr>
            <w:r>
              <w:rPr>
                <w:rFonts w:hint="eastAsia" w:asciiTheme="minorEastAsia" w:hAnsiTheme="minorEastAsia" w:eastAsiaTheme="minorEastAsia" w:cstheme="minorEastAsia"/>
                <w:b/>
                <w:bCs/>
                <w:sz w:val="24"/>
                <w:szCs w:val="22"/>
                <w:lang w:val="en-US" w:eastAsia="zh-CN"/>
              </w:rPr>
              <w:t>18</w:t>
            </w:r>
          </w:p>
        </w:tc>
        <w:tc>
          <w:tcPr>
            <w:tcW w:w="2698"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说明</w:t>
            </w:r>
          </w:p>
        </w:tc>
        <w:tc>
          <w:tcPr>
            <w:tcW w:w="7084"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w:t>
            </w:r>
            <w:r>
              <w:rPr>
                <w:rFonts w:hint="eastAsia" w:asciiTheme="minorEastAsia" w:hAnsiTheme="minorEastAsia" w:eastAsiaTheme="minorEastAsia" w:cstheme="minorEastAsia"/>
                <w:sz w:val="24"/>
                <w:szCs w:val="22"/>
              </w:rPr>
              <w:t>本</w:t>
            </w:r>
            <w:r>
              <w:rPr>
                <w:rFonts w:hint="eastAsia" w:asciiTheme="minorEastAsia" w:hAnsiTheme="minorEastAsia" w:eastAsiaTheme="minorEastAsia" w:cstheme="minorEastAsia"/>
                <w:sz w:val="24"/>
                <w:szCs w:val="22"/>
                <w:lang w:val="en-US" w:eastAsia="zh-CN"/>
              </w:rPr>
              <w:t>谈判</w:t>
            </w:r>
            <w:r>
              <w:rPr>
                <w:rFonts w:hint="eastAsia" w:asciiTheme="minorEastAsia" w:hAnsiTheme="minorEastAsia" w:eastAsiaTheme="minorEastAsia" w:cstheme="minorEastAsia"/>
                <w:sz w:val="24"/>
                <w:szCs w:val="22"/>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本项目所要求的业绩均须为中华人民共和国境内业绩（不含港澳台地区）</w:t>
            </w:r>
            <w:r>
              <w:rPr>
                <w:rFonts w:hint="eastAsia" w:asciiTheme="minorEastAsia" w:hAnsiTheme="minorEastAsia" w:eastAsiaTheme="minorEastAsia" w:cstheme="minorEastAsia"/>
                <w:sz w:val="24"/>
                <w:szCs w:val="22"/>
                <w:lang w:eastAsia="zh-CN"/>
              </w:rPr>
              <w:t>。</w:t>
            </w:r>
          </w:p>
        </w:tc>
      </w:tr>
    </w:tbl>
    <w:p w14:paraId="4C8DA0C0">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4"/>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5F41FD3">
      <w:pPr>
        <w:pStyle w:val="4"/>
        <w:pageBreakBefore w:val="0"/>
        <w:kinsoku/>
        <w:overflowPunct/>
        <w:topLinePunct w:val="0"/>
        <w:bidi w:val="0"/>
        <w:spacing w:before="0" w:beforeAutospacing="0" w:after="0" w:afterAutospacing="0" w:line="240" w:lineRule="auto"/>
        <w:jc w:val="both"/>
        <w:textAlignment w:val="auto"/>
        <w:rPr>
          <w:rFonts w:hint="eastAsia" w:cs="Tahoma"/>
          <w:bCs/>
          <w:color w:val="auto"/>
          <w:kern w:val="0"/>
          <w:sz w:val="32"/>
          <w:szCs w:val="32"/>
          <w:highlight w:val="none"/>
          <w:lang w:val="zh-CN"/>
        </w:rPr>
      </w:pPr>
    </w:p>
    <w:p w14:paraId="4F1C66E1">
      <w:pPr>
        <w:rPr>
          <w:rFonts w:hint="eastAsia" w:cs="Tahoma"/>
          <w:bCs/>
          <w:color w:val="auto"/>
          <w:kern w:val="0"/>
          <w:sz w:val="32"/>
          <w:szCs w:val="32"/>
          <w:highlight w:val="none"/>
          <w:lang w:val="zh-CN"/>
        </w:rPr>
      </w:pPr>
    </w:p>
    <w:p w14:paraId="1DB67D9B">
      <w:pPr>
        <w:pStyle w:val="16"/>
        <w:rPr>
          <w:rFonts w:hint="eastAsia"/>
          <w:lang w:val="zh-CN"/>
        </w:rPr>
      </w:pPr>
    </w:p>
    <w:p w14:paraId="62EEFFFA">
      <w:pPr>
        <w:pStyle w:val="3"/>
        <w:tabs>
          <w:tab w:val="left" w:pos="1440"/>
          <w:tab w:val="left" w:pos="5670"/>
        </w:tabs>
        <w:spacing w:before="62" w:beforeLines="20" w:after="62" w:afterLines="20" w:line="480" w:lineRule="exact"/>
        <w:ind w:firstLine="0" w:firstLineChars="0"/>
        <w:jc w:val="center"/>
        <w:rPr>
          <w:rFonts w:hint="eastAsia" w:ascii="宋体" w:hAnsi="宋体" w:eastAsia="宋体" w:cs="宋体"/>
          <w:b/>
          <w:bCs/>
          <w:color w:val="auto"/>
          <w:kern w:val="2"/>
          <w:sz w:val="32"/>
          <w:szCs w:val="32"/>
          <w:highlight w:val="none"/>
          <w:lang w:val="zh-CN"/>
        </w:rPr>
      </w:pPr>
      <w:r>
        <w:rPr>
          <w:rFonts w:hint="eastAsia" w:ascii="宋体" w:hAnsi="宋体" w:eastAsia="宋体" w:cs="宋体"/>
          <w:b/>
          <w:bCs/>
          <w:color w:val="auto"/>
          <w:kern w:val="2"/>
          <w:sz w:val="32"/>
          <w:szCs w:val="32"/>
          <w:highlight w:val="none"/>
          <w:lang w:val="zh-CN"/>
        </w:rPr>
        <w:t xml:space="preserve">第二节 </w:t>
      </w:r>
      <w:r>
        <w:rPr>
          <w:rFonts w:hint="eastAsia" w:ascii="宋体" w:hAnsi="宋体" w:eastAsia="宋体" w:cs="宋体"/>
          <w:b/>
          <w:bCs/>
          <w:color w:val="auto"/>
          <w:kern w:val="2"/>
          <w:sz w:val="32"/>
          <w:szCs w:val="32"/>
          <w:highlight w:val="none"/>
          <w:lang w:val="en-US" w:eastAsia="zh-CN"/>
        </w:rPr>
        <w:t>供应商</w:t>
      </w:r>
      <w:r>
        <w:rPr>
          <w:rFonts w:hint="eastAsia" w:ascii="宋体" w:hAnsi="宋体" w:eastAsia="宋体" w:cs="宋体"/>
          <w:b/>
          <w:bCs/>
          <w:color w:val="auto"/>
          <w:kern w:val="2"/>
          <w:sz w:val="32"/>
          <w:szCs w:val="32"/>
          <w:highlight w:val="none"/>
          <w:lang w:val="zh-CN"/>
        </w:rPr>
        <w:t>须知</w:t>
      </w:r>
      <w:bookmarkEnd w:id="39"/>
      <w:bookmarkEnd w:id="40"/>
      <w:bookmarkEnd w:id="41"/>
    </w:p>
    <w:p w14:paraId="101F9319">
      <w:pPr>
        <w:spacing w:beforeAutospacing="0" w:line="360" w:lineRule="auto"/>
        <w:outlineLvl w:val="2"/>
        <w:rPr>
          <w:rFonts w:asciiTheme="minorEastAsia" w:hAnsiTheme="minorEastAsia" w:eastAsiaTheme="minorEastAsia"/>
          <w:b/>
          <w:color w:val="auto"/>
          <w:sz w:val="24"/>
          <w:highlight w:val="none"/>
        </w:rPr>
      </w:pPr>
      <w:bookmarkStart w:id="45" w:name="_Toc7325"/>
      <w:bookmarkStart w:id="46" w:name="_Toc10523"/>
      <w:bookmarkStart w:id="47" w:name="_Toc439316919"/>
      <w:bookmarkStart w:id="48" w:name="_Toc21078"/>
      <w:bookmarkStart w:id="49" w:name="_Toc439316873"/>
      <w:bookmarkStart w:id="50" w:name="_Toc15055"/>
      <w:bookmarkStart w:id="51" w:name="_Toc25270"/>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1.1采购人：是指依法开展政府采购活动的国家机关、事业单位、团体组织。</w:t>
      </w:r>
    </w:p>
    <w:p w14:paraId="343DC7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1.2采购代理机构：是指集中采购机构或从事采购代理业务的社会中介机构。</w:t>
      </w:r>
    </w:p>
    <w:p w14:paraId="4F90F4E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1.3政府采购监督管理部门：各级人民政府指定的有关部门依法履行与政府采购活动有关的监督管理职责。</w:t>
      </w:r>
    </w:p>
    <w:p w14:paraId="31080CA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1.4供应商：是指向采购人提供货物、工程或者服务的法人、其他组织或者自然人。分支机构不得参加政府采购活动，但银行、保险、石油石化、电力、电信等特殊行业除外。</w:t>
      </w:r>
      <w:bookmarkStart w:id="52" w:name="_Hlk60264251"/>
      <w:r>
        <w:rPr>
          <w:rFonts w:hint="eastAsia" w:ascii="宋体" w:hAnsi="宋体" w:eastAsia="宋体" w:cs="Times New Roman"/>
          <w:color w:val="auto"/>
          <w:sz w:val="24"/>
          <w:highlight w:val="none"/>
          <w:lang w:val="en-US" w:eastAsia="zh-CN"/>
        </w:rPr>
        <w:t>本项目的供应商须满足以下条件：</w:t>
      </w:r>
    </w:p>
    <w:p w14:paraId="7728D21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1.4.1具备《中华人民共和国政府采购法》第二十二条关于供应商条件的规定，遵守本项目采购人本级和上级财政部门政府采购的有关规定。</w:t>
      </w:r>
    </w:p>
    <w:p w14:paraId="4A0DAC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1.4.2以采购代理机构认可的方式获得了本项目的谈判文件。</w:t>
      </w:r>
    </w:p>
    <w:p w14:paraId="38E2CAE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1.4.3若采购需求中写明允许采购进口产品，供应商应保证所投产品可履行合法报通关手续进入中国关境内。</w:t>
      </w:r>
    </w:p>
    <w:p w14:paraId="059CB49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若采购需求中未写明允许采购进口产品，如供应商所投产品为进口产品，其响应文件将被认定为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bookmarkEnd w:id="52"/>
    <w:p w14:paraId="0CC9934E">
      <w:pPr>
        <w:spacing w:line="360" w:lineRule="auto"/>
        <w:ind w:firstLine="240" w:firstLineChars="100"/>
        <w:rPr>
          <w:rFonts w:hint="eastAsia" w:ascii="宋体" w:hAnsi="宋体" w:eastAsia="宋体" w:cs="Times New Roman"/>
          <w:color w:val="auto"/>
          <w:sz w:val="24"/>
          <w:highlight w:val="none"/>
          <w:lang w:val="en-US" w:eastAsia="zh-CN"/>
        </w:rPr>
      </w:pPr>
      <w:bookmarkStart w:id="53" w:name="_Hlk60611047"/>
      <w:r>
        <w:rPr>
          <w:rFonts w:hint="eastAsia" w:ascii="宋体" w:hAnsi="宋体" w:eastAsia="宋体" w:cs="Times New Roman"/>
          <w:color w:val="auto"/>
          <w:sz w:val="24"/>
          <w:highlight w:val="none"/>
          <w:lang w:val="en-US" w:eastAsia="zh-CN"/>
        </w:rPr>
        <w:t>1.5若竞争性谈判公告中允许联合体参加谈判，对联合体规定如下：</w:t>
      </w:r>
    </w:p>
    <w:bookmarkEnd w:id="53"/>
    <w:p w14:paraId="38C55D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1.5.1两个以上供应商可以组成一个谈判联合体，以一个供应商的身份谈判。联合体谈判的，谈判文件获取手续由联合体中任一成员单位办理均可。</w:t>
      </w:r>
    </w:p>
    <w:p w14:paraId="780BDD7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1.5.2联合体各方均应符合《中华人民共和国政府采购法》第二十二条规定的条件。</w:t>
      </w:r>
    </w:p>
    <w:p w14:paraId="600710D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1.5.3采购人根据采购项目对供应商的特殊要求，联合体中至少应当有一方符合相关规定。</w:t>
      </w:r>
    </w:p>
    <w:p w14:paraId="4FD533F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1.5.4联合体各方应签订联合协议，明确约定联合体各方承担的工作和相应的责任，并将联合协议作为响应文件的一部分提交。</w:t>
      </w:r>
    </w:p>
    <w:p w14:paraId="621F779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1.5.5大中型企业、其他自然人、法人或者非法人组织与小型、微型企业组成联合体共同参加谈判，联合协议中应写明小型、微型企业的协议合同金额占到联合协议合同总金额的比例。</w:t>
      </w:r>
    </w:p>
    <w:p w14:paraId="1BB0EB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1.5.6联合体中有同类资质的供应商按照联合体分工承担相同工作的，应当按照资质等级较低的供应商确定资质等级。</w:t>
      </w:r>
    </w:p>
    <w:p w14:paraId="3797B9B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1.5.7以联合体形式参加政府采购活动的，联合体各方不得再单独参加或者与其他供应商另外组成联合体参加本项目谈判，否则相关响应文件将被认定为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6E75BBA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1.5.8对联合体参加谈判的其他资格要求见申请人的资格要求。</w:t>
      </w:r>
    </w:p>
    <w:p w14:paraId="6B0A365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2.资金落实情况</w:t>
      </w:r>
    </w:p>
    <w:p w14:paraId="25ECBFDD">
      <w:pPr>
        <w:spacing w:line="360" w:lineRule="auto"/>
        <w:ind w:firstLine="240" w:firstLineChars="100"/>
        <w:rPr>
          <w:rFonts w:asciiTheme="minorEastAsia" w:hAnsiTheme="minorEastAsia" w:eastAsiaTheme="minorEastAsia"/>
          <w:color w:val="auto"/>
          <w:sz w:val="24"/>
          <w:highlight w:val="none"/>
        </w:rPr>
      </w:pPr>
      <w:r>
        <w:rPr>
          <w:rFonts w:hint="eastAsia" w:ascii="宋体" w:hAnsi="宋体" w:eastAsia="宋体" w:cs="Times New Roman"/>
          <w:color w:val="auto"/>
          <w:sz w:val="24"/>
          <w:highlight w:val="none"/>
          <w:lang w:val="en-US" w:eastAsia="zh-CN"/>
        </w:rPr>
        <w:t>本项目的采购人已获得足以支付本次谈判后所签订的合同项下的资金。</w:t>
      </w:r>
    </w:p>
    <w:p w14:paraId="53D90C5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3.谈判费用</w:t>
      </w:r>
    </w:p>
    <w:p w14:paraId="7C57E13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不论谈判的结果如何，供应商应承担其所有与准备和参加谈判有关的费用。</w:t>
      </w:r>
    </w:p>
    <w:p w14:paraId="6548771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4.适用法律</w:t>
      </w:r>
    </w:p>
    <w:p w14:paraId="55A81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BD1AE1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5.谈判文件构成</w:t>
      </w:r>
    </w:p>
    <w:p w14:paraId="673D8F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5.1谈判文件包括下列内容：</w:t>
      </w:r>
    </w:p>
    <w:p w14:paraId="7455A63B">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第一章  谈判邀请</w:t>
      </w:r>
    </w:p>
    <w:p w14:paraId="4FD73385">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第二章  供应商须知</w:t>
      </w:r>
    </w:p>
    <w:p w14:paraId="2904E97C">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第三章  采购需求</w:t>
      </w:r>
    </w:p>
    <w:p w14:paraId="08A9AF7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第四章  评审方法和标准</w:t>
      </w:r>
    </w:p>
    <w:p w14:paraId="5BF2EBBD">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第五章  政府采购合同</w:t>
      </w:r>
    </w:p>
    <w:p w14:paraId="5B5FCAF7">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第六章  响应文件格式</w:t>
      </w:r>
    </w:p>
    <w:p w14:paraId="0DA58631">
      <w:pPr>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第七章  政府采购供应商询问函和质疑函范本</w:t>
      </w:r>
    </w:p>
    <w:p w14:paraId="3B72930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5.2现场考察（标前答疑会）及相关事项见供应商须知前附表。</w:t>
      </w:r>
    </w:p>
    <w:p w14:paraId="4AFCE05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5.3原则上采购人、采购代理机构不要求供应商提供样品。仅凭书面方式不能准确描述采购需求，或者需要对样品进行主观判断以确认是否满足采购需求等特殊情况除外。</w:t>
      </w:r>
    </w:p>
    <w:p w14:paraId="70492F7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如需提供样品，对样品相关要求见采购需求，对样品的评审方法及评审标准见谈判文件第四章。</w:t>
      </w:r>
    </w:p>
    <w:p w14:paraId="2C110B7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5.4供应商应认真阅读谈判文件所有的事项、格式、条款和技术规范等。</w:t>
      </w:r>
    </w:p>
    <w:p w14:paraId="5F7532E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6.谈判文件的澄清与修改</w:t>
      </w:r>
    </w:p>
    <w:p w14:paraId="6F22022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6.1供应商如对谈判文件内容有疑问，必须在供应商须知前附表规定的网上询问截止时间前以书面提问形式提交给采购代理机构。</w:t>
      </w:r>
    </w:p>
    <w:p w14:paraId="16037D5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6.2</w:t>
      </w:r>
      <w:r>
        <w:rPr>
          <w:rFonts w:hint="eastAsia" w:asciiTheme="minorEastAsia" w:hAnsiTheme="minorEastAsia" w:eastAsiaTheme="minorEastAsia"/>
          <w:color w:val="auto"/>
          <w:sz w:val="24"/>
          <w:highlight w:val="none"/>
        </w:rPr>
        <w:t>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桐城师范高等专科学校</w:t>
      </w:r>
      <w:r>
        <w:rPr>
          <w:rFonts w:hint="eastAsia" w:asciiTheme="minorEastAsia" w:hAnsiTheme="minorEastAsia" w:eastAsiaTheme="minorEastAsia"/>
          <w:color w:val="auto"/>
          <w:sz w:val="24"/>
          <w:highlight w:val="none"/>
          <w:lang w:val="en-US" w:eastAsia="zh-CN"/>
        </w:rPr>
        <w:t>官网和安庆市公共资源交易服务网“限额以下项目”上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6.4对于没有提出询问又参与了本项目谈判的供应商将被视为完全认同本谈判文件（含更正公告的内容）。</w:t>
      </w:r>
    </w:p>
    <w:p w14:paraId="479E2824">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7.谈判范围及响应文件中标准和计量单位的使用</w:t>
      </w:r>
    </w:p>
    <w:p w14:paraId="4D97F1E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7.1项目有分包的，供应商可参与其中某一个或多个分包的谈判，成交包数详见供应商须知前附表中规定。</w:t>
      </w:r>
    </w:p>
    <w:p w14:paraId="5FE3DE70">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7.2供应商应当对所投分包谈判文件中“采购需求”所列的所有内容进行响应，如仅响应所投包别中的部分内容，其所投包别的响应将被认定为响应无效</w:t>
      </w:r>
      <w:r>
        <w:rPr>
          <w:rFonts w:hint="eastAsia" w:ascii="宋体" w:hAnsi="宋体" w:eastAsia="宋体" w:cs="Times New Roman"/>
          <w:color w:val="auto"/>
          <w:sz w:val="24"/>
          <w:highlight w:val="yellow"/>
          <w:lang w:val="en-US" w:eastAsia="zh-CN"/>
        </w:rPr>
        <w:t>（采购文件允许偏离的除外）</w:t>
      </w:r>
      <w:r>
        <w:rPr>
          <w:rFonts w:hint="eastAsia" w:ascii="宋体" w:hAnsi="宋体" w:eastAsia="宋体" w:cs="Times New Roman"/>
          <w:color w:val="auto"/>
          <w:sz w:val="24"/>
          <w:highlight w:val="none"/>
          <w:lang w:val="en-US" w:eastAsia="zh-CN"/>
        </w:rPr>
        <w:t>。</w:t>
      </w:r>
    </w:p>
    <w:p w14:paraId="322931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7.3无论谈判文件中是否要求，供应商所投货物及伴随的服务和工程均应符合国家强制性标准。</w:t>
      </w:r>
    </w:p>
    <w:p w14:paraId="2A8D52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7.4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7.5除谈判文件中有特殊要求外，响应文件中所使用的计量单位，应采用中华人民共和国法定计量单位。</w:t>
      </w:r>
    </w:p>
    <w:p w14:paraId="328159C0">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8.响应文件构成</w:t>
      </w:r>
    </w:p>
    <w:p w14:paraId="18748EB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8.1供应商应完整地按谈判文件提供的响应文件格式及要求编写响应文件，具体内容详见本项目响应文件格式的相关内容。</w:t>
      </w:r>
    </w:p>
    <w:p w14:paraId="76F6BD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8.2供应商应提交谈判文件要求的证明文件，证明其响应内容符合谈判文件规定。该证明文件是响应文件的一部分。证明文件形式可以是文字资料、图纸和数据</w:t>
      </w:r>
      <w:bookmarkStart w:id="54" w:name="_Hlk11703583"/>
      <w:r>
        <w:rPr>
          <w:rFonts w:hint="eastAsia" w:ascii="宋体" w:hAnsi="宋体" w:eastAsia="宋体" w:cs="Times New Roman"/>
          <w:color w:val="auto"/>
          <w:sz w:val="24"/>
          <w:highlight w:val="none"/>
          <w:lang w:val="en-US" w:eastAsia="zh-CN"/>
        </w:rPr>
        <w:t>。</w:t>
      </w:r>
    </w:p>
    <w:bookmarkEnd w:id="54"/>
    <w:p w14:paraId="21E9A43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8.3为保证公平公正，除非谈判文件另有规定或说明，供应商对同一项目谈判时，不得同时提供备选谈判方案。</w:t>
      </w:r>
    </w:p>
    <w:p w14:paraId="05C862C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9.报价</w:t>
      </w:r>
    </w:p>
    <w:p w14:paraId="748BD5F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9.1供应商的报价应当包括满足本次谈判全部采购需求所应提供的货物，以及伴随的服务和工程。除谈判文件另有规定外，所有内容均应以人民币报价，供应商的谈判报价应遵守《中华人民共和国价格法》。</w:t>
      </w:r>
    </w:p>
    <w:p w14:paraId="0C9E639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9.2除非谈判文件另有规定或经采购人同意支付的，最后报价均不得高于谈判文件（公告）列明的项目预算，否则其响应文件将被认定为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1A16B85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9.3报价在合同履行过程中是固定不变的，不得以任何理由予以变更。任何包含价格调整要求的谈判，其响应文件将被认定为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DFD6F6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9.4采购人不接受具有附加条件的报价。</w:t>
      </w:r>
    </w:p>
    <w:p w14:paraId="6AB8C72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10.谈判保证金</w:t>
      </w:r>
    </w:p>
    <w:p w14:paraId="2641AA4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10.1本项目不收取谈判保证金。</w:t>
      </w:r>
    </w:p>
    <w:p w14:paraId="3036E34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11.谈判有效期</w:t>
      </w:r>
    </w:p>
    <w:p w14:paraId="08E4B2A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11.1谈判有效期为从响应文件提交截止之日算起的日历天数，谈判有效期详见供应商须知前附表。</w:t>
      </w:r>
    </w:p>
    <w:p w14:paraId="016B73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11.2在谈判有效期内，供应商的谈判保持有效，供应商不得要求撤销或修改其响应文件。谈判有效期不满足要求的响应，其响应文件将被认定为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5503A1C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12.响应文件的提交、修改与撤回</w:t>
      </w:r>
    </w:p>
    <w:p w14:paraId="3EFBE38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12.1供应商应当在竞争性谈判公告规定的响应文件提交截止时间前，将密封完好的响应文件递交，逾期递交的响应文件将不予受理。</w:t>
      </w:r>
    </w:p>
    <w:p w14:paraId="77A8F62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12.2响应人应当在响应文件提交截止时间前完成响应文件的现场递交，未在响应文件提交截止时间前提交有效纸质响应文件的，代理机构不予接收，视为未提交响应文件。</w:t>
      </w:r>
    </w:p>
    <w:p w14:paraId="2ED401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12.3供应商应在供应商须知前附表规定的递交时间前对其响应文件进行提交，未在规定时间内进行递交的，</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7C431E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12.4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58FB80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13.谈判小组</w:t>
      </w:r>
    </w:p>
    <w:p w14:paraId="36395F8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13.1本项目将依法组建谈判小组，谈判小组成员由3人以上（含）单数组成，谈判小组及其成员应当依照政府采购的有关规定履行相关职责和义务。</w:t>
      </w:r>
    </w:p>
    <w:p w14:paraId="5CBC2F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13.2谈判小组依法对响应文件进行评审，并根据谈判文件规定的程序、评定成交的标准等事项与实质性响应谈判文件要求的供应商进行谈判。</w:t>
      </w:r>
    </w:p>
    <w:p w14:paraId="2B82BF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13.3谈判小组应当从质量和服务均能满足谈判文件实质性响应要求的供应商中，按照评审办法和标准推荐成交候选人，并编写评审报告。</w:t>
      </w:r>
    </w:p>
    <w:p w14:paraId="3954067B">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14.响应文件的评审与谈判</w:t>
      </w:r>
    </w:p>
    <w:p w14:paraId="61A6F3C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14.1采购人和采购代理机构将在竞争性谈判公告规定的时间和地点组织谈判。</w:t>
      </w:r>
    </w:p>
    <w:p w14:paraId="029152D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14.2竞争性谈判采用最低评标价法评审。</w:t>
      </w:r>
    </w:p>
    <w:p w14:paraId="6B838F9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最低评标价法，是指响应文件满足谈判文件全部实质性要求且最后报价最低的供应商为成交候选人的评标方法。</w:t>
      </w:r>
    </w:p>
    <w:p w14:paraId="0862BF8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14.3谈判小组将按照谈判文件规定的评审方法和标准对供应商独立进行评审。评审程序如下：</w:t>
      </w:r>
    </w:p>
    <w:p w14:paraId="4224439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14.3.1</w:t>
      </w:r>
      <w:r>
        <w:rPr>
          <w:rFonts w:hint="eastAsia" w:ascii="宋体" w:hAnsi="宋体" w:eastAsia="宋体" w:cs="Times New Roman"/>
          <w:b/>
          <w:bCs/>
          <w:color w:val="auto"/>
          <w:sz w:val="24"/>
          <w:highlight w:val="none"/>
          <w:lang w:val="en-US" w:eastAsia="zh-CN"/>
        </w:rPr>
        <w:t>初审</w:t>
      </w:r>
      <w:r>
        <w:rPr>
          <w:rFonts w:hint="eastAsia" w:ascii="宋体" w:hAnsi="宋体" w:eastAsia="宋体" w:cs="Times New Roman"/>
          <w:color w:val="auto"/>
          <w:sz w:val="24"/>
          <w:highlight w:val="none"/>
          <w:lang w:val="en-US" w:eastAsia="zh-CN"/>
        </w:rPr>
        <w:t>。谈判小组对供应商必须满足和实质性响应的内容进行评审，供应商未实质性响应谈判文件要求导致响应无效的，谈判小组将以书面询标的方式告知有关供应商。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失信主体名单、中国政府采购网(www.ccgp.gov.cn)政府采购严重违法失信行为记录名单及其他不符合《中华人民共和国政府采购法》第二十二条规定条件的供应商，其响应文件将被认定为响应无效。</w:t>
      </w:r>
    </w:p>
    <w:p w14:paraId="738BB10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以联合体形式参加谈判的，联合体成员存在以上不良信用记录的，联合体谈判将被认定为响应无效。</w:t>
      </w:r>
    </w:p>
    <w:p w14:paraId="5F7D8AE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BA384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14.3.2</w:t>
      </w:r>
      <w:r>
        <w:rPr>
          <w:rFonts w:hint="eastAsia" w:ascii="宋体" w:hAnsi="宋体" w:eastAsia="宋体" w:cs="Times New Roman"/>
          <w:b/>
          <w:bCs/>
          <w:color w:val="auto"/>
          <w:sz w:val="24"/>
          <w:highlight w:val="none"/>
          <w:lang w:val="en-US" w:eastAsia="zh-CN"/>
        </w:rPr>
        <w:t>谈判</w:t>
      </w:r>
      <w:r>
        <w:rPr>
          <w:rFonts w:hint="eastAsia" w:ascii="宋体" w:hAnsi="宋体" w:eastAsia="宋体" w:cs="Times New Roman"/>
          <w:color w:val="auto"/>
          <w:sz w:val="24"/>
          <w:highlight w:val="none"/>
          <w:lang w:val="en-US" w:eastAsia="zh-CN"/>
        </w:rPr>
        <w:t>。初审合格后，谈判小组将与单一供应商分别进行谈判，并给予所有参加谈判的供应商平等的谈判机会。</w:t>
      </w:r>
    </w:p>
    <w:p w14:paraId="5608CB7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14.3.3</w:t>
      </w:r>
      <w:r>
        <w:rPr>
          <w:rFonts w:hint="eastAsia" w:ascii="宋体" w:hAnsi="宋体" w:eastAsia="宋体" w:cs="Times New Roman"/>
          <w:b/>
          <w:bCs/>
          <w:color w:val="auto"/>
          <w:sz w:val="24"/>
          <w:highlight w:val="none"/>
          <w:lang w:val="en-US" w:eastAsia="zh-CN"/>
        </w:rPr>
        <w:t>报价</w:t>
      </w:r>
      <w:r>
        <w:rPr>
          <w:rFonts w:hint="eastAsia" w:ascii="宋体" w:hAnsi="宋体" w:eastAsia="宋体" w:cs="Times New Roman"/>
          <w:color w:val="auto"/>
          <w:sz w:val="24"/>
          <w:highlight w:val="none"/>
          <w:lang w:val="en-US" w:eastAsia="zh-CN"/>
        </w:rPr>
        <w:t>。谈判结束后，谈判小组应当要求所有继续参加谈判的供应商在规定时间内提交最后报价。如供应商未在规定时间内（30分钟内）提交最后报价，则视为供应商自愿退出谈判。</w:t>
      </w:r>
    </w:p>
    <w:p w14:paraId="26C9810D">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14.3.4</w:t>
      </w:r>
      <w:r>
        <w:rPr>
          <w:rFonts w:hint="eastAsia" w:ascii="宋体" w:hAnsi="宋体" w:eastAsia="宋体" w:cs="Times New Roman"/>
          <w:b/>
          <w:bCs/>
          <w:color w:val="auto"/>
          <w:sz w:val="24"/>
          <w:highlight w:val="none"/>
          <w:lang w:val="en-US" w:eastAsia="zh-CN"/>
        </w:rPr>
        <w:t>异常低价响应审查。根据《关于推进解决政府采购异常低价问题的通知》（财库〔2026〕2号），谈判小组进行异常低价响应审查。</w:t>
      </w:r>
    </w:p>
    <w:p w14:paraId="4562232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14.4相关说明。</w:t>
      </w:r>
    </w:p>
    <w:p w14:paraId="3AD3A82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14.4.1为保证谈判活动顺利进行，供应商可派相关技术人员进行现场答疑。</w:t>
      </w:r>
    </w:p>
    <w:p w14:paraId="70EC8D9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14.4.2谈判小组根据与供应商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14:paraId="5586BB5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Times New Roman"/>
          <w:b/>
          <w:bCs/>
          <w:color w:val="auto"/>
          <w:sz w:val="24"/>
          <w:highlight w:val="none"/>
          <w:lang w:val="en-US" w:eastAsia="zh-CN"/>
        </w:rPr>
        <w:t>响应无效</w:t>
      </w:r>
      <w:r>
        <w:rPr>
          <w:rFonts w:hint="eastAsia" w:ascii="宋体" w:hAnsi="宋体" w:eastAsia="宋体" w:cs="Times New Roman"/>
          <w:color w:val="auto"/>
          <w:sz w:val="24"/>
          <w:highlight w:val="none"/>
          <w:lang w:val="en-US" w:eastAsia="zh-CN"/>
        </w:rPr>
        <w:t>。</w:t>
      </w:r>
    </w:p>
    <w:p w14:paraId="378D0F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14.4.4无论何种原因，即使供应商谈判时携带了证书材料的原件，但响应文件中未提供与之内容完全一致的扫描件的，谈判小组可以视同其未提供。</w:t>
      </w:r>
    </w:p>
    <w:p w14:paraId="5055F4F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14.4.5谈判小组决定响应文件的响应性及符合性只根据响应文件本身的内容，而不寻求其他外部证据。</w:t>
      </w:r>
    </w:p>
    <w:p w14:paraId="65539C3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14.5供应商授权代表对谈判过程有疑义，以及认为采购人、采购代理机构相关工作人员有需要回避的情形的，应当场提出询问或者回避申请，并说明理由。</w:t>
      </w:r>
    </w:p>
    <w:p w14:paraId="2F63E23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15.终止竞争性谈判</w:t>
      </w:r>
    </w:p>
    <w:p w14:paraId="5E29EEB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15.1出现下列情况之一时，采购人和采购代理机构有权宣布终止竞争性谈判采购，并将理由通知所有供应商：</w:t>
      </w:r>
    </w:p>
    <w:p w14:paraId="60D48D7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（1）有效供应商数量不足，导致本次谈判缺乏竞争的；</w:t>
      </w:r>
    </w:p>
    <w:p w14:paraId="4DA98F1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（2）出现影响采购公正的违法、违规行为的；</w:t>
      </w:r>
    </w:p>
    <w:p w14:paraId="254F1BC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（3）因重大变故，采购任务取消的；</w:t>
      </w:r>
    </w:p>
    <w:p w14:paraId="1F9DFE4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（4）政府采购法律法规规定的其他情形。</w:t>
      </w:r>
    </w:p>
    <w:p w14:paraId="5D5658AD">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16.响应文件的澄清、说明或更正</w:t>
      </w:r>
    </w:p>
    <w:p w14:paraId="04037D20">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50D6C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16.2谈判小组要求供应商澄清、说明或者更正响应文件应当以书面形式（询标）作出。供应商的澄清、说明或者更正应当由法定代表人或其授权代表签字或者加盖公章。</w:t>
      </w:r>
    </w:p>
    <w:p w14:paraId="17A40863">
      <w:pPr>
        <w:pageBreakBefore w:val="0"/>
        <w:kinsoku/>
        <w:wordWrap/>
        <w:overflowPunct/>
        <w:topLinePunct w:val="0"/>
        <w:bidi w:val="0"/>
        <w:snapToGrid w:val="0"/>
        <w:spacing w:beforeAutospacing="0" w:afterAutospacing="0" w:line="500" w:lineRule="exact"/>
        <w:ind w:firstLine="241" w:firstLineChars="1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48E7B59A">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17.最后报价</w:t>
      </w:r>
    </w:p>
    <w:p w14:paraId="5EB59CEE">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17.1谈判并不限定只进行二轮报价，如果谈判小组认为有必要，可以要求供应商进行多轮报价。</w:t>
      </w:r>
    </w:p>
    <w:p w14:paraId="719EFD7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17.2在谈判内容不做实质性变更或重大调整的前提下，供应商下轮报价不得高于上一轮报价。</w:t>
      </w:r>
    </w:p>
    <w:p w14:paraId="6E3BE18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17.3最后报价是供应商响应文件的有效组成部分，最后报价也是签订合同的依据。</w:t>
      </w:r>
    </w:p>
    <w:p w14:paraId="33E0DB4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18.成交候选人的推荐原则及标准</w:t>
      </w:r>
    </w:p>
    <w:p w14:paraId="42A93BD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18.1谈判小组依据本项目谈判文件所约定的评审方法和标准，按照最后报价由低到高的顺序依次推荐成交候选人。最后报价相同的，则由谈判小组采取随机抽取方式确定。</w:t>
      </w:r>
    </w:p>
    <w:p w14:paraId="092B46A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19.确定成交候选人和成交供应商</w:t>
      </w:r>
    </w:p>
    <w:p w14:paraId="29D60B3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19.1谈判小组按照最后报价由低到高的顺序和供应商须知前附表中规定确定成交候选人，并标明排列顺序。按供应商须知前附表中规定，由谈判小组或采购人确定成交供应商。</w:t>
      </w:r>
    </w:p>
    <w:p w14:paraId="71229C72">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20.编写评审报告</w:t>
      </w:r>
    </w:p>
    <w:p w14:paraId="2693A82D">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21.保密要求</w:t>
      </w:r>
    </w:p>
    <w:p w14:paraId="2A2CEDF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21.1评审将在严格保密的情况下进行。</w:t>
      </w:r>
    </w:p>
    <w:p w14:paraId="4F85A3D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21.2有关人员应当遵守评审工作纪律，不得泄露评审文件、评审情况和评审中获悉的国家秘密、商业秘密。</w:t>
      </w:r>
    </w:p>
    <w:p w14:paraId="150AE60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22.成交结果公告</w:t>
      </w:r>
    </w:p>
    <w:p w14:paraId="4FD790E2">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22.1为体现“公开、公平、公正”的原则，谈判结束后，采购代理机构将在桐城师范高等专科学校官网和安庆市公共资源交易服务网“限额以下项目”上发布成交结果公告。</w:t>
      </w:r>
    </w:p>
    <w:p w14:paraId="68D564C8">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22.2成交结果公告内容应当包括采购人及其委托的采购代理机构的名称、地址、联系方式，项目名称和项目编号，成交供应商名称、地址和成交金额，主要成交标的的名称、品牌（如有）、规格型号、数量、单价，成交结果公告期限、评审专家名单以及供应商须知前附表中约定进行公告的内容。</w:t>
      </w:r>
    </w:p>
    <w:p w14:paraId="315E763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23.成交通知书</w:t>
      </w:r>
    </w:p>
    <w:p w14:paraId="0709D03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23.1采购代理机构发布成交结果公告的同时以供应商须知前附表规定的形式向成交供应商发出成交通知书。</w:t>
      </w:r>
    </w:p>
    <w:p w14:paraId="1E90744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23.2成交通知书对采购人和成交供应商具有同等法律效力。成交通知书发出以后，采购人改变成交结果或者成交供应商放弃成交资格，应当承担相应的法律责任。</w:t>
      </w:r>
    </w:p>
    <w:p w14:paraId="4712008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23.3成交通知书是合同的组成部分。</w:t>
      </w:r>
    </w:p>
    <w:p w14:paraId="46932AAC">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24.告知谈判结果</w:t>
      </w:r>
    </w:p>
    <w:p w14:paraId="79B8FCF7">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24.1在公告成交结果的同时，采购代理机构同时以供应商须知前附表规定的形式告知未成交供应商本人的排序。</w:t>
      </w:r>
    </w:p>
    <w:p w14:paraId="7A07E4D4">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24.2采购代理机构对未成交的供应商不做未成交原因的解释。</w:t>
      </w:r>
    </w:p>
    <w:p w14:paraId="4CEBA475">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25.履约保证金</w:t>
      </w:r>
    </w:p>
    <w:p w14:paraId="7015E38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25.1成交供应商应按照供应商须知前附表规定缴纳履约保证金。</w:t>
      </w:r>
    </w:p>
    <w:p w14:paraId="2C1CD49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25.2如果成交供应商没有按照上述履约保证金的规定执行，将视为放弃成交资格。在此情况下，采购人可确定下一成交候选人为成交供应商，也可以重新开展采购活动。</w:t>
      </w:r>
    </w:p>
    <w:p w14:paraId="02B218C6">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26.代理费用</w:t>
      </w:r>
    </w:p>
    <w:p w14:paraId="6CB914BC">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26.1本项目代理费用的收取按供应商须知前附表的规定执行。</w:t>
      </w:r>
    </w:p>
    <w:p w14:paraId="456F33E8">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27.签订合同</w:t>
      </w:r>
    </w:p>
    <w:p w14:paraId="226E2533">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27.1采购人与成交供应商应当按照供应商须知前附表规定的时间内完成政府采购合同签订及合同公告。</w:t>
      </w:r>
    </w:p>
    <w:p w14:paraId="0AC727D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27.2谈判文件、成交供应商的响应文件及其澄清文件等，均为签订合同的依据。</w:t>
      </w:r>
    </w:p>
    <w:p w14:paraId="170A950F">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27.3 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4DE9F811">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28.廉洁自律规定</w:t>
      </w:r>
    </w:p>
    <w:p w14:paraId="5A14A57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28.1采购代理机构工作人员不得以不正当手段获取政府采购代理业务，不得与采购人、供应商恶意串通。</w:t>
      </w:r>
    </w:p>
    <w:p w14:paraId="47E94F1B">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28.2采购代理机构工作人员不得接受采购人或者供应商组织的宴请、旅游、娱乐，不得收受礼品、现金、有价证券等，不得向采购人或者供应商报销应当由个人承担的费用。</w:t>
      </w:r>
    </w:p>
    <w:p w14:paraId="7F2F1047">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29.质疑的提出与接收</w:t>
      </w:r>
    </w:p>
    <w:p w14:paraId="0D40443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8FB1E15">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29.3采购代理机构质疑函接收部门、联系电话和通讯地址，见供应商须知前附表。</w:t>
      </w:r>
    </w:p>
    <w:p w14:paraId="4E139FF3">
      <w:pPr>
        <w:spacing w:beforeAutospacing="0" w:line="360" w:lineRule="auto"/>
        <w:outlineLvl w:val="2"/>
        <w:rPr>
          <w:rFonts w:hint="eastAsia"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30.需要补充的其他内容</w:t>
      </w:r>
    </w:p>
    <w:p w14:paraId="7C2E2DA6">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需要补充的其他内容，见供应商须知前附表。</w:t>
      </w:r>
    </w:p>
    <w:p w14:paraId="6B85ACF8">
      <w:pPr>
        <w:spacing w:beforeAutospacing="0" w:line="360" w:lineRule="auto"/>
        <w:outlineLvl w:val="2"/>
        <w:rPr>
          <w:rFonts w:hint="default" w:cs="Times New Roman" w:asciiTheme="minorEastAsia" w:hAnsiTheme="minorEastAsia" w:eastAsiaTheme="minorEastAsia"/>
          <w:b/>
          <w:color w:val="auto"/>
          <w:sz w:val="24"/>
          <w:highlight w:val="none"/>
          <w:lang w:val="en-US" w:eastAsia="zh-CN"/>
        </w:rPr>
      </w:pPr>
      <w:r>
        <w:rPr>
          <w:rFonts w:hint="eastAsia" w:cs="Times New Roman" w:asciiTheme="minorEastAsia" w:hAnsiTheme="minorEastAsia" w:eastAsiaTheme="minorEastAsia"/>
          <w:b/>
          <w:color w:val="auto"/>
          <w:sz w:val="24"/>
          <w:highlight w:val="none"/>
          <w:lang w:val="en-US" w:eastAsia="zh-CN"/>
        </w:rPr>
        <w:t>31.备注</w:t>
      </w:r>
    </w:p>
    <w:p w14:paraId="1EFDFFD1">
      <w:pPr>
        <w:spacing w:line="360" w:lineRule="auto"/>
        <w:ind w:firstLine="240" w:firstLineChars="100"/>
        <w:rPr>
          <w:rFonts w:hint="default" w:ascii="宋体" w:hAnsi="宋体" w:eastAsia="宋体" w:cs="Times New Roman"/>
          <w:color w:val="auto"/>
          <w:sz w:val="24"/>
          <w:highlight w:val="none"/>
          <w:lang w:val="en-US" w:eastAsia="zh-CN"/>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Times New Roman"/>
          <w:color w:val="auto"/>
          <w:sz w:val="24"/>
          <w:highlight w:val="none"/>
          <w:lang w:val="en-US" w:eastAsia="zh-CN"/>
        </w:rPr>
        <w:t>本谈判文件第五章合同格式内容以供参考，具体合同内容以采购人与成交供应商所签订的合同为准</w:t>
      </w:r>
      <w:r>
        <w:rPr>
          <w:rFonts w:hint="eastAsia" w:ascii="宋体" w:hAnsi="宋体" w:cs="Times New Roman"/>
          <w:color w:val="auto"/>
          <w:sz w:val="24"/>
          <w:highlight w:val="none"/>
          <w:lang w:val="en-US" w:eastAsia="zh-CN"/>
        </w:rPr>
        <w:t>。</w:t>
      </w:r>
    </w:p>
    <w:p w14:paraId="70633890">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bCs/>
          <w:color w:val="auto"/>
          <w:sz w:val="24"/>
          <w:szCs w:val="24"/>
          <w:highlight w:val="none"/>
          <w:lang w:val="zh-CN"/>
        </w:rPr>
      </w:pPr>
    </w:p>
    <w:bookmarkEnd w:id="45"/>
    <w:bookmarkEnd w:id="46"/>
    <w:bookmarkEnd w:id="47"/>
    <w:bookmarkEnd w:id="48"/>
    <w:bookmarkEnd w:id="49"/>
    <w:bookmarkEnd w:id="50"/>
    <w:bookmarkEnd w:id="51"/>
    <w:p w14:paraId="1C9EA266">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bookmarkStart w:id="55" w:name="_Toc12353"/>
      <w:r>
        <w:rPr>
          <w:rFonts w:hint="eastAsia" w:ascii="宋体" w:hAnsi="宋体" w:eastAsia="宋体" w:cs="宋体"/>
          <w:b/>
          <w:bCs/>
          <w:color w:val="auto"/>
          <w:kern w:val="2"/>
          <w:sz w:val="36"/>
          <w:szCs w:val="36"/>
          <w:highlight w:val="none"/>
          <w:lang w:val="en-US" w:eastAsia="zh-CN"/>
        </w:rPr>
        <w:t>第三章 采购需求</w:t>
      </w:r>
      <w:bookmarkEnd w:id="55"/>
    </w:p>
    <w:p w14:paraId="053A50F9">
      <w:pPr>
        <w:spacing w:beforeAutospacing="0" w:line="360" w:lineRule="auto"/>
        <w:outlineLvl w:val="1"/>
        <w:rPr>
          <w:rFonts w:ascii="宋体" w:hAnsi="宋体" w:eastAsia="宋体"/>
          <w:b/>
          <w:color w:val="auto"/>
          <w:sz w:val="24"/>
          <w:szCs w:val="18"/>
          <w:highlight w:val="none"/>
        </w:rPr>
      </w:pPr>
      <w:bookmarkStart w:id="56" w:name="_Toc16371"/>
      <w:r>
        <w:rPr>
          <w:rFonts w:hint="eastAsia" w:ascii="宋体" w:hAnsi="宋体" w:eastAsia="宋体" w:cs="宋体"/>
          <w:b/>
          <w:bCs/>
          <w:sz w:val="24"/>
          <w:szCs w:val="24"/>
          <w:lang w:val="en-US" w:eastAsia="zh-CN" w:bidi="ar-SA"/>
        </w:rPr>
        <w:t>一、</w:t>
      </w:r>
      <w:r>
        <w:rPr>
          <w:rFonts w:hint="eastAsia" w:ascii="宋体" w:hAnsi="宋体" w:eastAsia="宋体"/>
          <w:b/>
          <w:color w:val="auto"/>
          <w:sz w:val="24"/>
          <w:szCs w:val="18"/>
          <w:highlight w:val="none"/>
        </w:rPr>
        <w:t>采购需求前附表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1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EE1D55">
            <w:pPr>
              <w:pStyle w:val="14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797C56CF">
            <w:pPr>
              <w:pStyle w:val="145"/>
              <w:widowControl w:val="0"/>
              <w:spacing w:before="0" w:beforeAutospacing="0" w:after="0" w:afterAutospacing="0" w:line="360" w:lineRule="auto"/>
              <w:jc w:val="center"/>
              <w:rPr>
                <w:rFonts w:hint="default" w:ascii="宋体" w:hAnsi="宋体" w:eastAsia="宋体"/>
                <w:b w:val="0"/>
                <w:color w:val="auto"/>
                <w:sz w:val="24"/>
                <w:highlight w:val="none"/>
                <w:u w:val="single"/>
                <w:lang w:val="en-US"/>
              </w:rPr>
            </w:pPr>
            <w:r>
              <w:rPr>
                <w:rFonts w:hint="eastAsia" w:ascii="宋体" w:hAnsi="宋体"/>
                <w:b w:val="0"/>
                <w:color w:val="auto"/>
                <w:sz w:val="24"/>
                <w:highlight w:val="none"/>
                <w:u w:val="none"/>
                <w:lang w:val="en-US" w:eastAsia="zh-CN"/>
              </w:rPr>
              <w:t>完成本项目全部内容并验收合格后一次性支付</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w:t>
            </w:r>
            <w:r>
              <w:rPr>
                <w:rFonts w:hint="eastAsia" w:ascii="宋体" w:hAnsi="宋体"/>
                <w:b w:val="0"/>
                <w:color w:val="auto"/>
                <w:sz w:val="24"/>
                <w:highlight w:val="none"/>
                <w:lang w:val="en-US" w:eastAsia="zh-CN"/>
              </w:rPr>
              <w:t>及安装</w:t>
            </w:r>
            <w:r>
              <w:rPr>
                <w:rFonts w:hint="eastAsia" w:ascii="宋体" w:hAnsi="宋体" w:eastAsia="宋体"/>
                <w:b w:val="0"/>
                <w:color w:val="auto"/>
                <w:sz w:val="24"/>
                <w:highlight w:val="none"/>
              </w:rPr>
              <w:t>地点</w:t>
            </w:r>
          </w:p>
        </w:tc>
        <w:tc>
          <w:tcPr>
            <w:tcW w:w="3217" w:type="pct"/>
            <w:vAlign w:val="center"/>
          </w:tcPr>
          <w:p w14:paraId="6E190F26">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桐城师范高等专科学校</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1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14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w:t>
            </w:r>
            <w:r>
              <w:rPr>
                <w:rFonts w:hint="eastAsia" w:ascii="宋体" w:hAnsi="宋体"/>
                <w:b w:val="0"/>
                <w:color w:val="auto"/>
                <w:sz w:val="24"/>
                <w:highlight w:val="none"/>
                <w:lang w:val="en-US" w:eastAsia="zh-CN"/>
              </w:rPr>
              <w:t>及安装</w:t>
            </w:r>
            <w:r>
              <w:rPr>
                <w:rFonts w:hint="eastAsia" w:ascii="宋体" w:hAnsi="宋体" w:eastAsia="宋体"/>
                <w:b w:val="0"/>
                <w:color w:val="auto"/>
                <w:sz w:val="24"/>
                <w:highlight w:val="none"/>
              </w:rPr>
              <w:t>期限</w:t>
            </w:r>
          </w:p>
        </w:tc>
        <w:tc>
          <w:tcPr>
            <w:tcW w:w="3217" w:type="pct"/>
            <w:vAlign w:val="center"/>
          </w:tcPr>
          <w:p w14:paraId="727D0143">
            <w:pPr>
              <w:pStyle w:val="145"/>
              <w:widowControl w:val="0"/>
              <w:spacing w:before="0" w:beforeAutospacing="0" w:after="0" w:afterAutospacing="0" w:line="360" w:lineRule="auto"/>
              <w:jc w:val="center"/>
              <w:rPr>
                <w:rFonts w:hint="default" w:ascii="宋体" w:hAnsi="宋体" w:eastAsia="宋体"/>
                <w:b w:val="0"/>
                <w:color w:val="auto"/>
                <w:sz w:val="24"/>
                <w:highlight w:val="none"/>
                <w:lang w:val="en-US" w:eastAsia="zh-CN"/>
              </w:rPr>
            </w:pPr>
            <w:r>
              <w:rPr>
                <w:rFonts w:hint="eastAsia" w:ascii="宋体" w:hAnsi="宋体"/>
                <w:b w:val="0"/>
                <w:color w:val="auto"/>
                <w:sz w:val="24"/>
                <w:highlight w:val="none"/>
                <w:u w:val="none"/>
                <w:lang w:val="en-US" w:eastAsia="zh-CN"/>
              </w:rPr>
              <w:t>合同签订后60日历天完成供货、安装调试及采购人其他要求</w:t>
            </w:r>
          </w:p>
        </w:tc>
      </w:tr>
      <w:tr w14:paraId="2FFA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7F673A">
            <w:pPr>
              <w:pStyle w:val="14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5158539">
            <w:pPr>
              <w:pStyle w:val="145"/>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b w:val="0"/>
                <w:color w:val="auto"/>
                <w:sz w:val="24"/>
                <w:highlight w:val="none"/>
                <w:lang w:val="en-US" w:eastAsia="zh-CN"/>
              </w:rPr>
              <w:t>免费质保期</w:t>
            </w:r>
          </w:p>
        </w:tc>
        <w:tc>
          <w:tcPr>
            <w:tcW w:w="3217" w:type="pct"/>
            <w:vAlign w:val="center"/>
          </w:tcPr>
          <w:p w14:paraId="3A809A52">
            <w:pPr>
              <w:pStyle w:val="145"/>
              <w:widowControl w:val="0"/>
              <w:spacing w:before="0" w:beforeAutospacing="0" w:after="0" w:afterAutospacing="0" w:line="360" w:lineRule="auto"/>
              <w:jc w:val="center"/>
              <w:rPr>
                <w:rFonts w:hint="default" w:ascii="宋体" w:hAnsi="宋体"/>
                <w:b w:val="0"/>
                <w:color w:val="auto"/>
                <w:sz w:val="24"/>
                <w:highlight w:val="none"/>
                <w:u w:val="none"/>
                <w:lang w:val="en-US" w:eastAsia="zh-CN"/>
              </w:rPr>
            </w:pPr>
            <w:r>
              <w:rPr>
                <w:rFonts w:hint="eastAsia" w:ascii="宋体" w:hAnsi="宋体"/>
                <w:b w:val="0"/>
                <w:color w:val="auto"/>
                <w:sz w:val="24"/>
                <w:highlight w:val="none"/>
                <w:u w:val="none"/>
                <w:lang w:val="en-US" w:eastAsia="zh-CN"/>
              </w:rPr>
              <w:t>验收合格之日起不低于3年</w:t>
            </w:r>
          </w:p>
        </w:tc>
      </w:tr>
      <w:tr w14:paraId="43BA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CB664A6">
            <w:pPr>
              <w:pStyle w:val="14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338566C3">
            <w:pPr>
              <w:pStyle w:val="145"/>
              <w:widowControl w:val="0"/>
              <w:spacing w:before="0" w:beforeAutospacing="0" w:after="0" w:afterAutospacing="0" w:line="360" w:lineRule="auto"/>
              <w:rPr>
                <w:rFonts w:hint="default" w:ascii="宋体" w:hAnsi="宋体"/>
                <w:b w:val="0"/>
                <w:color w:val="auto"/>
                <w:sz w:val="24"/>
                <w:highlight w:val="none"/>
                <w:lang w:val="en-US" w:eastAsia="zh-CN"/>
              </w:rPr>
            </w:pPr>
            <w:r>
              <w:rPr>
                <w:rFonts w:hint="eastAsia" w:ascii="宋体" w:hAnsi="宋体"/>
                <w:b w:val="0"/>
                <w:color w:val="auto"/>
                <w:sz w:val="24"/>
                <w:highlight w:val="none"/>
                <w:lang w:val="en-US" w:eastAsia="zh-CN"/>
              </w:rPr>
              <w:t>商品包装要求</w:t>
            </w:r>
          </w:p>
        </w:tc>
        <w:tc>
          <w:tcPr>
            <w:tcW w:w="3217" w:type="pct"/>
            <w:vAlign w:val="center"/>
          </w:tcPr>
          <w:p w14:paraId="21562C35">
            <w:pPr>
              <w:pStyle w:val="145"/>
              <w:widowControl w:val="0"/>
              <w:spacing w:before="0" w:beforeAutospacing="0" w:after="0" w:afterAutospacing="0" w:line="360" w:lineRule="auto"/>
              <w:jc w:val="center"/>
              <w:rPr>
                <w:rFonts w:hint="default" w:ascii="宋体" w:hAnsi="宋体"/>
                <w:b w:val="0"/>
                <w:color w:val="auto"/>
                <w:sz w:val="24"/>
                <w:highlight w:val="none"/>
                <w:u w:val="none"/>
                <w:lang w:val="en-US" w:eastAsia="zh-CN"/>
              </w:rPr>
            </w:pPr>
            <w:r>
              <w:rPr>
                <w:rFonts w:hint="eastAsia" w:ascii="宋体" w:hAnsi="宋体"/>
                <w:b w:val="0"/>
                <w:color w:val="auto"/>
                <w:sz w:val="24"/>
                <w:highlight w:val="none"/>
                <w:u w:val="none"/>
                <w:lang w:val="en-US" w:eastAsia="zh-CN"/>
              </w:rPr>
              <w:t>除另有约定外，供应商交付全部货物的包装要求严格按照国家强制标准执行</w:t>
            </w:r>
          </w:p>
        </w:tc>
      </w:tr>
    </w:tbl>
    <w:p w14:paraId="3EB9B7EC">
      <w:pPr>
        <w:spacing w:beforeAutospacing="0" w:line="360" w:lineRule="auto"/>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二、采购内容</w:t>
      </w:r>
    </w:p>
    <w:tbl>
      <w:tblPr>
        <w:tblStyle w:val="41"/>
        <w:tblW w:w="11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307"/>
        <w:gridCol w:w="738"/>
        <w:gridCol w:w="825"/>
        <w:gridCol w:w="810"/>
        <w:gridCol w:w="854"/>
      </w:tblGrid>
      <w:tr w14:paraId="0F9D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219" w:type="dxa"/>
            <w:gridSpan w:val="6"/>
            <w:tcBorders>
              <w:top w:val="nil"/>
              <w:left w:val="nil"/>
              <w:bottom w:val="single" w:color="auto" w:sz="4" w:space="0"/>
              <w:right w:val="nil"/>
            </w:tcBorders>
            <w:noWrap w:val="0"/>
            <w:vAlign w:val="center"/>
          </w:tcPr>
          <w:p w14:paraId="24E397C6">
            <w:pPr>
              <w:jc w:val="center"/>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教学楼课桌椅采购项目方案</w:t>
            </w:r>
          </w:p>
        </w:tc>
      </w:tr>
      <w:tr w14:paraId="256F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685" w:type="dxa"/>
            <w:tcBorders>
              <w:top w:val="single" w:color="auto" w:sz="4" w:space="0"/>
            </w:tcBorders>
            <w:noWrap w:val="0"/>
            <w:vAlign w:val="center"/>
          </w:tcPr>
          <w:p w14:paraId="366745DF">
            <w:pPr>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7307" w:type="dxa"/>
            <w:tcBorders>
              <w:top w:val="single" w:color="auto" w:sz="4" w:space="0"/>
            </w:tcBorders>
            <w:noWrap w:val="0"/>
            <w:vAlign w:val="center"/>
          </w:tcPr>
          <w:p w14:paraId="06AEC7D4">
            <w:pPr>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技术参数及要求</w:t>
            </w:r>
            <w:r>
              <w:rPr>
                <w:rFonts w:hint="eastAsia" w:ascii="仿宋" w:hAnsi="仿宋" w:eastAsia="仿宋" w:cs="仿宋"/>
                <w:bCs/>
                <w:sz w:val="24"/>
              </w:rPr>
              <w:t>×</w:t>
            </w:r>
          </w:p>
        </w:tc>
        <w:tc>
          <w:tcPr>
            <w:tcW w:w="738" w:type="dxa"/>
            <w:tcBorders>
              <w:top w:val="single" w:color="auto" w:sz="4" w:space="0"/>
            </w:tcBorders>
            <w:noWrap w:val="0"/>
            <w:vAlign w:val="center"/>
          </w:tcPr>
          <w:p w14:paraId="4465300A">
            <w:pPr>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25" w:type="dxa"/>
            <w:tcBorders>
              <w:top w:val="single" w:color="auto" w:sz="4" w:space="0"/>
            </w:tcBorders>
            <w:noWrap w:val="0"/>
            <w:vAlign w:val="center"/>
          </w:tcPr>
          <w:p w14:paraId="26A88B23">
            <w:pPr>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单位</w:t>
            </w:r>
          </w:p>
        </w:tc>
        <w:tc>
          <w:tcPr>
            <w:tcW w:w="810" w:type="dxa"/>
            <w:tcBorders>
              <w:top w:val="single" w:color="auto" w:sz="4" w:space="0"/>
            </w:tcBorders>
            <w:noWrap w:val="0"/>
            <w:vAlign w:val="center"/>
          </w:tcPr>
          <w:p w14:paraId="536734CD">
            <w:pPr>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val="en-US" w:eastAsia="zh-CN" w:bidi="ar"/>
              </w:rPr>
              <w:t>单价</w:t>
            </w:r>
          </w:p>
        </w:tc>
        <w:tc>
          <w:tcPr>
            <w:tcW w:w="854" w:type="dxa"/>
            <w:tcBorders>
              <w:top w:val="single" w:color="auto" w:sz="4" w:space="0"/>
            </w:tcBorders>
            <w:noWrap w:val="0"/>
            <w:vAlign w:val="center"/>
          </w:tcPr>
          <w:p w14:paraId="7F1CAC2A">
            <w:pPr>
              <w:jc w:val="center"/>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总价</w:t>
            </w:r>
          </w:p>
        </w:tc>
      </w:tr>
      <w:tr w14:paraId="5D6F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685" w:type="dxa"/>
            <w:noWrap w:val="0"/>
            <w:vAlign w:val="center"/>
          </w:tcPr>
          <w:p w14:paraId="22CD1550">
            <w:pPr>
              <w:jc w:val="center"/>
              <w:rPr>
                <w:rFonts w:hint="eastAsia" w:ascii="仿宋" w:hAnsi="仿宋" w:eastAsia="仿宋" w:cs="仿宋"/>
                <w:color w:val="000000"/>
                <w:kern w:val="0"/>
                <w:sz w:val="24"/>
                <w:lang w:bidi="ar"/>
              </w:rPr>
            </w:pPr>
            <w:r>
              <w:rPr>
                <w:rFonts w:hint="eastAsia" w:ascii="仿宋" w:hAnsi="仿宋" w:eastAsia="仿宋" w:cs="仿宋"/>
                <w:b/>
                <w:bCs/>
                <w:sz w:val="24"/>
              </w:rPr>
              <w:t>双人位课桌椅</w:t>
            </w:r>
          </w:p>
        </w:tc>
        <w:tc>
          <w:tcPr>
            <w:tcW w:w="7307" w:type="dxa"/>
            <w:noWrap w:val="0"/>
            <w:vAlign w:val="center"/>
          </w:tcPr>
          <w:p w14:paraId="488DFCAF">
            <w:pPr>
              <w:spacing w:line="360" w:lineRule="auto"/>
              <w:outlineLvl w:val="2"/>
              <w:rPr>
                <w:rFonts w:hint="eastAsia" w:ascii="仿宋" w:hAnsi="仿宋" w:eastAsia="仿宋" w:cs="仿宋"/>
                <w:b/>
                <w:bCs/>
                <w:sz w:val="24"/>
              </w:rPr>
            </w:pPr>
            <w:r>
              <w:rPr>
                <w:rFonts w:hint="eastAsia" w:ascii="仿宋" w:hAnsi="仿宋" w:eastAsia="仿宋" w:cs="仿宋"/>
                <w:b/>
                <w:bCs/>
                <w:sz w:val="24"/>
              </w:rPr>
              <w:t>一、双人位课桌产品描述</w:t>
            </w:r>
          </w:p>
          <w:p w14:paraId="7511E5F9">
            <w:pPr>
              <w:spacing w:line="360" w:lineRule="auto"/>
              <w:jc w:val="left"/>
              <w:rPr>
                <w:rFonts w:hint="eastAsia" w:ascii="仿宋" w:hAnsi="仿宋" w:eastAsia="仿宋" w:cs="仿宋"/>
                <w:bCs/>
                <w:sz w:val="24"/>
              </w:rPr>
            </w:pPr>
            <w:r>
              <w:rPr>
                <w:rFonts w:hint="eastAsia" w:ascii="仿宋" w:hAnsi="仿宋" w:eastAsia="仿宋" w:cs="仿宋"/>
                <w:bCs/>
                <w:sz w:val="24"/>
              </w:rPr>
              <w:t>1、颜色：可选。</w:t>
            </w:r>
          </w:p>
          <w:p w14:paraId="7E68C067">
            <w:pPr>
              <w:spacing w:line="360" w:lineRule="auto"/>
              <w:jc w:val="left"/>
              <w:rPr>
                <w:rFonts w:hint="eastAsia" w:ascii="仿宋" w:hAnsi="仿宋" w:eastAsia="仿宋" w:cs="仿宋"/>
                <w:bCs/>
                <w:sz w:val="24"/>
              </w:rPr>
            </w:pPr>
            <w:r>
              <w:rPr>
                <w:rFonts w:hint="eastAsia" w:ascii="仿宋" w:hAnsi="仿宋" w:eastAsia="仿宋" w:cs="仿宋"/>
                <w:bCs/>
                <w:sz w:val="24"/>
              </w:rPr>
              <w:t>2、规格：长1200mm×宽500mm（±10mm），高720mm（±20mm）-790mm（±20mm）。</w:t>
            </w:r>
          </w:p>
          <w:p w14:paraId="0BA76508">
            <w:pPr>
              <w:spacing w:line="360" w:lineRule="auto"/>
              <w:jc w:val="left"/>
              <w:rPr>
                <w:rFonts w:hint="eastAsia" w:ascii="仿宋" w:hAnsi="仿宋" w:eastAsia="仿宋" w:cs="仿宋"/>
                <w:bCs/>
                <w:sz w:val="24"/>
              </w:rPr>
            </w:pPr>
            <w:r>
              <w:rPr>
                <w:rFonts w:hint="eastAsia" w:ascii="仿宋" w:hAnsi="仿宋" w:eastAsia="仿宋" w:cs="仿宋"/>
                <w:bCs/>
                <w:sz w:val="24"/>
              </w:rPr>
              <w:t>3、桌面板：</w:t>
            </w:r>
            <w:r>
              <w:rPr>
                <w:rFonts w:hint="eastAsia" w:ascii="仿宋" w:hAnsi="仿宋" w:eastAsia="仿宋" w:cs="仿宋"/>
                <w:kern w:val="0"/>
                <w:sz w:val="24"/>
              </w:rPr>
              <w:t>材质</w:t>
            </w:r>
            <w:r>
              <w:rPr>
                <w:rFonts w:hint="eastAsia" w:ascii="仿宋" w:hAnsi="仿宋" w:eastAsia="仿宋" w:cs="仿宋"/>
                <w:sz w:val="24"/>
              </w:rPr>
              <w:t>采用优质环保饰面刨花板，</w:t>
            </w:r>
            <w:r>
              <w:rPr>
                <w:rFonts w:hint="eastAsia" w:ascii="仿宋" w:hAnsi="仿宋" w:eastAsia="仿宋" w:cs="仿宋"/>
                <w:kern w:val="0"/>
                <w:sz w:val="24"/>
              </w:rPr>
              <w:t>尺寸</w:t>
            </w:r>
            <w:r>
              <w:rPr>
                <w:rFonts w:hint="eastAsia" w:ascii="仿宋" w:hAnsi="仿宋" w:eastAsia="仿宋" w:cs="仿宋"/>
                <w:bCs/>
                <w:sz w:val="24"/>
              </w:rPr>
              <w:t>长≥1200mm×宽≥500mm×</w:t>
            </w:r>
            <w:r>
              <w:rPr>
                <w:rFonts w:hint="eastAsia" w:ascii="仿宋" w:hAnsi="仿宋" w:eastAsia="仿宋" w:cs="仿宋"/>
                <w:kern w:val="0"/>
                <w:sz w:val="24"/>
              </w:rPr>
              <w:t>厚</w:t>
            </w:r>
            <w:r>
              <w:rPr>
                <w:rFonts w:hint="eastAsia" w:ascii="仿宋" w:hAnsi="仿宋" w:eastAsia="仿宋" w:cs="仿宋"/>
                <w:bCs/>
                <w:sz w:val="24"/>
              </w:rPr>
              <w:t>≥</w:t>
            </w:r>
            <w:r>
              <w:rPr>
                <w:rFonts w:hint="eastAsia" w:ascii="仿宋" w:hAnsi="仿宋" w:eastAsia="仿宋" w:cs="仿宋"/>
                <w:kern w:val="0"/>
                <w:sz w:val="24"/>
              </w:rPr>
              <w:t>18mm，</w:t>
            </w:r>
            <w:r>
              <w:rPr>
                <w:rFonts w:hint="eastAsia" w:ascii="仿宋" w:hAnsi="仿宋" w:eastAsia="仿宋" w:cs="仿宋"/>
                <w:sz w:val="24"/>
              </w:rPr>
              <w:t>甲醛释放量符合国家标准，四周采用</w:t>
            </w:r>
            <w:r>
              <w:rPr>
                <w:rFonts w:hint="eastAsia" w:ascii="仿宋" w:hAnsi="仿宋" w:eastAsia="仿宋" w:cs="仿宋"/>
                <w:kern w:val="0"/>
                <w:sz w:val="24"/>
              </w:rPr>
              <w:t>环保PP塑料无</w:t>
            </w:r>
            <w:r>
              <w:rPr>
                <w:rFonts w:hint="eastAsia" w:ascii="仿宋" w:hAnsi="仿宋" w:eastAsia="仿宋" w:cs="仿宋"/>
                <w:sz w:val="24"/>
              </w:rPr>
              <w:t>缝</w:t>
            </w:r>
            <w:r>
              <w:rPr>
                <w:rFonts w:hint="eastAsia" w:ascii="仿宋" w:hAnsi="仿宋" w:eastAsia="仿宋" w:cs="仿宋"/>
                <w:kern w:val="0"/>
                <w:sz w:val="24"/>
              </w:rPr>
              <w:t>注塑一次成型包边，</w:t>
            </w:r>
            <w:r>
              <w:rPr>
                <w:rFonts w:hint="eastAsia" w:ascii="仿宋" w:hAnsi="仿宋" w:eastAsia="仿宋" w:cs="仿宋"/>
                <w:b/>
                <w:bCs/>
                <w:color w:val="auto"/>
                <w:kern w:val="0"/>
                <w:sz w:val="24"/>
              </w:rPr>
              <w:t>（</w:t>
            </w:r>
            <w:r>
              <w:rPr>
                <w:rFonts w:hint="eastAsia" w:ascii="仿宋" w:hAnsi="仿宋" w:eastAsia="仿宋" w:cs="仿宋"/>
                <w:b/>
                <w:bCs/>
                <w:color w:val="auto"/>
                <w:sz w:val="24"/>
              </w:rPr>
              <w:t>投标文件中提供桌面板的实物测量照片，实物测量照片测量后满足:①桌面板长≥1200mm,②桌面板宽≥500mm,③桌面板</w:t>
            </w:r>
            <w:r>
              <w:rPr>
                <w:rFonts w:hint="eastAsia" w:ascii="仿宋" w:hAnsi="仿宋" w:eastAsia="仿宋" w:cs="仿宋"/>
                <w:b/>
                <w:bCs/>
                <w:color w:val="auto"/>
                <w:kern w:val="0"/>
                <w:sz w:val="24"/>
              </w:rPr>
              <w:t>厚</w:t>
            </w:r>
            <w:r>
              <w:rPr>
                <w:rFonts w:hint="eastAsia" w:ascii="仿宋" w:hAnsi="仿宋" w:eastAsia="仿宋" w:cs="仿宋"/>
                <w:b/>
                <w:bCs/>
                <w:color w:val="auto"/>
                <w:sz w:val="24"/>
              </w:rPr>
              <w:t>≥</w:t>
            </w:r>
            <w:r>
              <w:rPr>
                <w:rFonts w:hint="eastAsia" w:ascii="仿宋" w:hAnsi="仿宋" w:eastAsia="仿宋" w:cs="仿宋"/>
                <w:b/>
                <w:bCs/>
                <w:color w:val="auto"/>
                <w:kern w:val="0"/>
                <w:sz w:val="24"/>
              </w:rPr>
              <w:t>18mm，④</w:t>
            </w:r>
            <w:r>
              <w:rPr>
                <w:rFonts w:hint="eastAsia" w:ascii="仿宋" w:hAnsi="仿宋" w:eastAsia="仿宋" w:cs="仿宋"/>
                <w:b/>
                <w:bCs/>
                <w:color w:val="auto"/>
                <w:sz w:val="24"/>
              </w:rPr>
              <w:t>四周为</w:t>
            </w:r>
            <w:r>
              <w:rPr>
                <w:rFonts w:hint="eastAsia" w:ascii="仿宋" w:hAnsi="仿宋" w:eastAsia="仿宋" w:cs="仿宋"/>
                <w:b/>
                <w:bCs/>
                <w:color w:val="auto"/>
                <w:kern w:val="0"/>
                <w:sz w:val="24"/>
              </w:rPr>
              <w:t>注塑一次成型包边</w:t>
            </w:r>
            <w:r>
              <w:rPr>
                <w:rFonts w:hint="eastAsia" w:ascii="仿宋" w:hAnsi="仿宋" w:eastAsia="仿宋" w:cs="仿宋"/>
                <w:b/>
                <w:bCs/>
                <w:color w:val="auto"/>
                <w:sz w:val="24"/>
              </w:rPr>
              <w:t>）。</w:t>
            </w:r>
          </w:p>
          <w:p w14:paraId="36AF27D1">
            <w:pPr>
              <w:widowControl/>
              <w:spacing w:line="360" w:lineRule="auto"/>
              <w:jc w:val="left"/>
              <w:rPr>
                <w:rFonts w:hint="eastAsia" w:ascii="仿宋" w:hAnsi="仿宋" w:eastAsia="仿宋" w:cs="仿宋"/>
                <w:kern w:val="0"/>
                <w:sz w:val="24"/>
              </w:rPr>
            </w:pPr>
            <w:r>
              <w:rPr>
                <w:rFonts w:hint="eastAsia" w:ascii="仿宋" w:hAnsi="仿宋" w:eastAsia="仿宋" w:cs="仿宋"/>
                <w:bCs/>
                <w:sz w:val="24"/>
              </w:rPr>
              <w:t>4、桌斗：</w:t>
            </w:r>
            <w:r>
              <w:rPr>
                <w:rFonts w:hint="eastAsia" w:ascii="仿宋" w:hAnsi="仿宋" w:eastAsia="仿宋" w:cs="仿宋"/>
                <w:sz w:val="24"/>
              </w:rPr>
              <w:t>梯形结构，深340mm×高85mm</w:t>
            </w:r>
            <w:r>
              <w:rPr>
                <w:rFonts w:hint="eastAsia" w:ascii="仿宋" w:hAnsi="仿宋" w:eastAsia="仿宋" w:cs="仿宋"/>
                <w:bCs/>
                <w:sz w:val="24"/>
              </w:rPr>
              <w:t>（±10mm）</w:t>
            </w:r>
            <w:r>
              <w:rPr>
                <w:rFonts w:hint="eastAsia" w:ascii="仿宋" w:hAnsi="仿宋" w:eastAsia="仿宋" w:cs="仿宋"/>
                <w:sz w:val="24"/>
              </w:rPr>
              <w:t>，采用Φ7mm圆钢管焊接Φ4mm圆钢管而成，且钢筋接缝处尽量位于隐秘处，桌斗两侧挂钩采用Φ5mm钢筋，方便学生挂书包或学习用品袋。</w:t>
            </w:r>
          </w:p>
          <w:p w14:paraId="744D81B5">
            <w:pPr>
              <w:spacing w:line="360" w:lineRule="auto"/>
              <w:rPr>
                <w:rFonts w:hint="eastAsia" w:ascii="仿宋" w:hAnsi="仿宋" w:eastAsia="仿宋" w:cs="仿宋"/>
                <w:b/>
                <w:sz w:val="24"/>
              </w:rPr>
            </w:pPr>
            <w:r>
              <w:rPr>
                <w:rFonts w:hint="eastAsia" w:ascii="仿宋" w:hAnsi="仿宋" w:eastAsia="仿宋" w:cs="仿宋"/>
                <w:bCs/>
                <w:sz w:val="24"/>
              </w:rPr>
              <w:t>5、桌架：</w:t>
            </w:r>
            <w:r>
              <w:rPr>
                <w:rFonts w:hint="eastAsia" w:ascii="仿宋" w:hAnsi="仿宋" w:eastAsia="仿宋" w:cs="仿宋"/>
                <w:kern w:val="0"/>
                <w:sz w:val="24"/>
              </w:rPr>
              <w:t>着地横脚与桌腿下端采用≥45mm×29mm椭圆形钢管壁厚≥1.8mm，着地横脚与桌腿下端为同一根钢管使用折弯技术一次成型，桌腿上端与支架采用≥38mm×20mm椭圆形钢管壁厚≥1.2mm，桌腿上端与支架为同一根钢管使用折弯技术一次成型，两条桌腿中间设有横梁，横梁采用38×20mm椭圆形钢管</w:t>
            </w:r>
            <w:r>
              <w:rPr>
                <w:rFonts w:hint="eastAsia" w:ascii="仿宋" w:hAnsi="仿宋" w:eastAsia="仿宋" w:cs="仿宋"/>
                <w:sz w:val="24"/>
              </w:rPr>
              <w:t>壁厚≥1.2mm，</w:t>
            </w:r>
            <w:r>
              <w:rPr>
                <w:rFonts w:hint="eastAsia" w:ascii="仿宋" w:hAnsi="仿宋" w:eastAsia="仿宋" w:cs="仿宋"/>
                <w:kern w:val="0"/>
                <w:sz w:val="24"/>
              </w:rPr>
              <w:t>横梁两边设有</w:t>
            </w:r>
            <w:r>
              <w:rPr>
                <w:rFonts w:hint="eastAsia" w:ascii="仿宋" w:hAnsi="仿宋" w:eastAsia="仿宋" w:cs="仿宋"/>
                <w:sz w:val="24"/>
              </w:rPr>
              <w:t>连接片，连接片</w:t>
            </w:r>
            <w:r>
              <w:rPr>
                <w:rFonts w:hint="eastAsia" w:ascii="仿宋" w:hAnsi="仿宋" w:eastAsia="仿宋" w:cs="仿宋"/>
                <w:kern w:val="0"/>
                <w:sz w:val="24"/>
              </w:rPr>
              <w:t>壁厚≥</w:t>
            </w:r>
            <w:r>
              <w:rPr>
                <w:rFonts w:hint="eastAsia" w:ascii="仿宋" w:hAnsi="仿宋" w:eastAsia="仿宋" w:cs="仿宋"/>
                <w:sz w:val="24"/>
              </w:rPr>
              <w:t>2.0mm，用内六角罗丝与桌腿相连，非穿透相连，挡板</w:t>
            </w:r>
            <w:r>
              <w:rPr>
                <w:rFonts w:hint="eastAsia" w:ascii="仿宋" w:hAnsi="仿宋" w:eastAsia="仿宋" w:cs="仿宋"/>
                <w:kern w:val="0"/>
                <w:sz w:val="24"/>
              </w:rPr>
              <w:t>尺寸长≥950×宽≥200mm×厚≥18mm，</w:t>
            </w:r>
            <w:r>
              <w:rPr>
                <w:rFonts w:hint="eastAsia" w:ascii="仿宋" w:hAnsi="仿宋" w:eastAsia="仿宋" w:cs="仿宋"/>
                <w:sz w:val="24"/>
              </w:rPr>
              <w:t>采用优质环保饰面刨花板，挡板</w:t>
            </w:r>
            <w:r>
              <w:rPr>
                <w:rFonts w:hint="eastAsia" w:ascii="仿宋" w:hAnsi="仿宋" w:eastAsia="仿宋" w:cs="仿宋"/>
                <w:kern w:val="0"/>
                <w:sz w:val="24"/>
              </w:rPr>
              <w:t>能增加牢固度又有挡腿作用</w:t>
            </w:r>
            <w:r>
              <w:rPr>
                <w:rFonts w:hint="eastAsia" w:ascii="仿宋" w:hAnsi="仿宋" w:eastAsia="仿宋" w:cs="仿宋"/>
                <w:sz w:val="24"/>
              </w:rPr>
              <w:t>，(</w:t>
            </w:r>
            <w:r>
              <w:rPr>
                <w:rFonts w:hint="eastAsia" w:ascii="仿宋" w:hAnsi="仿宋" w:eastAsia="仿宋" w:cs="仿宋"/>
                <w:b/>
                <w:kern w:val="0"/>
                <w:sz w:val="24"/>
                <w:lang w:bidi="ar"/>
              </w:rPr>
              <w:t>投标文件中提供</w:t>
            </w:r>
            <w:r>
              <w:rPr>
                <w:rFonts w:hint="eastAsia" w:ascii="仿宋" w:hAnsi="仿宋" w:eastAsia="仿宋" w:cs="仿宋"/>
                <w:b/>
                <w:sz w:val="24"/>
              </w:rPr>
              <w:t>桌架组装后的实物图，实物图无须安装桌面)。</w:t>
            </w:r>
          </w:p>
          <w:p w14:paraId="0F24D694">
            <w:pPr>
              <w:spacing w:line="360" w:lineRule="auto"/>
              <w:rPr>
                <w:rFonts w:hint="eastAsia" w:ascii="仿宋" w:hAnsi="仿宋" w:eastAsia="仿宋" w:cs="仿宋"/>
                <w:b/>
                <w:sz w:val="24"/>
              </w:rPr>
            </w:pPr>
            <w:r>
              <w:rPr>
                <w:rFonts w:hint="eastAsia" w:ascii="仿宋" w:hAnsi="仿宋" w:eastAsia="仿宋" w:cs="仿宋"/>
                <w:sz w:val="24"/>
              </w:rPr>
              <w:t>6、</w:t>
            </w:r>
            <w:r>
              <w:rPr>
                <w:rFonts w:hint="eastAsia" w:ascii="仿宋" w:hAnsi="仿宋" w:eastAsia="仿宋" w:cs="仿宋"/>
                <w:kern w:val="0"/>
                <w:sz w:val="24"/>
              </w:rPr>
              <w:t>焊接</w:t>
            </w:r>
            <w:r>
              <w:rPr>
                <w:rFonts w:hint="eastAsia" w:ascii="仿宋" w:hAnsi="仿宋" w:eastAsia="仿宋" w:cs="仿宋"/>
                <w:sz w:val="24"/>
              </w:rPr>
              <w:t>：所有</w:t>
            </w:r>
            <w:r>
              <w:rPr>
                <w:rFonts w:hint="eastAsia" w:ascii="仿宋" w:hAnsi="仿宋" w:eastAsia="仿宋" w:cs="仿宋"/>
                <w:kern w:val="0"/>
                <w:sz w:val="24"/>
              </w:rPr>
              <w:t>焊缝不应有漏焊、烧穿、气孔、夹渣、未焊透和严重咬边等缺陷，所有焊接全部是满焊,</w:t>
            </w:r>
            <w:r>
              <w:rPr>
                <w:rFonts w:hint="eastAsia" w:ascii="仿宋" w:hAnsi="仿宋" w:eastAsia="仿宋" w:cs="仿宋"/>
                <w:sz w:val="24"/>
              </w:rPr>
              <w:t xml:space="preserve"> 焊接</w:t>
            </w:r>
            <w:r>
              <w:rPr>
                <w:rFonts w:hint="eastAsia" w:ascii="仿宋" w:hAnsi="仿宋" w:eastAsia="仿宋" w:cs="仿宋"/>
                <w:kern w:val="0"/>
                <w:sz w:val="24"/>
              </w:rPr>
              <w:t>不能留缝隙,熔渣应清理干净</w:t>
            </w:r>
            <w:r>
              <w:rPr>
                <w:rFonts w:hint="eastAsia" w:ascii="仿宋" w:hAnsi="仿宋" w:eastAsia="仿宋" w:cs="仿宋"/>
                <w:b/>
                <w:sz w:val="24"/>
              </w:rPr>
              <w:t>。</w:t>
            </w:r>
          </w:p>
          <w:p w14:paraId="65728E9E">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7、书包挂钩：金属材质，无需螺丝安装。</w:t>
            </w:r>
          </w:p>
          <w:p w14:paraId="18274706">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8、外观：人性化设计，美观大方，边缘平整圆滑。</w:t>
            </w:r>
          </w:p>
          <w:p w14:paraId="36DF3FFA">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9、脚套：采用PP塑料一次注塑成型,桌脚着地平稳，没有倾斜或摇摆现象，带有调节轮,遇不平整地面时，可通过调节轮手动进行桌脚水平调节，不借用其他工具,调整方便,确保使用平衡，</w:t>
            </w:r>
          </w:p>
          <w:p w14:paraId="087FD7CF">
            <w:pPr>
              <w:widowControl/>
              <w:spacing w:line="360" w:lineRule="auto"/>
              <w:jc w:val="left"/>
              <w:rPr>
                <w:rFonts w:hint="eastAsia" w:ascii="仿宋" w:hAnsi="仿宋" w:eastAsia="仿宋" w:cs="仿宋"/>
                <w:kern w:val="0"/>
                <w:sz w:val="24"/>
              </w:rPr>
            </w:pPr>
            <w:r>
              <w:rPr>
                <w:rFonts w:hint="eastAsia" w:ascii="仿宋" w:hAnsi="仿宋" w:eastAsia="仿宋" w:cs="仿宋"/>
                <w:bCs/>
                <w:kern w:val="0"/>
                <w:sz w:val="24"/>
              </w:rPr>
              <w:t>10、</w:t>
            </w:r>
            <w:r>
              <w:rPr>
                <w:rFonts w:hint="eastAsia" w:ascii="仿宋" w:hAnsi="仿宋" w:eastAsia="仿宋" w:cs="仿宋"/>
                <w:kern w:val="0"/>
                <w:sz w:val="24"/>
              </w:rPr>
              <w:t>涂装：所有金属部件经过流水线抛丸工艺除锈和高温除油处理，采用静电喷塑经高温固化，使涂层与金属表面的附着力更强，耐腐蚀，不易脱落。</w:t>
            </w:r>
          </w:p>
          <w:p w14:paraId="27EB75DA">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11、钢管堵头：采用抗老化环保PP塑料注塑一次成型, 堵头成型后就带有生产厂家LOGO标识(LOGO为注塑一次成型标识，非印刷、非后加贴标）。</w:t>
            </w:r>
          </w:p>
          <w:p w14:paraId="5BE806EF">
            <w:pPr>
              <w:spacing w:line="360" w:lineRule="auto"/>
              <w:jc w:val="left"/>
              <w:rPr>
                <w:rFonts w:hint="eastAsia" w:ascii="仿宋" w:hAnsi="仿宋" w:eastAsia="仿宋" w:cs="仿宋"/>
                <w:bCs/>
                <w:sz w:val="24"/>
              </w:rPr>
            </w:pPr>
            <w:r>
              <w:rPr>
                <w:rFonts w:hint="eastAsia" w:ascii="仿宋" w:hAnsi="仿宋" w:eastAsia="仿宋" w:cs="仿宋"/>
                <w:bCs/>
                <w:sz w:val="24"/>
              </w:rPr>
              <w:t>12、外包装：便于收货交接，方便清点，采用纸箱包装，同时印有所投产品品牌LOGO标识及生产厂商名称等信息，交货时如不符合要求拒绝入场。</w:t>
            </w:r>
          </w:p>
          <w:p w14:paraId="7BAF2CBB">
            <w:pPr>
              <w:widowControl/>
              <w:spacing w:line="360" w:lineRule="auto"/>
              <w:jc w:val="left"/>
              <w:rPr>
                <w:rFonts w:hint="eastAsia" w:ascii="仿宋" w:hAnsi="仿宋" w:eastAsia="仿宋" w:cs="仿宋"/>
                <w:b/>
                <w:kern w:val="0"/>
                <w:sz w:val="24"/>
              </w:rPr>
            </w:pPr>
            <w:r>
              <w:rPr>
                <w:rFonts w:hint="eastAsia" w:ascii="仿宋" w:hAnsi="仿宋" w:eastAsia="仿宋" w:cs="仿宋"/>
                <w:b/>
                <w:kern w:val="0"/>
                <w:sz w:val="24"/>
              </w:rPr>
              <w:t>二、产品环保理化力学性能</w:t>
            </w:r>
          </w:p>
          <w:p w14:paraId="74DB662E">
            <w:pPr>
              <w:spacing w:line="360" w:lineRule="auto"/>
              <w:rPr>
                <w:rFonts w:hint="eastAsia" w:ascii="仿宋" w:hAnsi="仿宋" w:eastAsia="仿宋" w:cs="仿宋"/>
                <w:b/>
                <w:bCs/>
                <w:sz w:val="24"/>
              </w:rPr>
            </w:pPr>
            <w:r>
              <w:rPr>
                <w:rFonts w:hint="eastAsia" w:ascii="仿宋" w:hAnsi="仿宋" w:eastAsia="仿宋" w:cs="仿宋"/>
                <w:sz w:val="24"/>
              </w:rPr>
              <w:t>1</w:t>
            </w:r>
            <w:r>
              <w:rPr>
                <w:rFonts w:hint="eastAsia" w:ascii="仿宋" w:hAnsi="仿宋" w:eastAsia="仿宋" w:cs="仿宋"/>
                <w:sz w:val="24"/>
                <w:lang w:val="zh-CN"/>
              </w:rPr>
              <w:t>、</w:t>
            </w:r>
            <w:r>
              <w:rPr>
                <w:rFonts w:hint="eastAsia" w:ascii="仿宋" w:hAnsi="仿宋" w:eastAsia="仿宋" w:cs="仿宋"/>
                <w:sz w:val="24"/>
              </w:rPr>
              <w:t>刨花板:经检验,符合JC/T 2039-2010《抗菌防霉木质装饰板》</w:t>
            </w:r>
            <w:r>
              <w:rPr>
                <w:rFonts w:hint="eastAsia" w:ascii="仿宋" w:hAnsi="仿宋" w:eastAsia="仿宋" w:cs="仿宋"/>
                <w:kern w:val="0"/>
                <w:sz w:val="24"/>
                <w:lang w:val="zh-CN"/>
              </w:rPr>
              <w:t>标准中相关要求，</w:t>
            </w:r>
            <w:r>
              <w:rPr>
                <w:rFonts w:hint="eastAsia" w:ascii="仿宋" w:hAnsi="仿宋" w:eastAsia="仿宋" w:cs="仿宋"/>
                <w:color w:val="auto"/>
                <w:sz w:val="24"/>
              </w:rPr>
              <w:t>抗细菌率：≥99.00%，</w:t>
            </w:r>
            <w:r>
              <w:rPr>
                <w:rFonts w:hint="eastAsia" w:ascii="仿宋" w:hAnsi="仿宋" w:eastAsia="仿宋" w:cs="仿宋"/>
                <w:b/>
                <w:bCs/>
                <w:color w:val="auto"/>
                <w:sz w:val="24"/>
              </w:rPr>
              <w:t>（投标文件中提供所投产品的刨花板检测报告扫描件，检测报告是由第三方有权检测机构出具的且带有CMA标志,检测依据JC/T 2039-2010《抗菌防霉木质装饰板》</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检测项目内容满足以上要求）</w:t>
            </w:r>
            <w:r>
              <w:rPr>
                <w:rFonts w:hint="eastAsia" w:ascii="仿宋" w:hAnsi="仿宋" w:eastAsia="仿宋" w:cs="仿宋"/>
                <w:b/>
                <w:bCs/>
                <w:sz w:val="24"/>
              </w:rPr>
              <w:t>。</w:t>
            </w:r>
          </w:p>
          <w:p w14:paraId="05F193DE">
            <w:pPr>
              <w:spacing w:line="360" w:lineRule="auto"/>
              <w:rPr>
                <w:rFonts w:hint="eastAsia" w:ascii="仿宋" w:hAnsi="仿宋" w:eastAsia="仿宋" w:cs="仿宋"/>
                <w:b/>
                <w:sz w:val="24"/>
              </w:rPr>
            </w:pPr>
            <w:r>
              <w:rPr>
                <w:rFonts w:hint="eastAsia" w:ascii="仿宋" w:hAnsi="仿宋" w:eastAsia="仿宋" w:cs="仿宋"/>
                <w:b/>
                <w:bCs/>
                <w:sz w:val="24"/>
              </w:rPr>
              <w:t>2、</w:t>
            </w:r>
            <w:r>
              <w:rPr>
                <w:rFonts w:hint="eastAsia" w:ascii="仿宋" w:hAnsi="仿宋" w:eastAsia="仿宋" w:cs="仿宋"/>
                <w:b/>
                <w:sz w:val="24"/>
              </w:rPr>
              <w:t>投标文件中</w:t>
            </w:r>
            <w:r>
              <w:rPr>
                <w:rFonts w:hint="eastAsia" w:ascii="仿宋" w:hAnsi="仿宋" w:eastAsia="仿宋" w:cs="仿宋"/>
                <w:b/>
                <w:kern w:val="0"/>
                <w:sz w:val="24"/>
              </w:rPr>
              <w:t>提供第三方有权检测机构出具</w:t>
            </w:r>
            <w:r>
              <w:rPr>
                <w:rFonts w:hint="eastAsia" w:ascii="仿宋" w:hAnsi="仿宋" w:eastAsia="仿宋" w:cs="仿宋"/>
                <w:b/>
                <w:sz w:val="24"/>
              </w:rPr>
              <w:t>带有CMA标志的PP色母检测报告扫描件或</w:t>
            </w:r>
            <w:r>
              <w:rPr>
                <w:rFonts w:hint="eastAsia" w:ascii="仿宋" w:hAnsi="仿宋" w:eastAsia="仿宋" w:cs="仿宋"/>
                <w:b/>
                <w:kern w:val="0"/>
                <w:sz w:val="24"/>
              </w:rPr>
              <w:t>影印件</w:t>
            </w:r>
            <w:r>
              <w:rPr>
                <w:rFonts w:hint="eastAsia" w:ascii="仿宋" w:hAnsi="仿宋" w:eastAsia="仿宋" w:cs="仿宋"/>
                <w:b/>
                <w:sz w:val="24"/>
              </w:rPr>
              <w:t>,检测依据检测依据GB/T 22048-2022、GB6675.4-2014，检测项目内容:锑、砷、钡、镉、铬、铅、汞、硒;邻苯二甲酸二丁酯（DBP）、邻苯二甲酸丁基苄基酯（BBP）、邻苯二甲酸二(2-乙 基)己酯（DEHP）己酯(DEHP）三种增塑剂总含量≤0.1;邻苯二甲酸二正辛酯（DNOP）、邻苯二甲酸二异壬酯（DINP）、邻苯二甲酸二异癸酯（DIDP）三种增塑剂总含量≤0</w:t>
            </w:r>
            <w:r>
              <w:rPr>
                <w:rFonts w:hint="eastAsia" w:ascii="仿宋" w:hAnsi="仿宋" w:eastAsia="仿宋" w:cs="仿宋"/>
                <w:b/>
                <w:color w:val="auto"/>
                <w:sz w:val="24"/>
              </w:rPr>
              <w:t>.1;检验结果合格或符合。</w:t>
            </w:r>
          </w:p>
          <w:p w14:paraId="33CB1945">
            <w:pPr>
              <w:spacing w:line="360" w:lineRule="auto"/>
              <w:outlineLvl w:val="2"/>
              <w:rPr>
                <w:rFonts w:hint="eastAsia" w:ascii="仿宋" w:hAnsi="仿宋" w:eastAsia="仿宋" w:cs="仿宋"/>
                <w:b/>
                <w:bCs/>
                <w:sz w:val="24"/>
              </w:rPr>
            </w:pPr>
            <w:r>
              <w:rPr>
                <w:rFonts w:hint="eastAsia" w:ascii="仿宋" w:hAnsi="仿宋" w:eastAsia="仿宋" w:cs="仿宋"/>
                <w:b/>
                <w:bCs/>
                <w:sz w:val="24"/>
              </w:rPr>
              <w:t>三、课椅产品描述</w:t>
            </w:r>
          </w:p>
          <w:p w14:paraId="6C5D3E58">
            <w:pPr>
              <w:spacing w:line="360" w:lineRule="auto"/>
              <w:rPr>
                <w:rFonts w:hint="eastAsia" w:ascii="仿宋" w:hAnsi="仿宋" w:eastAsia="仿宋" w:cs="仿宋"/>
                <w:bCs/>
                <w:sz w:val="24"/>
              </w:rPr>
            </w:pPr>
            <w:r>
              <w:rPr>
                <w:rFonts w:hint="eastAsia" w:ascii="仿宋" w:hAnsi="仿宋" w:eastAsia="仿宋" w:cs="仿宋"/>
                <w:bCs/>
                <w:sz w:val="24"/>
              </w:rPr>
              <w:t>1、设计：人性化，</w:t>
            </w:r>
            <w:r>
              <w:rPr>
                <w:rFonts w:hint="eastAsia" w:ascii="仿宋" w:hAnsi="仿宋" w:eastAsia="仿宋" w:cs="仿宋"/>
                <w:kern w:val="0"/>
                <w:sz w:val="24"/>
              </w:rPr>
              <w:t>打扫卫生时</w:t>
            </w:r>
            <w:r>
              <w:rPr>
                <w:rFonts w:hint="eastAsia" w:ascii="仿宋" w:hAnsi="仿宋" w:eastAsia="仿宋" w:cs="仿宋"/>
                <w:sz w:val="24"/>
              </w:rPr>
              <w:t>课椅</w:t>
            </w:r>
            <w:r>
              <w:rPr>
                <w:rFonts w:hint="eastAsia" w:ascii="仿宋" w:hAnsi="仿宋" w:eastAsia="仿宋" w:cs="仿宋"/>
                <w:kern w:val="0"/>
                <w:sz w:val="24"/>
              </w:rPr>
              <w:t>可安全的卡在桌面不晃动,使用时能轻松取下</w:t>
            </w:r>
            <w:r>
              <w:rPr>
                <w:rFonts w:hint="eastAsia" w:ascii="仿宋" w:hAnsi="仿宋" w:eastAsia="仿宋" w:cs="仿宋"/>
                <w:sz w:val="24"/>
              </w:rPr>
              <w:t>,</w:t>
            </w:r>
            <w:r>
              <w:rPr>
                <w:rFonts w:hint="eastAsia" w:ascii="仿宋" w:hAnsi="仿宋" w:eastAsia="仿宋" w:cs="仿宋"/>
                <w:bCs/>
                <w:sz w:val="24"/>
              </w:rPr>
              <w:t>颜色可选。</w:t>
            </w:r>
          </w:p>
          <w:p w14:paraId="10698A8D">
            <w:pPr>
              <w:spacing w:line="360" w:lineRule="auto"/>
              <w:rPr>
                <w:rFonts w:hint="eastAsia" w:ascii="仿宋" w:hAnsi="仿宋" w:eastAsia="仿宋" w:cs="仿宋"/>
                <w:bCs/>
                <w:sz w:val="24"/>
              </w:rPr>
            </w:pPr>
            <w:r>
              <w:rPr>
                <w:rFonts w:hint="eastAsia" w:ascii="仿宋" w:hAnsi="仿宋" w:eastAsia="仿宋" w:cs="仿宋"/>
                <w:bCs/>
                <w:sz w:val="24"/>
              </w:rPr>
              <w:t>2、规格：座面410mm（±10mm）×420mm（±10mm），座高440mm（±10mm）。</w:t>
            </w:r>
          </w:p>
          <w:p w14:paraId="65DA9AAD">
            <w:pPr>
              <w:widowControl/>
              <w:spacing w:line="360" w:lineRule="auto"/>
              <w:rPr>
                <w:rFonts w:hint="eastAsia" w:ascii="仿宋" w:hAnsi="仿宋" w:eastAsia="仿宋" w:cs="仿宋"/>
                <w:kern w:val="0"/>
                <w:sz w:val="24"/>
              </w:rPr>
            </w:pPr>
            <w:r>
              <w:rPr>
                <w:rFonts w:hint="eastAsia" w:ascii="仿宋" w:hAnsi="仿宋" w:eastAsia="仿宋" w:cs="仿宋"/>
                <w:bCs/>
                <w:sz w:val="24"/>
              </w:rPr>
              <w:t>3、座靠板：</w:t>
            </w:r>
            <w:r>
              <w:rPr>
                <w:rFonts w:hint="eastAsia" w:ascii="仿宋" w:hAnsi="仿宋" w:eastAsia="仿宋" w:cs="仿宋"/>
                <w:kern w:val="0"/>
                <w:sz w:val="24"/>
              </w:rPr>
              <w:t>座板410mm</w:t>
            </w:r>
            <w:r>
              <w:rPr>
                <w:rFonts w:hint="eastAsia" w:ascii="仿宋" w:hAnsi="仿宋" w:eastAsia="仿宋" w:cs="仿宋"/>
                <w:bCs/>
                <w:sz w:val="24"/>
              </w:rPr>
              <w:t>（±10mm）</w:t>
            </w:r>
            <w:r>
              <w:rPr>
                <w:rFonts w:hint="eastAsia" w:ascii="仿宋" w:hAnsi="仿宋" w:eastAsia="仿宋" w:cs="仿宋"/>
                <w:kern w:val="0"/>
                <w:sz w:val="24"/>
              </w:rPr>
              <w:t>×420mm</w:t>
            </w:r>
            <w:r>
              <w:rPr>
                <w:rFonts w:hint="eastAsia" w:ascii="仿宋" w:hAnsi="仿宋" w:eastAsia="仿宋" w:cs="仿宋"/>
                <w:bCs/>
                <w:sz w:val="24"/>
              </w:rPr>
              <w:t>（±10mm）</w:t>
            </w:r>
            <w:r>
              <w:rPr>
                <w:rFonts w:hint="eastAsia" w:ascii="仿宋" w:hAnsi="仿宋" w:eastAsia="仿宋" w:cs="仿宋"/>
                <w:kern w:val="0"/>
                <w:sz w:val="24"/>
              </w:rPr>
              <w:t>，靠板400mm</w:t>
            </w:r>
            <w:r>
              <w:rPr>
                <w:rFonts w:hint="eastAsia" w:ascii="仿宋" w:hAnsi="仿宋" w:eastAsia="仿宋" w:cs="仿宋"/>
                <w:bCs/>
                <w:sz w:val="24"/>
              </w:rPr>
              <w:t>（±10mm）</w:t>
            </w:r>
            <w:r>
              <w:rPr>
                <w:rFonts w:hint="eastAsia" w:ascii="仿宋" w:hAnsi="仿宋" w:eastAsia="仿宋" w:cs="仿宋"/>
                <w:kern w:val="0"/>
                <w:sz w:val="24"/>
              </w:rPr>
              <w:t>×355mm</w:t>
            </w:r>
            <w:r>
              <w:rPr>
                <w:rFonts w:hint="eastAsia" w:ascii="仿宋" w:hAnsi="仿宋" w:eastAsia="仿宋" w:cs="仿宋"/>
                <w:bCs/>
                <w:sz w:val="24"/>
              </w:rPr>
              <w:t>（±10mm）</w:t>
            </w:r>
            <w:r>
              <w:rPr>
                <w:rFonts w:hint="eastAsia" w:ascii="仿宋" w:hAnsi="仿宋" w:eastAsia="仿宋" w:cs="仿宋"/>
                <w:kern w:val="0"/>
                <w:sz w:val="24"/>
              </w:rPr>
              <w:t>，座靠板采用PP塑料注塑连体一次成型，PP色母调色，座板周边不留锐角，座板底部有PP字样，</w:t>
            </w:r>
            <w:r>
              <w:rPr>
                <w:rFonts w:hint="eastAsia" w:ascii="仿宋" w:hAnsi="仿宋" w:eastAsia="仿宋" w:cs="仿宋"/>
                <w:sz w:val="24"/>
              </w:rPr>
              <w:t>并</w:t>
            </w:r>
            <w:r>
              <w:rPr>
                <w:rFonts w:hint="eastAsia" w:ascii="仿宋" w:hAnsi="仿宋" w:eastAsia="仿宋" w:cs="仿宋"/>
                <w:kern w:val="0"/>
                <w:sz w:val="24"/>
              </w:rPr>
              <w:t>能清楚的示意生产年月，质量保证，质可溯源,靠板背面注塑成型时就带有所投产品的品牌LOGO标识，非后加非印刷，符合人体工程学，靠板上端有一个110mm</w:t>
            </w:r>
            <w:r>
              <w:rPr>
                <w:rFonts w:hint="eastAsia" w:ascii="仿宋" w:hAnsi="仿宋" w:eastAsia="仿宋" w:cs="仿宋"/>
                <w:bCs/>
                <w:sz w:val="24"/>
              </w:rPr>
              <w:t>（±10mm）</w:t>
            </w:r>
            <w:r>
              <w:rPr>
                <w:rFonts w:hint="eastAsia" w:ascii="仿宋" w:hAnsi="仿宋" w:eastAsia="仿宋" w:cs="仿宋"/>
                <w:kern w:val="0"/>
                <w:sz w:val="24"/>
              </w:rPr>
              <w:t>×30mm</w:t>
            </w:r>
            <w:r>
              <w:rPr>
                <w:rFonts w:hint="eastAsia" w:ascii="仿宋" w:hAnsi="仿宋" w:eastAsia="仿宋" w:cs="仿宋"/>
                <w:bCs/>
                <w:sz w:val="24"/>
              </w:rPr>
              <w:t>（±10mm）</w:t>
            </w:r>
            <w:r>
              <w:rPr>
                <w:rFonts w:hint="eastAsia" w:ascii="仿宋" w:hAnsi="仿宋" w:eastAsia="仿宋" w:cs="仿宋"/>
                <w:sz w:val="24"/>
              </w:rPr>
              <w:t>随圆</w:t>
            </w:r>
            <w:r>
              <w:rPr>
                <w:rFonts w:hint="eastAsia" w:ascii="仿宋" w:hAnsi="仿宋" w:eastAsia="仿宋" w:cs="仿宋"/>
                <w:kern w:val="0"/>
                <w:sz w:val="24"/>
              </w:rPr>
              <w:t>孔，方便提动，座靠板背面拐弯连接处有不少于10条的加强筋，座板与椅架无需任何螺丝或铆钉连接，使用PP塑料卡扣便可与椅架固定</w:t>
            </w:r>
            <w:r>
              <w:rPr>
                <w:rFonts w:hint="eastAsia" w:ascii="仿宋" w:hAnsi="仿宋" w:eastAsia="仿宋" w:cs="仿宋"/>
                <w:bCs/>
                <w:sz w:val="24"/>
              </w:rPr>
              <w:t>。</w:t>
            </w:r>
          </w:p>
          <w:p w14:paraId="086106E4">
            <w:pPr>
              <w:spacing w:line="360" w:lineRule="auto"/>
              <w:rPr>
                <w:rFonts w:hint="eastAsia" w:ascii="仿宋" w:hAnsi="仿宋" w:eastAsia="仿宋" w:cs="仿宋"/>
                <w:b/>
                <w:bCs/>
                <w:sz w:val="24"/>
              </w:rPr>
            </w:pPr>
            <w:r>
              <w:rPr>
                <w:rFonts w:hint="eastAsia" w:ascii="仿宋" w:hAnsi="仿宋" w:eastAsia="仿宋" w:cs="仿宋"/>
                <w:b w:val="0"/>
                <w:bCs w:val="0"/>
                <w:kern w:val="0"/>
                <w:sz w:val="24"/>
              </w:rPr>
              <w:t>4、椅架：</w:t>
            </w:r>
            <w:r>
              <w:rPr>
                <w:rFonts w:hint="eastAsia" w:ascii="仿宋" w:hAnsi="仿宋" w:eastAsia="仿宋" w:cs="仿宋"/>
                <w:sz w:val="24"/>
              </w:rPr>
              <w:t>着地横脚与椅腿为同一根钢管使用折弯技术一次成型，钢管一样大，采用≥38mm×20mm×壁厚≥2.0mm的椭圆形钢管，板面底托支架采用≥20mm×20mm方形钢管壁厚≥2.0mm，</w:t>
            </w:r>
            <w:r>
              <w:rPr>
                <w:rFonts w:hint="eastAsia" w:ascii="仿宋" w:hAnsi="仿宋" w:eastAsia="仿宋" w:cs="仿宋"/>
                <w:b/>
                <w:bCs/>
                <w:sz w:val="24"/>
              </w:rPr>
              <w:t>（投标文件中提供本项产品</w:t>
            </w:r>
            <w:r>
              <w:rPr>
                <w:rFonts w:hint="eastAsia" w:ascii="仿宋" w:hAnsi="仿宋" w:eastAsia="仿宋" w:cs="仿宋"/>
                <w:b/>
                <w:bCs/>
                <w:kern w:val="0"/>
                <w:sz w:val="24"/>
              </w:rPr>
              <w:t>椅架</w:t>
            </w:r>
            <w:r>
              <w:rPr>
                <w:rFonts w:hint="eastAsia" w:ascii="仿宋" w:hAnsi="仿宋" w:eastAsia="仿宋" w:cs="仿宋"/>
                <w:b/>
                <w:bCs/>
                <w:sz w:val="24"/>
              </w:rPr>
              <w:t>的实物测量照片，为便于评审，须使用标准的测量</w:t>
            </w:r>
            <w:r>
              <w:rPr>
                <w:rFonts w:hint="eastAsia" w:ascii="仿宋" w:hAnsi="仿宋" w:eastAsia="仿宋" w:cs="仿宋"/>
                <w:b/>
                <w:bCs/>
                <w:sz w:val="24"/>
                <w:lang w:bidi="ar"/>
              </w:rPr>
              <w:t>器具并</w:t>
            </w:r>
            <w:r>
              <w:rPr>
                <w:rFonts w:hint="eastAsia" w:ascii="仿宋" w:hAnsi="仿宋" w:eastAsia="仿宋" w:cs="仿宋"/>
                <w:b/>
                <w:bCs/>
                <w:sz w:val="24"/>
              </w:rPr>
              <w:t>清楚的显示实测尺寸，实物测量照片中能体现测量后须满足：≥38mm×20mm×壁厚≥2.0mm的椭圆形钢管，板面底托支架采用≥20mm×20mm方形钢管壁厚≥2.0mm）。</w:t>
            </w:r>
          </w:p>
          <w:p w14:paraId="2E32D084">
            <w:pPr>
              <w:widowControl/>
              <w:spacing w:line="360" w:lineRule="auto"/>
              <w:rPr>
                <w:rFonts w:hint="eastAsia" w:ascii="仿宋" w:hAnsi="仿宋" w:eastAsia="仿宋" w:cs="仿宋"/>
                <w:kern w:val="0"/>
                <w:sz w:val="24"/>
              </w:rPr>
            </w:pPr>
            <w:r>
              <w:rPr>
                <w:rFonts w:hint="eastAsia" w:ascii="仿宋" w:hAnsi="仿宋" w:eastAsia="仿宋" w:cs="仿宋"/>
                <w:kern w:val="0"/>
                <w:sz w:val="24"/>
              </w:rPr>
              <w:t>5、卡扣：前后卡扣均</w:t>
            </w:r>
            <w:r>
              <w:rPr>
                <w:rFonts w:hint="eastAsia" w:ascii="仿宋" w:hAnsi="仿宋" w:eastAsia="仿宋" w:cs="仿宋"/>
                <w:sz w:val="24"/>
              </w:rPr>
              <w:t>采用</w:t>
            </w:r>
            <w:r>
              <w:rPr>
                <w:rFonts w:hint="eastAsia" w:ascii="仿宋" w:hAnsi="仿宋" w:eastAsia="仿宋" w:cs="仿宋"/>
                <w:kern w:val="0"/>
                <w:sz w:val="24"/>
              </w:rPr>
              <w:t>PP塑料注塑一次成型</w:t>
            </w:r>
            <w:r>
              <w:rPr>
                <w:rFonts w:hint="eastAsia" w:ascii="仿宋" w:hAnsi="仿宋" w:eastAsia="仿宋" w:cs="仿宋"/>
                <w:b/>
                <w:bCs/>
                <w:sz w:val="24"/>
              </w:rPr>
              <w:t>，</w:t>
            </w:r>
            <w:r>
              <w:rPr>
                <w:rFonts w:hint="eastAsia" w:ascii="仿宋" w:hAnsi="仿宋" w:eastAsia="仿宋" w:cs="仿宋"/>
                <w:kern w:val="0"/>
                <w:sz w:val="24"/>
              </w:rPr>
              <w:t>前卡扣尺寸</w:t>
            </w:r>
            <w:r>
              <w:rPr>
                <w:rFonts w:hint="eastAsia" w:ascii="仿宋" w:hAnsi="仿宋" w:eastAsia="仿宋" w:cs="仿宋"/>
                <w:bCs/>
                <w:sz w:val="24"/>
              </w:rPr>
              <w:t>为</w:t>
            </w:r>
            <w:r>
              <w:rPr>
                <w:rFonts w:hint="eastAsia" w:ascii="仿宋" w:hAnsi="仿宋" w:eastAsia="仿宋" w:cs="仿宋"/>
                <w:kern w:val="0"/>
                <w:sz w:val="24"/>
              </w:rPr>
              <w:t>长38mm</w:t>
            </w:r>
            <w:r>
              <w:rPr>
                <w:rFonts w:hint="eastAsia" w:ascii="仿宋" w:hAnsi="仿宋" w:eastAsia="仿宋" w:cs="仿宋"/>
                <w:sz w:val="24"/>
              </w:rPr>
              <w:t>（±2mm）</w:t>
            </w:r>
            <w:r>
              <w:rPr>
                <w:rFonts w:hint="eastAsia" w:ascii="仿宋" w:hAnsi="仿宋" w:eastAsia="仿宋" w:cs="仿宋"/>
                <w:kern w:val="0"/>
                <w:sz w:val="24"/>
              </w:rPr>
              <w:t>×宽20mm</w:t>
            </w:r>
            <w:r>
              <w:rPr>
                <w:rFonts w:hint="eastAsia" w:ascii="仿宋" w:hAnsi="仿宋" w:eastAsia="仿宋" w:cs="仿宋"/>
                <w:sz w:val="24"/>
              </w:rPr>
              <w:t>（±2mm）</w:t>
            </w:r>
            <w:r>
              <w:rPr>
                <w:rFonts w:hint="eastAsia" w:ascii="仿宋" w:hAnsi="仿宋" w:eastAsia="仿宋" w:cs="仿宋"/>
                <w:kern w:val="0"/>
                <w:sz w:val="24"/>
              </w:rPr>
              <w:t>×高30mm</w:t>
            </w:r>
            <w:r>
              <w:rPr>
                <w:rFonts w:hint="eastAsia" w:ascii="仿宋" w:hAnsi="仿宋" w:eastAsia="仿宋" w:cs="仿宋"/>
                <w:sz w:val="24"/>
              </w:rPr>
              <w:t>（±2mm）</w:t>
            </w:r>
            <w:r>
              <w:rPr>
                <w:rFonts w:hint="eastAsia" w:ascii="仿宋" w:hAnsi="仿宋" w:eastAsia="仿宋" w:cs="仿宋"/>
                <w:kern w:val="0"/>
                <w:sz w:val="24"/>
              </w:rPr>
              <w:t>，后卡扣尺寸</w:t>
            </w:r>
            <w:r>
              <w:rPr>
                <w:rFonts w:hint="eastAsia" w:ascii="仿宋" w:hAnsi="仿宋" w:eastAsia="仿宋" w:cs="仿宋"/>
                <w:bCs/>
                <w:sz w:val="24"/>
              </w:rPr>
              <w:t>为</w:t>
            </w:r>
            <w:r>
              <w:rPr>
                <w:rFonts w:hint="eastAsia" w:ascii="仿宋" w:hAnsi="仿宋" w:eastAsia="仿宋" w:cs="仿宋"/>
                <w:kern w:val="0"/>
                <w:sz w:val="24"/>
              </w:rPr>
              <w:t>长50mm</w:t>
            </w:r>
            <w:r>
              <w:rPr>
                <w:rFonts w:hint="eastAsia" w:ascii="仿宋" w:hAnsi="仿宋" w:eastAsia="仿宋" w:cs="仿宋"/>
                <w:sz w:val="24"/>
              </w:rPr>
              <w:t>（±2mm）</w:t>
            </w:r>
            <w:r>
              <w:rPr>
                <w:rFonts w:hint="eastAsia" w:ascii="仿宋" w:hAnsi="仿宋" w:eastAsia="仿宋" w:cs="仿宋"/>
                <w:kern w:val="0"/>
                <w:sz w:val="24"/>
              </w:rPr>
              <w:t>×宽45mm</w:t>
            </w:r>
            <w:r>
              <w:rPr>
                <w:rFonts w:hint="eastAsia" w:ascii="仿宋" w:hAnsi="仿宋" w:eastAsia="仿宋" w:cs="仿宋"/>
                <w:sz w:val="24"/>
              </w:rPr>
              <w:t>（±2mm）</w:t>
            </w:r>
            <w:r>
              <w:rPr>
                <w:rFonts w:hint="eastAsia" w:ascii="仿宋" w:hAnsi="仿宋" w:eastAsia="仿宋" w:cs="仿宋"/>
                <w:kern w:val="0"/>
                <w:sz w:val="24"/>
              </w:rPr>
              <w:t>×高16mm</w:t>
            </w:r>
            <w:r>
              <w:rPr>
                <w:rFonts w:hint="eastAsia" w:ascii="仿宋" w:hAnsi="仿宋" w:eastAsia="仿宋" w:cs="仿宋"/>
                <w:sz w:val="24"/>
              </w:rPr>
              <w:t>（±2mm）</w:t>
            </w:r>
            <w:r>
              <w:rPr>
                <w:rFonts w:hint="eastAsia" w:ascii="仿宋" w:hAnsi="仿宋" w:eastAsia="仿宋" w:cs="仿宋"/>
                <w:kern w:val="0"/>
                <w:sz w:val="24"/>
              </w:rPr>
              <w:t>，后卡扣</w:t>
            </w:r>
            <w:r>
              <w:rPr>
                <w:rFonts w:hint="eastAsia" w:ascii="仿宋" w:hAnsi="仿宋" w:eastAsia="仿宋" w:cs="仿宋"/>
                <w:sz w:val="24"/>
              </w:rPr>
              <w:t>实测壁厚</w:t>
            </w:r>
            <w:r>
              <w:rPr>
                <w:rFonts w:hint="eastAsia" w:ascii="仿宋" w:hAnsi="仿宋" w:eastAsia="仿宋" w:cs="仿宋"/>
                <w:kern w:val="0"/>
                <w:sz w:val="24"/>
              </w:rPr>
              <w:t>≥5.0mm。</w:t>
            </w:r>
          </w:p>
          <w:p w14:paraId="0369CC38">
            <w:pPr>
              <w:widowControl/>
              <w:spacing w:line="360" w:lineRule="auto"/>
              <w:rPr>
                <w:rFonts w:hint="eastAsia" w:ascii="仿宋" w:hAnsi="仿宋" w:eastAsia="仿宋" w:cs="仿宋"/>
                <w:bCs/>
                <w:kern w:val="0"/>
                <w:sz w:val="24"/>
              </w:rPr>
            </w:pPr>
            <w:r>
              <w:rPr>
                <w:rFonts w:hint="eastAsia" w:ascii="仿宋" w:hAnsi="仿宋" w:eastAsia="仿宋" w:cs="仿宋"/>
                <w:sz w:val="24"/>
              </w:rPr>
              <w:t>6、</w:t>
            </w:r>
            <w:r>
              <w:rPr>
                <w:rFonts w:hint="eastAsia" w:ascii="仿宋" w:hAnsi="仿宋" w:eastAsia="仿宋" w:cs="仿宋"/>
                <w:kern w:val="0"/>
                <w:sz w:val="24"/>
              </w:rPr>
              <w:t>座板与支架连接处底部卡扣上有两个圆形塑料稳固件，</w:t>
            </w:r>
            <w:r>
              <w:rPr>
                <w:rFonts w:hint="eastAsia" w:ascii="仿宋" w:hAnsi="仿宋" w:eastAsia="仿宋" w:cs="仿宋"/>
                <w:bCs/>
                <w:kern w:val="0"/>
                <w:sz w:val="24"/>
              </w:rPr>
              <w:t>采用PP塑料注塑一次成型尺寸</w:t>
            </w:r>
            <w:r>
              <w:rPr>
                <w:rFonts w:hint="eastAsia" w:ascii="仿宋" w:hAnsi="仿宋" w:eastAsia="仿宋" w:cs="仿宋"/>
                <w:bCs/>
                <w:sz w:val="24"/>
              </w:rPr>
              <w:t>为</w:t>
            </w:r>
            <w:r>
              <w:rPr>
                <w:rFonts w:hint="eastAsia" w:ascii="仿宋" w:hAnsi="仿宋" w:eastAsia="仿宋" w:cs="仿宋"/>
                <w:bCs/>
                <w:kern w:val="0"/>
                <w:sz w:val="24"/>
              </w:rPr>
              <w:t>直径20mm</w:t>
            </w:r>
            <w:r>
              <w:rPr>
                <w:rFonts w:hint="eastAsia" w:ascii="仿宋" w:hAnsi="仿宋" w:eastAsia="仿宋" w:cs="仿宋"/>
                <w:sz w:val="24"/>
              </w:rPr>
              <w:t>（±2mm）</w:t>
            </w:r>
            <w:r>
              <w:rPr>
                <w:rFonts w:hint="eastAsia" w:ascii="仿宋" w:hAnsi="仿宋" w:eastAsia="仿宋" w:cs="仿宋"/>
                <w:bCs/>
                <w:kern w:val="0"/>
                <w:sz w:val="24"/>
              </w:rPr>
              <w:t>×高30mm</w:t>
            </w:r>
            <w:r>
              <w:rPr>
                <w:rFonts w:hint="eastAsia" w:ascii="仿宋" w:hAnsi="仿宋" w:eastAsia="仿宋" w:cs="仿宋"/>
                <w:sz w:val="24"/>
              </w:rPr>
              <w:t>（±2mm）</w:t>
            </w:r>
            <w:r>
              <w:rPr>
                <w:rFonts w:hint="eastAsia" w:ascii="仿宋" w:hAnsi="仿宋" w:eastAsia="仿宋" w:cs="仿宋"/>
                <w:bCs/>
                <w:kern w:val="0"/>
                <w:sz w:val="24"/>
              </w:rPr>
              <w:t>，</w:t>
            </w:r>
            <w:r>
              <w:rPr>
                <w:rFonts w:hint="eastAsia" w:ascii="仿宋" w:hAnsi="仿宋" w:eastAsia="仿宋" w:cs="仿宋"/>
                <w:sz w:val="24"/>
              </w:rPr>
              <w:t>实测壁厚</w:t>
            </w:r>
            <w:r>
              <w:rPr>
                <w:rFonts w:hint="eastAsia" w:ascii="仿宋" w:hAnsi="仿宋" w:eastAsia="仿宋" w:cs="仿宋"/>
                <w:bCs/>
                <w:kern w:val="0"/>
                <w:sz w:val="24"/>
              </w:rPr>
              <w:t>≥4.0mm。</w:t>
            </w:r>
          </w:p>
          <w:p w14:paraId="065322A6">
            <w:pPr>
              <w:widowControl/>
              <w:spacing w:line="360" w:lineRule="auto"/>
              <w:rPr>
                <w:rFonts w:hint="eastAsia" w:ascii="仿宋" w:hAnsi="仿宋" w:eastAsia="仿宋" w:cs="仿宋"/>
                <w:kern w:val="0"/>
                <w:sz w:val="24"/>
              </w:rPr>
            </w:pPr>
            <w:r>
              <w:rPr>
                <w:rFonts w:hint="eastAsia" w:ascii="仿宋" w:hAnsi="仿宋" w:eastAsia="仿宋" w:cs="仿宋"/>
                <w:kern w:val="0"/>
                <w:sz w:val="24"/>
              </w:rPr>
              <w:t>7、方便性能：座板与支架用四个卡扣便可轻松固定，安装方便，安全又牢固，</w:t>
            </w:r>
          </w:p>
          <w:p w14:paraId="61015AC2">
            <w:pPr>
              <w:spacing w:line="360" w:lineRule="auto"/>
              <w:rPr>
                <w:rFonts w:hint="eastAsia" w:ascii="仿宋" w:hAnsi="仿宋" w:eastAsia="仿宋" w:cs="仿宋"/>
                <w:bCs/>
                <w:sz w:val="24"/>
              </w:rPr>
            </w:pPr>
            <w:r>
              <w:rPr>
                <w:rFonts w:hint="eastAsia" w:ascii="仿宋" w:hAnsi="仿宋" w:eastAsia="仿宋" w:cs="仿宋"/>
                <w:bCs/>
                <w:sz w:val="24"/>
              </w:rPr>
              <w:t>7、脚套：</w:t>
            </w:r>
            <w:r>
              <w:rPr>
                <w:rFonts w:hint="eastAsia" w:ascii="仿宋" w:hAnsi="仿宋" w:eastAsia="仿宋" w:cs="仿宋"/>
                <w:sz w:val="24"/>
              </w:rPr>
              <w:t>采用PP塑料一次注塑成型，着地平稳，应无倾斜摇摆现象</w:t>
            </w:r>
            <w:r>
              <w:rPr>
                <w:rFonts w:hint="eastAsia" w:ascii="仿宋" w:hAnsi="仿宋" w:eastAsia="仿宋" w:cs="仿宋"/>
                <w:bCs/>
                <w:sz w:val="24"/>
              </w:rPr>
              <w:t>。</w:t>
            </w:r>
          </w:p>
          <w:p w14:paraId="59DC6177">
            <w:pPr>
              <w:spacing w:line="360" w:lineRule="auto"/>
              <w:rPr>
                <w:rFonts w:hint="eastAsia" w:ascii="仿宋" w:hAnsi="仿宋" w:eastAsia="仿宋" w:cs="仿宋"/>
                <w:bCs/>
                <w:sz w:val="24"/>
              </w:rPr>
            </w:pPr>
            <w:r>
              <w:rPr>
                <w:rFonts w:hint="eastAsia" w:ascii="仿宋" w:hAnsi="仿宋" w:eastAsia="仿宋" w:cs="仿宋"/>
                <w:bCs/>
                <w:sz w:val="24"/>
              </w:rPr>
              <w:t>8、整体工艺：焊接部位满焊,无严重咬边缺陷，焊接处无脱焊无虚焊，金属件</w:t>
            </w:r>
            <w:r>
              <w:rPr>
                <w:rFonts w:hint="eastAsia" w:ascii="仿宋" w:hAnsi="仿宋" w:eastAsia="仿宋" w:cs="仿宋"/>
                <w:kern w:val="0"/>
                <w:sz w:val="24"/>
              </w:rPr>
              <w:t>采用流水线</w:t>
            </w:r>
            <w:r>
              <w:rPr>
                <w:rFonts w:hint="eastAsia" w:ascii="仿宋" w:hAnsi="仿宋" w:eastAsia="仿宋" w:cs="仿宋"/>
                <w:bCs/>
                <w:sz w:val="24"/>
              </w:rPr>
              <w:t>抛丸工艺除锈和高温除油处理，</w:t>
            </w:r>
            <w:r>
              <w:rPr>
                <w:rFonts w:hint="eastAsia" w:ascii="仿宋" w:hAnsi="仿宋" w:eastAsia="仿宋" w:cs="仿宋"/>
                <w:kern w:val="0"/>
                <w:sz w:val="24"/>
              </w:rPr>
              <w:t>采用</w:t>
            </w:r>
            <w:r>
              <w:rPr>
                <w:rFonts w:hint="eastAsia" w:ascii="仿宋" w:hAnsi="仿宋" w:eastAsia="仿宋" w:cs="仿宋"/>
                <w:bCs/>
                <w:sz w:val="24"/>
              </w:rPr>
              <w:t>环保塑粉喷涂，</w:t>
            </w:r>
            <w:r>
              <w:rPr>
                <w:rFonts w:hint="eastAsia" w:ascii="仿宋" w:hAnsi="仿宋" w:eastAsia="仿宋" w:cs="仿宋"/>
                <w:kern w:val="0"/>
                <w:sz w:val="24"/>
              </w:rPr>
              <w:t>静电高温固化，</w:t>
            </w:r>
            <w:r>
              <w:rPr>
                <w:rFonts w:hint="eastAsia" w:ascii="仿宋" w:hAnsi="仿宋" w:eastAsia="仿宋" w:cs="仿宋"/>
                <w:bCs/>
                <w:kern w:val="0"/>
                <w:sz w:val="24"/>
              </w:rPr>
              <w:t>涂层硬度与附着力</w:t>
            </w:r>
            <w:r>
              <w:rPr>
                <w:rFonts w:hint="eastAsia" w:ascii="仿宋" w:hAnsi="仿宋" w:eastAsia="仿宋" w:cs="仿宋"/>
                <w:kern w:val="0"/>
                <w:sz w:val="24"/>
              </w:rPr>
              <w:t>更强</w:t>
            </w:r>
            <w:r>
              <w:rPr>
                <w:rFonts w:hint="eastAsia" w:ascii="仿宋" w:hAnsi="仿宋" w:eastAsia="仿宋" w:cs="仿宋"/>
                <w:bCs/>
                <w:kern w:val="0"/>
                <w:sz w:val="24"/>
              </w:rPr>
              <w:t>、耐盐浴、抗冲击、</w:t>
            </w:r>
            <w:r>
              <w:rPr>
                <w:rFonts w:hint="eastAsia" w:ascii="仿宋" w:hAnsi="仿宋" w:eastAsia="仿宋" w:cs="仿宋"/>
                <w:kern w:val="0"/>
                <w:sz w:val="24"/>
              </w:rPr>
              <w:t>耐腐蚀，不易脱落，管材外露管口端面应封闭无锐面，</w:t>
            </w:r>
            <w:r>
              <w:rPr>
                <w:rFonts w:hint="eastAsia" w:ascii="仿宋" w:hAnsi="仿宋" w:eastAsia="仿宋" w:cs="仿宋"/>
                <w:kern w:val="0"/>
                <w:sz w:val="24"/>
                <w:lang w:val="zh-CN"/>
              </w:rPr>
              <w:t>塑料件外观应无裂纹、无明显变形缩水、无飞边、无折皱、表面光洁、无毛刺，</w:t>
            </w:r>
            <w:r>
              <w:rPr>
                <w:rFonts w:hint="eastAsia" w:ascii="仿宋" w:hAnsi="仿宋" w:eastAsia="仿宋" w:cs="仿宋"/>
                <w:bCs/>
                <w:sz w:val="24"/>
              </w:rPr>
              <w:t>整体外形美观圆润。</w:t>
            </w:r>
          </w:p>
          <w:p w14:paraId="102BAA32">
            <w:pPr>
              <w:spacing w:line="360" w:lineRule="auto"/>
              <w:rPr>
                <w:rFonts w:hint="eastAsia" w:ascii="仿宋" w:hAnsi="仿宋" w:eastAsia="仿宋" w:cs="仿宋"/>
                <w:bCs/>
                <w:sz w:val="24"/>
              </w:rPr>
            </w:pPr>
            <w:r>
              <w:rPr>
                <w:rFonts w:hint="eastAsia" w:ascii="仿宋" w:hAnsi="仿宋" w:eastAsia="仿宋" w:cs="仿宋"/>
                <w:bCs/>
                <w:sz w:val="24"/>
              </w:rPr>
              <w:t>9、外包装：便于收货交接，方便清点，采用纸箱包装，同时印有所投产品品牌LOGO标识及生产厂商名称等信息，交货时如不符合要求拒绝入场。</w:t>
            </w:r>
          </w:p>
          <w:p w14:paraId="763D9764">
            <w:pPr>
              <w:spacing w:line="360" w:lineRule="auto"/>
              <w:jc w:val="left"/>
              <w:rPr>
                <w:rFonts w:hint="eastAsia" w:ascii="仿宋" w:hAnsi="仿宋" w:eastAsia="仿宋" w:cs="仿宋"/>
                <w:b/>
                <w:kern w:val="0"/>
                <w:sz w:val="24"/>
              </w:rPr>
            </w:pPr>
            <w:r>
              <w:rPr>
                <w:rFonts w:hint="eastAsia" w:ascii="仿宋" w:hAnsi="仿宋" w:eastAsia="仿宋" w:cs="仿宋"/>
                <w:b/>
                <w:kern w:val="0"/>
                <w:sz w:val="24"/>
              </w:rPr>
              <w:t>四、产品真实性</w:t>
            </w:r>
          </w:p>
          <w:p w14:paraId="3F378CB7">
            <w:pPr>
              <w:spacing w:line="360" w:lineRule="auto"/>
              <w:jc w:val="left"/>
              <w:rPr>
                <w:rFonts w:hint="eastAsia" w:ascii="仿宋" w:hAnsi="仿宋" w:eastAsia="仿宋" w:cs="仿宋"/>
                <w:b/>
                <w:kern w:val="0"/>
                <w:sz w:val="24"/>
              </w:rPr>
            </w:pPr>
            <w:r>
              <w:rPr>
                <w:rFonts w:hint="eastAsia" w:ascii="仿宋" w:hAnsi="仿宋" w:eastAsia="仿宋" w:cs="仿宋"/>
                <w:b/>
                <w:sz w:val="24"/>
              </w:rPr>
              <w:t>1、投标文件中提供本项产品课椅装好后的实物测量照片，为便于评审，须使用标准的测量</w:t>
            </w:r>
            <w:r>
              <w:rPr>
                <w:rFonts w:hint="eastAsia" w:ascii="仿宋" w:hAnsi="仿宋" w:eastAsia="仿宋" w:cs="仿宋"/>
                <w:b/>
                <w:sz w:val="24"/>
                <w:lang w:bidi="ar"/>
              </w:rPr>
              <w:t>器具并</w:t>
            </w:r>
            <w:r>
              <w:rPr>
                <w:rFonts w:hint="eastAsia" w:ascii="仿宋" w:hAnsi="仿宋" w:eastAsia="仿宋" w:cs="仿宋"/>
                <w:b/>
                <w:sz w:val="24"/>
              </w:rPr>
              <w:t>清楚的显示实测尺寸，实物测量照片中能体现测量后须满足：①座面410mm（±10mm）×420mm（±10mm），②座高440mm（±10mm），</w:t>
            </w:r>
            <w:r>
              <w:rPr>
                <w:rFonts w:hint="eastAsia" w:ascii="仿宋" w:hAnsi="仿宋" w:eastAsia="仿宋" w:cs="仿宋"/>
                <w:b/>
                <w:kern w:val="0"/>
                <w:sz w:val="24"/>
              </w:rPr>
              <w:t>③座靠板背面拐弯连接处有不少于10条的加强筋</w:t>
            </w:r>
            <w:r>
              <w:rPr>
                <w:rFonts w:hint="eastAsia" w:ascii="仿宋" w:hAnsi="仿宋" w:eastAsia="仿宋" w:cs="仿宋"/>
                <w:b/>
                <w:sz w:val="24"/>
              </w:rPr>
              <w:t>，</w:t>
            </w:r>
            <w:r>
              <w:rPr>
                <w:rFonts w:hint="eastAsia" w:ascii="仿宋" w:hAnsi="仿宋" w:eastAsia="仿宋" w:cs="仿宋"/>
                <w:b/>
                <w:kern w:val="0"/>
                <w:sz w:val="24"/>
              </w:rPr>
              <w:t>④体现出椅子底部有4个卡扣，椅子底部无任何螺丝。</w:t>
            </w:r>
          </w:p>
          <w:p w14:paraId="68254D77">
            <w:pPr>
              <w:pStyle w:val="2"/>
              <w:spacing w:line="360" w:lineRule="auto"/>
              <w:ind w:left="0" w:leftChars="0" w:firstLine="0" w:firstLineChars="0"/>
              <w:rPr>
                <w:rFonts w:hint="eastAsia" w:ascii="仿宋" w:hAnsi="仿宋" w:eastAsia="仿宋" w:cs="仿宋"/>
                <w:szCs w:val="24"/>
              </w:rPr>
            </w:pPr>
            <w:r>
              <w:rPr>
                <w:rFonts w:hint="eastAsia" w:ascii="仿宋" w:hAnsi="仿宋" w:eastAsia="仿宋" w:cs="仿宋"/>
                <w:b/>
                <w:bCs/>
                <w:color w:val="auto"/>
                <w:szCs w:val="24"/>
              </w:rPr>
              <w:t>2、</w:t>
            </w:r>
            <w:r>
              <w:rPr>
                <w:rFonts w:hint="eastAsia" w:ascii="仿宋" w:hAnsi="仿宋" w:eastAsia="仿宋" w:cs="仿宋"/>
                <w:b/>
                <w:szCs w:val="24"/>
                <w:lang w:val="zh-CN"/>
              </w:rPr>
              <w:t>课桌</w:t>
            </w:r>
            <w:r>
              <w:rPr>
                <w:rFonts w:hint="eastAsia" w:ascii="仿宋" w:hAnsi="仿宋" w:eastAsia="仿宋" w:cs="仿宋"/>
                <w:b/>
                <w:szCs w:val="24"/>
              </w:rPr>
              <w:t>:符合</w:t>
            </w:r>
            <w:r>
              <w:rPr>
                <w:rFonts w:hint="eastAsia" w:ascii="仿宋" w:hAnsi="仿宋" w:eastAsia="仿宋" w:cs="仿宋"/>
                <w:b/>
                <w:szCs w:val="24"/>
                <w:lang w:val="zh-CN"/>
              </w:rPr>
              <w:t>QB/T4071-2021《课桌椅》标准中相关要求，</w:t>
            </w:r>
            <w:r>
              <w:rPr>
                <w:rFonts w:hint="eastAsia" w:ascii="仿宋" w:hAnsi="仿宋" w:eastAsia="仿宋" w:cs="仿宋"/>
                <w:b/>
                <w:szCs w:val="24"/>
              </w:rPr>
              <w:t>检测项目</w:t>
            </w:r>
            <w:r>
              <w:rPr>
                <w:rFonts w:hint="eastAsia" w:ascii="仿宋" w:hAnsi="仿宋" w:eastAsia="仿宋" w:cs="仿宋"/>
                <w:b/>
                <w:szCs w:val="24"/>
                <w:lang w:val="zh-CN"/>
              </w:rPr>
              <w:t>内容：焊接件、冲压件、</w:t>
            </w:r>
            <w:r>
              <w:rPr>
                <w:rFonts w:hint="eastAsia" w:ascii="仿宋" w:hAnsi="仿宋" w:eastAsia="仿宋" w:cs="仿宋"/>
                <w:b/>
                <w:szCs w:val="24"/>
              </w:rPr>
              <w:t>皱纹或波纹，耐干热，耐液性，表面耐磨性，耐光色牢度，桌面耐污染，表面胶合强度，，附着力,封边条：桌面垂直耐久性，桌面垂直冲击，桌腿跌落，桌面水平静载荷，有害物质限量：邻苯二甲酸酯，可溶性镉，可溶性铅，可溶性铬，可溶性汞，检验结果合格或符合，投标文件中提供所投产品课桌检测报告扫描件或影印件，检测报告是由第三方有权检测机构出具的且带有CMA标志,检测依据</w:t>
            </w:r>
            <w:r>
              <w:rPr>
                <w:rFonts w:hint="eastAsia" w:ascii="仿宋" w:hAnsi="仿宋" w:eastAsia="仿宋" w:cs="仿宋"/>
                <w:b/>
                <w:szCs w:val="24"/>
                <w:lang w:val="zh-CN"/>
              </w:rPr>
              <w:t>QB/T4071-2021,</w:t>
            </w:r>
            <w:r>
              <w:rPr>
                <w:rFonts w:hint="eastAsia" w:ascii="仿宋" w:hAnsi="仿宋" w:eastAsia="仿宋" w:cs="仿宋"/>
                <w:b/>
                <w:szCs w:val="24"/>
              </w:rPr>
              <w:t>检测项目内容满足以上要求。</w:t>
            </w:r>
          </w:p>
        </w:tc>
        <w:tc>
          <w:tcPr>
            <w:tcW w:w="738" w:type="dxa"/>
            <w:noWrap w:val="0"/>
            <w:vAlign w:val="center"/>
          </w:tcPr>
          <w:p w14:paraId="6898F240">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295</w:t>
            </w:r>
          </w:p>
        </w:tc>
        <w:tc>
          <w:tcPr>
            <w:tcW w:w="825" w:type="dxa"/>
            <w:noWrap w:val="0"/>
            <w:vAlign w:val="center"/>
          </w:tcPr>
          <w:p w14:paraId="414FFEAF">
            <w:pPr>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套</w:t>
            </w:r>
          </w:p>
        </w:tc>
        <w:tc>
          <w:tcPr>
            <w:tcW w:w="810" w:type="dxa"/>
            <w:noWrap w:val="0"/>
            <w:vAlign w:val="center"/>
          </w:tcPr>
          <w:p w14:paraId="51E90454">
            <w:pPr>
              <w:jc w:val="center"/>
              <w:rPr>
                <w:rFonts w:ascii="仿宋" w:hAnsi="仿宋" w:eastAsia="仿宋" w:cs="仿宋"/>
                <w:color w:val="000000"/>
                <w:kern w:val="0"/>
                <w:sz w:val="24"/>
                <w:lang w:bidi="ar"/>
              </w:rPr>
            </w:pPr>
          </w:p>
        </w:tc>
        <w:tc>
          <w:tcPr>
            <w:tcW w:w="854" w:type="dxa"/>
            <w:noWrap w:val="0"/>
            <w:vAlign w:val="center"/>
          </w:tcPr>
          <w:p w14:paraId="6CB0E455">
            <w:pPr>
              <w:jc w:val="center"/>
              <w:rPr>
                <w:rFonts w:hint="eastAsia" w:ascii="仿宋" w:hAnsi="仿宋" w:eastAsia="仿宋" w:cs="仿宋"/>
                <w:color w:val="000000"/>
                <w:kern w:val="0"/>
                <w:sz w:val="24"/>
                <w:lang w:bidi="ar"/>
              </w:rPr>
            </w:pPr>
          </w:p>
        </w:tc>
      </w:tr>
      <w:tr w14:paraId="7418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14:paraId="7A9001B9">
            <w:pPr>
              <w:jc w:val="center"/>
              <w:rPr>
                <w:rFonts w:hint="eastAsia" w:ascii="仿宋" w:hAnsi="仿宋" w:eastAsia="仿宋" w:cs="仿宋"/>
                <w:color w:val="000000"/>
                <w:kern w:val="0"/>
                <w:sz w:val="24"/>
                <w:lang w:bidi="ar"/>
              </w:rPr>
            </w:pPr>
            <w:r>
              <w:rPr>
                <w:rFonts w:hint="eastAsia" w:ascii="仿宋" w:hAnsi="仿宋" w:eastAsia="仿宋" w:cs="仿宋"/>
                <w:b/>
                <w:bCs/>
                <w:sz w:val="24"/>
              </w:rPr>
              <w:t>单人位课桌椅</w:t>
            </w:r>
          </w:p>
        </w:tc>
        <w:tc>
          <w:tcPr>
            <w:tcW w:w="7307" w:type="dxa"/>
            <w:noWrap w:val="0"/>
            <w:vAlign w:val="center"/>
          </w:tcPr>
          <w:p w14:paraId="15B9617D">
            <w:pPr>
              <w:spacing w:line="360" w:lineRule="auto"/>
              <w:rPr>
                <w:rFonts w:hint="eastAsia" w:ascii="仿宋" w:hAnsi="仿宋" w:eastAsia="仿宋" w:cs="仿宋"/>
                <w:b/>
                <w:bCs/>
                <w:sz w:val="24"/>
              </w:rPr>
            </w:pPr>
            <w:r>
              <w:rPr>
                <w:rFonts w:hint="eastAsia" w:ascii="仿宋" w:hAnsi="仿宋" w:eastAsia="仿宋" w:cs="仿宋"/>
                <w:b/>
                <w:bCs/>
                <w:sz w:val="24"/>
              </w:rPr>
              <w:t>一、单人位课桌产品描述课桌</w:t>
            </w:r>
          </w:p>
          <w:p w14:paraId="522A8E5E">
            <w:pPr>
              <w:spacing w:line="360" w:lineRule="auto"/>
              <w:jc w:val="left"/>
              <w:rPr>
                <w:rFonts w:hint="eastAsia" w:ascii="仿宋" w:hAnsi="仿宋" w:eastAsia="仿宋" w:cs="仿宋"/>
                <w:bCs/>
                <w:sz w:val="24"/>
              </w:rPr>
            </w:pPr>
            <w:r>
              <w:rPr>
                <w:rFonts w:hint="eastAsia" w:ascii="仿宋" w:hAnsi="仿宋" w:eastAsia="仿宋" w:cs="仿宋"/>
                <w:bCs/>
                <w:sz w:val="24"/>
              </w:rPr>
              <w:t>1、颜色：可选。</w:t>
            </w:r>
          </w:p>
          <w:p w14:paraId="1FFC9488">
            <w:pPr>
              <w:spacing w:line="360" w:lineRule="auto"/>
              <w:jc w:val="left"/>
              <w:rPr>
                <w:rFonts w:hint="eastAsia" w:ascii="仿宋" w:hAnsi="仿宋" w:eastAsia="仿宋" w:cs="仿宋"/>
                <w:bCs/>
                <w:sz w:val="24"/>
              </w:rPr>
            </w:pPr>
            <w:r>
              <w:rPr>
                <w:rFonts w:hint="eastAsia" w:ascii="仿宋" w:hAnsi="仿宋" w:eastAsia="仿宋" w:cs="仿宋"/>
                <w:bCs/>
                <w:sz w:val="24"/>
              </w:rPr>
              <w:t>2、规格：长700mm（±10mm）×宽500mm（±10mm），高720mm（±20mm）-790mm（±20mm）。</w:t>
            </w:r>
          </w:p>
          <w:p w14:paraId="67E05293">
            <w:pPr>
              <w:spacing w:line="360" w:lineRule="auto"/>
              <w:jc w:val="left"/>
              <w:rPr>
                <w:rFonts w:hint="eastAsia" w:ascii="仿宋" w:hAnsi="仿宋" w:eastAsia="仿宋" w:cs="仿宋"/>
                <w:bCs/>
                <w:sz w:val="24"/>
              </w:rPr>
            </w:pPr>
            <w:r>
              <w:rPr>
                <w:rFonts w:hint="eastAsia" w:ascii="仿宋" w:hAnsi="仿宋" w:eastAsia="仿宋" w:cs="仿宋"/>
                <w:bCs/>
                <w:sz w:val="24"/>
              </w:rPr>
              <w:t>3、桌面板：</w:t>
            </w:r>
            <w:r>
              <w:rPr>
                <w:rFonts w:hint="eastAsia" w:ascii="仿宋" w:hAnsi="仿宋" w:eastAsia="仿宋" w:cs="仿宋"/>
                <w:kern w:val="0"/>
                <w:sz w:val="24"/>
              </w:rPr>
              <w:t>材质</w:t>
            </w:r>
            <w:r>
              <w:rPr>
                <w:rFonts w:hint="eastAsia" w:ascii="仿宋" w:hAnsi="仿宋" w:eastAsia="仿宋" w:cs="仿宋"/>
                <w:sz w:val="24"/>
              </w:rPr>
              <w:t>采用优质环保饰面刨花板，</w:t>
            </w:r>
            <w:r>
              <w:rPr>
                <w:rFonts w:hint="eastAsia" w:ascii="仿宋" w:hAnsi="仿宋" w:eastAsia="仿宋" w:cs="仿宋"/>
                <w:kern w:val="0"/>
                <w:sz w:val="24"/>
              </w:rPr>
              <w:t>尺寸</w:t>
            </w:r>
            <w:r>
              <w:rPr>
                <w:rFonts w:hint="eastAsia" w:ascii="仿宋" w:hAnsi="仿宋" w:eastAsia="仿宋" w:cs="仿宋"/>
                <w:bCs/>
                <w:sz w:val="24"/>
              </w:rPr>
              <w:t>长700mm（±10mm）×宽500mm（±10mm）×</w:t>
            </w:r>
            <w:r>
              <w:rPr>
                <w:rFonts w:hint="eastAsia" w:ascii="仿宋" w:hAnsi="仿宋" w:eastAsia="仿宋" w:cs="仿宋"/>
                <w:kern w:val="0"/>
                <w:sz w:val="24"/>
              </w:rPr>
              <w:t>厚</w:t>
            </w:r>
            <w:r>
              <w:rPr>
                <w:rFonts w:hint="eastAsia" w:ascii="仿宋" w:hAnsi="仿宋" w:eastAsia="仿宋" w:cs="仿宋"/>
                <w:bCs/>
                <w:sz w:val="24"/>
              </w:rPr>
              <w:t>≥</w:t>
            </w:r>
            <w:r>
              <w:rPr>
                <w:rFonts w:hint="eastAsia" w:ascii="仿宋" w:hAnsi="仿宋" w:eastAsia="仿宋" w:cs="仿宋"/>
                <w:kern w:val="0"/>
                <w:sz w:val="24"/>
              </w:rPr>
              <w:t>18mm，</w:t>
            </w:r>
            <w:r>
              <w:rPr>
                <w:rFonts w:hint="eastAsia" w:ascii="仿宋" w:hAnsi="仿宋" w:eastAsia="仿宋" w:cs="仿宋"/>
                <w:sz w:val="24"/>
              </w:rPr>
              <w:t>甲醛释放量符合国家标准，四周采用</w:t>
            </w:r>
            <w:r>
              <w:rPr>
                <w:rFonts w:hint="eastAsia" w:ascii="仿宋" w:hAnsi="仿宋" w:eastAsia="仿宋" w:cs="仿宋"/>
                <w:kern w:val="0"/>
                <w:sz w:val="24"/>
              </w:rPr>
              <w:t>环保PP塑料无</w:t>
            </w:r>
            <w:r>
              <w:rPr>
                <w:rFonts w:hint="eastAsia" w:ascii="仿宋" w:hAnsi="仿宋" w:eastAsia="仿宋" w:cs="仿宋"/>
                <w:sz w:val="24"/>
              </w:rPr>
              <w:t>缝</w:t>
            </w:r>
            <w:r>
              <w:rPr>
                <w:rFonts w:hint="eastAsia" w:ascii="仿宋" w:hAnsi="仿宋" w:eastAsia="仿宋" w:cs="仿宋"/>
                <w:kern w:val="0"/>
                <w:sz w:val="24"/>
              </w:rPr>
              <w:t>注塑一次成型包边，注塑包边成型后就带有生产厂家LOGO标识，LOGO标识为注塑成型、交货时如不符合要求拒绝入场,</w:t>
            </w:r>
            <w:r>
              <w:rPr>
                <w:rFonts w:hint="eastAsia" w:ascii="仿宋" w:hAnsi="仿宋" w:eastAsia="仿宋" w:cs="仿宋"/>
                <w:sz w:val="24"/>
              </w:rPr>
              <w:t>面板上面有笔槽，笔槽长250mm</w:t>
            </w:r>
            <w:r>
              <w:rPr>
                <w:rFonts w:hint="eastAsia" w:ascii="仿宋" w:hAnsi="仿宋" w:eastAsia="仿宋" w:cs="仿宋"/>
                <w:bCs/>
                <w:sz w:val="24"/>
              </w:rPr>
              <w:t>（±10mm）</w:t>
            </w:r>
            <w:r>
              <w:rPr>
                <w:rFonts w:hint="eastAsia" w:ascii="仿宋" w:hAnsi="仿宋" w:eastAsia="仿宋" w:cs="仿宋"/>
                <w:sz w:val="24"/>
              </w:rPr>
              <w:t>×宽30mm</w:t>
            </w:r>
            <w:r>
              <w:rPr>
                <w:rFonts w:hint="eastAsia" w:ascii="仿宋" w:hAnsi="仿宋" w:eastAsia="仿宋" w:cs="仿宋"/>
                <w:kern w:val="0"/>
                <w:sz w:val="24"/>
              </w:rPr>
              <w:t>（±3mm）</w:t>
            </w:r>
            <w:r>
              <w:rPr>
                <w:rFonts w:hint="eastAsia" w:ascii="仿宋" w:hAnsi="仿宋" w:eastAsia="仿宋" w:cs="仿宋"/>
                <w:sz w:val="24"/>
              </w:rPr>
              <w:t>，笔槽与包边为一体注塑成型</w:t>
            </w:r>
            <w:r>
              <w:rPr>
                <w:rFonts w:hint="eastAsia" w:ascii="仿宋" w:hAnsi="仿宋" w:eastAsia="仿宋" w:cs="仿宋"/>
                <w:bCs/>
                <w:sz w:val="24"/>
              </w:rPr>
              <w:t>，</w:t>
            </w:r>
            <w:r>
              <w:rPr>
                <w:rFonts w:hint="eastAsia" w:ascii="仿宋" w:hAnsi="仿宋" w:eastAsia="仿宋" w:cs="仿宋"/>
                <w:b/>
                <w:bCs/>
                <w:kern w:val="0"/>
                <w:sz w:val="24"/>
              </w:rPr>
              <w:t>（</w:t>
            </w:r>
            <w:r>
              <w:rPr>
                <w:rFonts w:hint="eastAsia" w:ascii="仿宋" w:hAnsi="仿宋" w:eastAsia="仿宋" w:cs="仿宋"/>
                <w:b/>
                <w:bCs/>
                <w:sz w:val="24"/>
              </w:rPr>
              <w:t>投标文件中提供桌面板的实物测量照片，实物测量照片测量后满足:①桌面板长700mm（±10mm）,②桌面板宽500mm（±10mm）,③桌面板</w:t>
            </w:r>
            <w:r>
              <w:rPr>
                <w:rFonts w:hint="eastAsia" w:ascii="仿宋" w:hAnsi="仿宋" w:eastAsia="仿宋" w:cs="仿宋"/>
                <w:b/>
                <w:bCs/>
                <w:kern w:val="0"/>
                <w:sz w:val="24"/>
              </w:rPr>
              <w:t>厚</w:t>
            </w:r>
            <w:r>
              <w:rPr>
                <w:rFonts w:hint="eastAsia" w:ascii="仿宋" w:hAnsi="仿宋" w:eastAsia="仿宋" w:cs="仿宋"/>
                <w:b/>
                <w:bCs/>
                <w:sz w:val="24"/>
              </w:rPr>
              <w:t>≥</w:t>
            </w:r>
            <w:r>
              <w:rPr>
                <w:rFonts w:hint="eastAsia" w:ascii="仿宋" w:hAnsi="仿宋" w:eastAsia="仿宋" w:cs="仿宋"/>
                <w:b/>
                <w:bCs/>
                <w:kern w:val="0"/>
                <w:sz w:val="24"/>
              </w:rPr>
              <w:t>18mm，④</w:t>
            </w:r>
            <w:r>
              <w:rPr>
                <w:rFonts w:hint="eastAsia" w:ascii="仿宋" w:hAnsi="仿宋" w:eastAsia="仿宋" w:cs="仿宋"/>
                <w:b/>
                <w:bCs/>
                <w:sz w:val="24"/>
              </w:rPr>
              <w:t>四周为</w:t>
            </w:r>
            <w:r>
              <w:rPr>
                <w:rFonts w:hint="eastAsia" w:ascii="仿宋" w:hAnsi="仿宋" w:eastAsia="仿宋" w:cs="仿宋"/>
                <w:b/>
                <w:bCs/>
                <w:kern w:val="0"/>
                <w:sz w:val="24"/>
              </w:rPr>
              <w:t>注塑一次成型包边</w:t>
            </w:r>
            <w:r>
              <w:rPr>
                <w:rFonts w:hint="eastAsia" w:ascii="仿宋" w:hAnsi="仿宋" w:eastAsia="仿宋" w:cs="仿宋"/>
                <w:b/>
                <w:bCs/>
                <w:sz w:val="24"/>
              </w:rPr>
              <w:t>）。</w:t>
            </w:r>
          </w:p>
          <w:p w14:paraId="6CA88499">
            <w:pPr>
              <w:widowControl/>
              <w:spacing w:line="360" w:lineRule="auto"/>
              <w:jc w:val="left"/>
              <w:rPr>
                <w:rFonts w:hint="eastAsia" w:ascii="仿宋" w:hAnsi="仿宋" w:eastAsia="仿宋" w:cs="仿宋"/>
                <w:kern w:val="0"/>
                <w:sz w:val="24"/>
              </w:rPr>
            </w:pPr>
            <w:r>
              <w:rPr>
                <w:rFonts w:hint="eastAsia" w:ascii="仿宋" w:hAnsi="仿宋" w:eastAsia="仿宋" w:cs="仿宋"/>
                <w:bCs/>
                <w:sz w:val="24"/>
              </w:rPr>
              <w:t>4、桌斗：</w:t>
            </w:r>
            <w:r>
              <w:rPr>
                <w:rFonts w:hint="eastAsia" w:ascii="仿宋" w:hAnsi="仿宋" w:eastAsia="仿宋" w:cs="仿宋"/>
                <w:sz w:val="24"/>
              </w:rPr>
              <w:t>梯形结构，尺寸上宽450mm×下宽380mm×深340mm×高85mm</w:t>
            </w:r>
            <w:r>
              <w:rPr>
                <w:rFonts w:hint="eastAsia" w:ascii="仿宋" w:hAnsi="仿宋" w:eastAsia="仿宋" w:cs="仿宋"/>
                <w:bCs/>
                <w:sz w:val="24"/>
              </w:rPr>
              <w:t>（±10mm）</w:t>
            </w:r>
            <w:r>
              <w:rPr>
                <w:rFonts w:hint="eastAsia" w:ascii="仿宋" w:hAnsi="仿宋" w:eastAsia="仿宋" w:cs="仿宋"/>
                <w:sz w:val="24"/>
              </w:rPr>
              <w:t>，采用Φ7mm圆钢管焊接Φ4mm圆钢管而成，且钢筋接缝处尽量位于隐秘处，桌斗两侧挂钩采用Φ5mm钢筋，方便学生挂书包或学习用品袋。</w:t>
            </w:r>
          </w:p>
          <w:p w14:paraId="1A4A3EDB">
            <w:pPr>
              <w:spacing w:line="360" w:lineRule="auto"/>
              <w:rPr>
                <w:rFonts w:hint="eastAsia" w:ascii="仿宋" w:hAnsi="仿宋" w:eastAsia="仿宋" w:cs="仿宋"/>
                <w:b/>
                <w:sz w:val="24"/>
              </w:rPr>
            </w:pPr>
            <w:r>
              <w:rPr>
                <w:rFonts w:hint="eastAsia" w:ascii="仿宋" w:hAnsi="仿宋" w:eastAsia="仿宋" w:cs="仿宋"/>
                <w:bCs/>
                <w:sz w:val="24"/>
              </w:rPr>
              <w:t>5、桌架：①</w:t>
            </w:r>
            <w:r>
              <w:rPr>
                <w:rFonts w:hint="eastAsia" w:ascii="仿宋" w:hAnsi="仿宋" w:eastAsia="仿宋" w:cs="仿宋"/>
                <w:kern w:val="0"/>
                <w:sz w:val="24"/>
              </w:rPr>
              <w:t>着地横脚采用≥45mm×29mm椭圆形钢管壁厚≥1.8mm，②桌腿下端采用≥45mm×29mm椭圆形钢管壁厚≥1.8mm，着地横脚与桌腿下端为同一根椭圆形钢管使用折弯技术一次成型，③塑料环，连接处设有与桌腿钢管相匹配的塑料环，</w:t>
            </w:r>
            <w:r>
              <w:rPr>
                <w:rFonts w:hint="eastAsia" w:ascii="微软雅黑" w:hAnsi="微软雅黑" w:eastAsia="微软雅黑" w:cs="微软雅黑"/>
                <w:kern w:val="0"/>
                <w:sz w:val="24"/>
              </w:rPr>
              <w:t>④</w:t>
            </w:r>
            <w:r>
              <w:rPr>
                <w:rFonts w:hint="eastAsia" w:ascii="仿宋" w:hAnsi="仿宋" w:eastAsia="仿宋" w:cs="仿宋"/>
                <w:kern w:val="0"/>
                <w:sz w:val="24"/>
              </w:rPr>
              <w:t>桌腿上端与支架采用≥38mm×20mm椭圆形钢管壁厚≥1.2mm，桌腿上端与支架为同一根钢管使用折弯技术一次成型，</w:t>
            </w:r>
            <w:r>
              <w:rPr>
                <w:rFonts w:hint="eastAsia" w:ascii="微软雅黑" w:hAnsi="微软雅黑" w:eastAsia="微软雅黑" w:cs="微软雅黑"/>
                <w:kern w:val="0"/>
                <w:sz w:val="24"/>
              </w:rPr>
              <w:t>⑤</w:t>
            </w:r>
            <w:r>
              <w:rPr>
                <w:rFonts w:hint="eastAsia" w:ascii="仿宋" w:hAnsi="仿宋" w:eastAsia="仿宋" w:cs="仿宋"/>
                <w:kern w:val="0"/>
                <w:sz w:val="24"/>
              </w:rPr>
              <w:t>横梁，两条桌腿中间设有横梁，横梁采用38×20mm椭圆形钢管</w:t>
            </w:r>
            <w:r>
              <w:rPr>
                <w:rFonts w:hint="eastAsia" w:ascii="仿宋" w:hAnsi="仿宋" w:eastAsia="仿宋" w:cs="仿宋"/>
                <w:sz w:val="24"/>
              </w:rPr>
              <w:t>壁厚≥1.2mm，</w:t>
            </w:r>
            <w:r>
              <w:rPr>
                <w:rFonts w:hint="eastAsia" w:ascii="仿宋" w:hAnsi="仿宋" w:eastAsia="仿宋" w:cs="仿宋"/>
                <w:kern w:val="0"/>
                <w:sz w:val="24"/>
              </w:rPr>
              <w:t>横梁两边设有</w:t>
            </w:r>
            <w:r>
              <w:rPr>
                <w:rFonts w:hint="eastAsia" w:ascii="仿宋" w:hAnsi="仿宋" w:eastAsia="仿宋" w:cs="仿宋"/>
                <w:sz w:val="24"/>
              </w:rPr>
              <w:t>连接片，连接片</w:t>
            </w:r>
            <w:r>
              <w:rPr>
                <w:rFonts w:hint="eastAsia" w:ascii="仿宋" w:hAnsi="仿宋" w:eastAsia="仿宋" w:cs="仿宋"/>
                <w:kern w:val="0"/>
                <w:sz w:val="24"/>
              </w:rPr>
              <w:t>壁厚≥</w:t>
            </w:r>
            <w:r>
              <w:rPr>
                <w:rFonts w:hint="eastAsia" w:ascii="仿宋" w:hAnsi="仿宋" w:eastAsia="仿宋" w:cs="仿宋"/>
                <w:sz w:val="24"/>
              </w:rPr>
              <w:t>2.0mm，用内六角罗丝与桌腿相连，非穿透相连</w:t>
            </w:r>
            <w:r>
              <w:rPr>
                <w:rFonts w:hint="eastAsia" w:ascii="仿宋" w:hAnsi="仿宋" w:eastAsia="仿宋" w:cs="仿宋"/>
                <w:kern w:val="0"/>
                <w:sz w:val="24"/>
              </w:rPr>
              <w:t>，</w:t>
            </w:r>
            <w:r>
              <w:rPr>
                <w:rFonts w:hint="eastAsia" w:ascii="仿宋" w:hAnsi="仿宋" w:eastAsia="仿宋" w:cs="仿宋"/>
                <w:sz w:val="24"/>
              </w:rPr>
              <w:t>挡板：</w:t>
            </w:r>
            <w:r>
              <w:rPr>
                <w:rFonts w:hint="eastAsia" w:ascii="仿宋" w:hAnsi="仿宋" w:eastAsia="仿宋" w:cs="仿宋"/>
                <w:kern w:val="0"/>
                <w:sz w:val="24"/>
              </w:rPr>
              <w:t>尺寸长≥500mm×宽≥200mm×厚≥18mm，</w:t>
            </w:r>
            <w:r>
              <w:rPr>
                <w:rFonts w:hint="eastAsia" w:ascii="仿宋" w:hAnsi="仿宋" w:eastAsia="仿宋" w:cs="仿宋"/>
                <w:sz w:val="24"/>
              </w:rPr>
              <w:t>采用优质环保饰面刨花板，挡板</w:t>
            </w:r>
            <w:r>
              <w:rPr>
                <w:rFonts w:hint="eastAsia" w:ascii="仿宋" w:hAnsi="仿宋" w:eastAsia="仿宋" w:cs="仿宋"/>
                <w:kern w:val="0"/>
                <w:sz w:val="24"/>
              </w:rPr>
              <w:t>能增加牢固度又有挡腿作用</w:t>
            </w:r>
            <w:r>
              <w:rPr>
                <w:rFonts w:hint="eastAsia" w:ascii="仿宋" w:hAnsi="仿宋" w:eastAsia="仿宋" w:cs="仿宋"/>
                <w:sz w:val="24"/>
              </w:rPr>
              <w:t>，(</w:t>
            </w:r>
            <w:r>
              <w:rPr>
                <w:rFonts w:hint="eastAsia" w:ascii="仿宋" w:hAnsi="仿宋" w:eastAsia="仿宋" w:cs="仿宋"/>
                <w:b/>
                <w:kern w:val="0"/>
                <w:sz w:val="24"/>
                <w:lang w:bidi="ar"/>
              </w:rPr>
              <w:t>投标文件中提供</w:t>
            </w:r>
            <w:r>
              <w:rPr>
                <w:rFonts w:hint="eastAsia" w:ascii="仿宋" w:hAnsi="仿宋" w:eastAsia="仿宋" w:cs="仿宋"/>
                <w:b/>
                <w:sz w:val="24"/>
              </w:rPr>
              <w:t>桌架组装后的实物图，实物图无须安装桌面)。</w:t>
            </w:r>
          </w:p>
          <w:p w14:paraId="1DF630E4">
            <w:pPr>
              <w:spacing w:line="360" w:lineRule="auto"/>
              <w:rPr>
                <w:rFonts w:hint="eastAsia" w:ascii="仿宋" w:hAnsi="仿宋" w:eastAsia="仿宋" w:cs="仿宋"/>
                <w:b/>
                <w:sz w:val="24"/>
              </w:rPr>
            </w:pPr>
            <w:r>
              <w:rPr>
                <w:rFonts w:hint="eastAsia" w:ascii="仿宋" w:hAnsi="仿宋" w:eastAsia="仿宋" w:cs="仿宋"/>
                <w:sz w:val="24"/>
              </w:rPr>
              <w:t>6、</w:t>
            </w:r>
            <w:r>
              <w:rPr>
                <w:rFonts w:hint="eastAsia" w:ascii="仿宋" w:hAnsi="仿宋" w:eastAsia="仿宋" w:cs="仿宋"/>
                <w:kern w:val="0"/>
                <w:sz w:val="24"/>
              </w:rPr>
              <w:t>焊接</w:t>
            </w:r>
            <w:r>
              <w:rPr>
                <w:rFonts w:hint="eastAsia" w:ascii="仿宋" w:hAnsi="仿宋" w:eastAsia="仿宋" w:cs="仿宋"/>
                <w:sz w:val="24"/>
              </w:rPr>
              <w:t>：所有</w:t>
            </w:r>
            <w:r>
              <w:rPr>
                <w:rFonts w:hint="eastAsia" w:ascii="仿宋" w:hAnsi="仿宋" w:eastAsia="仿宋" w:cs="仿宋"/>
                <w:kern w:val="0"/>
                <w:sz w:val="24"/>
              </w:rPr>
              <w:t>焊缝不应有漏焊、烧穿、气孔、夹渣、未焊透和严重咬边等缺陷，所有焊接全部是满焊,</w:t>
            </w:r>
            <w:r>
              <w:rPr>
                <w:rFonts w:hint="eastAsia" w:ascii="仿宋" w:hAnsi="仿宋" w:eastAsia="仿宋" w:cs="仿宋"/>
                <w:sz w:val="24"/>
              </w:rPr>
              <w:t xml:space="preserve"> 焊接</w:t>
            </w:r>
            <w:r>
              <w:rPr>
                <w:rFonts w:hint="eastAsia" w:ascii="仿宋" w:hAnsi="仿宋" w:eastAsia="仿宋" w:cs="仿宋"/>
                <w:kern w:val="0"/>
                <w:sz w:val="24"/>
              </w:rPr>
              <w:t>不能留缝隙,熔渣应清理干净</w:t>
            </w:r>
            <w:r>
              <w:rPr>
                <w:rFonts w:hint="eastAsia" w:ascii="仿宋" w:hAnsi="仿宋" w:eastAsia="仿宋" w:cs="仿宋"/>
                <w:b/>
                <w:sz w:val="24"/>
              </w:rPr>
              <w:t>。</w:t>
            </w:r>
          </w:p>
          <w:p w14:paraId="686F881C">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7、书包挂钩：金属材质，无需螺丝安装。</w:t>
            </w:r>
          </w:p>
          <w:p w14:paraId="15E2A079">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8、外观：人性化设计，美观大方，边缘平整圆滑。</w:t>
            </w:r>
          </w:p>
          <w:p w14:paraId="482BE7F0">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9、脚套：采用PP塑料一次注塑成型,桌脚着地平稳，没有倾斜或摇摆现象，带有调节轮,遇不平整地面时，可通过调节轮手动进行桌脚水平调节，不借用其他工具,调整方便,确保使用平衡。</w:t>
            </w:r>
          </w:p>
          <w:p w14:paraId="70135090">
            <w:pPr>
              <w:widowControl/>
              <w:spacing w:line="360" w:lineRule="auto"/>
              <w:jc w:val="left"/>
              <w:rPr>
                <w:rFonts w:hint="eastAsia" w:ascii="仿宋" w:hAnsi="仿宋" w:eastAsia="仿宋" w:cs="仿宋"/>
                <w:kern w:val="0"/>
                <w:sz w:val="24"/>
              </w:rPr>
            </w:pPr>
            <w:r>
              <w:rPr>
                <w:rFonts w:hint="eastAsia" w:ascii="仿宋" w:hAnsi="仿宋" w:eastAsia="仿宋" w:cs="仿宋"/>
                <w:bCs/>
                <w:kern w:val="0"/>
                <w:sz w:val="24"/>
              </w:rPr>
              <w:t>10、</w:t>
            </w:r>
            <w:r>
              <w:rPr>
                <w:rFonts w:hint="eastAsia" w:ascii="仿宋" w:hAnsi="仿宋" w:eastAsia="仿宋" w:cs="仿宋"/>
                <w:kern w:val="0"/>
                <w:sz w:val="24"/>
              </w:rPr>
              <w:t>涂装：所有金属部件经过流水线抛丸工艺除锈和高温除油处理，采用静电喷塑经高温固化，使涂层与金属表面的附着力更强，耐腐蚀，不易脱落。</w:t>
            </w:r>
          </w:p>
          <w:p w14:paraId="69FE7BD2">
            <w:pPr>
              <w:spacing w:line="360" w:lineRule="auto"/>
              <w:rPr>
                <w:rFonts w:hint="eastAsia" w:ascii="仿宋" w:hAnsi="仿宋" w:eastAsia="仿宋" w:cs="仿宋"/>
                <w:b/>
                <w:bCs/>
                <w:sz w:val="24"/>
              </w:rPr>
            </w:pPr>
            <w:r>
              <w:rPr>
                <w:rFonts w:hint="eastAsia" w:ascii="仿宋" w:hAnsi="仿宋" w:eastAsia="仿宋" w:cs="仿宋"/>
                <w:kern w:val="0"/>
                <w:sz w:val="24"/>
              </w:rPr>
              <w:t>11、钢管堵头：采用抗老化环保PP塑料注塑一次成型, 堵头成型后就带有生产厂家LOGO标识，LOGO为注塑一次成型标识，非印刷、非后加贴标</w:t>
            </w:r>
            <w:r>
              <w:rPr>
                <w:rFonts w:hint="eastAsia" w:ascii="仿宋" w:hAnsi="仿宋" w:eastAsia="仿宋" w:cs="仿宋"/>
                <w:b/>
                <w:bCs/>
                <w:sz w:val="24"/>
              </w:rPr>
              <w:t>。</w:t>
            </w:r>
          </w:p>
          <w:p w14:paraId="68598174">
            <w:pPr>
              <w:spacing w:line="360" w:lineRule="auto"/>
              <w:outlineLvl w:val="2"/>
              <w:rPr>
                <w:rFonts w:hint="eastAsia" w:ascii="仿宋" w:hAnsi="仿宋" w:eastAsia="仿宋" w:cs="仿宋"/>
                <w:bCs/>
                <w:sz w:val="24"/>
              </w:rPr>
            </w:pPr>
            <w:r>
              <w:rPr>
                <w:rFonts w:hint="eastAsia" w:ascii="仿宋" w:hAnsi="仿宋" w:eastAsia="仿宋" w:cs="仿宋"/>
                <w:bCs/>
                <w:sz w:val="24"/>
              </w:rPr>
              <w:t>12、外包装：便于收货交接，方便清点，采用纸箱包装，同时印有所投产品品牌LOGO标识及生产厂商名称等信息，交货时如不符合要求拒绝入场。</w:t>
            </w:r>
          </w:p>
          <w:p w14:paraId="67AB836C">
            <w:pPr>
              <w:spacing w:line="360" w:lineRule="auto"/>
              <w:outlineLvl w:val="2"/>
              <w:rPr>
                <w:rFonts w:hint="eastAsia" w:ascii="仿宋" w:hAnsi="仿宋" w:eastAsia="仿宋" w:cs="仿宋"/>
                <w:b/>
                <w:bCs/>
                <w:sz w:val="24"/>
              </w:rPr>
            </w:pPr>
            <w:r>
              <w:rPr>
                <w:rFonts w:hint="eastAsia" w:ascii="仿宋" w:hAnsi="仿宋" w:eastAsia="仿宋" w:cs="仿宋"/>
                <w:b/>
                <w:bCs/>
                <w:sz w:val="24"/>
              </w:rPr>
              <w:t>二 、课椅产品描述</w:t>
            </w:r>
          </w:p>
          <w:p w14:paraId="19C96EF7">
            <w:pPr>
              <w:spacing w:line="360" w:lineRule="auto"/>
              <w:rPr>
                <w:rFonts w:hint="eastAsia" w:ascii="仿宋" w:hAnsi="仿宋" w:eastAsia="仿宋" w:cs="仿宋"/>
                <w:bCs/>
                <w:sz w:val="24"/>
              </w:rPr>
            </w:pPr>
            <w:r>
              <w:rPr>
                <w:rFonts w:hint="eastAsia" w:ascii="仿宋" w:hAnsi="仿宋" w:eastAsia="仿宋" w:cs="仿宋"/>
                <w:bCs/>
                <w:sz w:val="24"/>
              </w:rPr>
              <w:t>1、设计：人性化，</w:t>
            </w:r>
            <w:r>
              <w:rPr>
                <w:rFonts w:hint="eastAsia" w:ascii="仿宋" w:hAnsi="仿宋" w:eastAsia="仿宋" w:cs="仿宋"/>
                <w:kern w:val="0"/>
                <w:sz w:val="24"/>
              </w:rPr>
              <w:t>打扫卫生时</w:t>
            </w:r>
            <w:r>
              <w:rPr>
                <w:rFonts w:hint="eastAsia" w:ascii="仿宋" w:hAnsi="仿宋" w:eastAsia="仿宋" w:cs="仿宋"/>
                <w:sz w:val="24"/>
              </w:rPr>
              <w:t>课椅</w:t>
            </w:r>
            <w:r>
              <w:rPr>
                <w:rFonts w:hint="eastAsia" w:ascii="仿宋" w:hAnsi="仿宋" w:eastAsia="仿宋" w:cs="仿宋"/>
                <w:kern w:val="0"/>
                <w:sz w:val="24"/>
              </w:rPr>
              <w:t>可安全的卡在桌面不晃动,使用时能轻松取下</w:t>
            </w:r>
            <w:r>
              <w:rPr>
                <w:rFonts w:hint="eastAsia" w:ascii="仿宋" w:hAnsi="仿宋" w:eastAsia="仿宋" w:cs="仿宋"/>
                <w:sz w:val="24"/>
              </w:rPr>
              <w:t>,</w:t>
            </w:r>
            <w:r>
              <w:rPr>
                <w:rFonts w:hint="eastAsia" w:ascii="仿宋" w:hAnsi="仿宋" w:eastAsia="仿宋" w:cs="仿宋"/>
                <w:bCs/>
                <w:sz w:val="24"/>
              </w:rPr>
              <w:t>颜色可选。</w:t>
            </w:r>
          </w:p>
          <w:p w14:paraId="48B7D798">
            <w:pPr>
              <w:spacing w:line="360" w:lineRule="auto"/>
              <w:rPr>
                <w:rFonts w:hint="eastAsia" w:ascii="仿宋" w:hAnsi="仿宋" w:eastAsia="仿宋" w:cs="仿宋"/>
                <w:bCs/>
                <w:sz w:val="24"/>
              </w:rPr>
            </w:pPr>
            <w:r>
              <w:rPr>
                <w:rFonts w:hint="eastAsia" w:ascii="仿宋" w:hAnsi="仿宋" w:eastAsia="仿宋" w:cs="仿宋"/>
                <w:bCs/>
                <w:sz w:val="24"/>
              </w:rPr>
              <w:t>2、规格：座面410mm（±10mm）×420mm（±10mm），座高440mm（±10mm）。</w:t>
            </w:r>
          </w:p>
          <w:p w14:paraId="7F33AC32">
            <w:pPr>
              <w:widowControl/>
              <w:spacing w:line="360" w:lineRule="auto"/>
              <w:rPr>
                <w:rFonts w:hint="eastAsia" w:ascii="仿宋" w:hAnsi="仿宋" w:eastAsia="仿宋" w:cs="仿宋"/>
                <w:kern w:val="0"/>
                <w:sz w:val="24"/>
              </w:rPr>
            </w:pPr>
            <w:r>
              <w:rPr>
                <w:rFonts w:hint="eastAsia" w:ascii="仿宋" w:hAnsi="仿宋" w:eastAsia="仿宋" w:cs="仿宋"/>
                <w:bCs/>
                <w:sz w:val="24"/>
              </w:rPr>
              <w:t>3、座靠板：</w:t>
            </w:r>
            <w:r>
              <w:rPr>
                <w:rFonts w:hint="eastAsia" w:ascii="仿宋" w:hAnsi="仿宋" w:eastAsia="仿宋" w:cs="仿宋"/>
                <w:kern w:val="0"/>
                <w:sz w:val="24"/>
              </w:rPr>
              <w:t>座板410mm</w:t>
            </w:r>
            <w:r>
              <w:rPr>
                <w:rFonts w:hint="eastAsia" w:ascii="仿宋" w:hAnsi="仿宋" w:eastAsia="仿宋" w:cs="仿宋"/>
                <w:bCs/>
                <w:sz w:val="24"/>
              </w:rPr>
              <w:t>（±10mm）</w:t>
            </w:r>
            <w:r>
              <w:rPr>
                <w:rFonts w:hint="eastAsia" w:ascii="仿宋" w:hAnsi="仿宋" w:eastAsia="仿宋" w:cs="仿宋"/>
                <w:kern w:val="0"/>
                <w:sz w:val="24"/>
              </w:rPr>
              <w:t>×420mm</w:t>
            </w:r>
            <w:r>
              <w:rPr>
                <w:rFonts w:hint="eastAsia" w:ascii="仿宋" w:hAnsi="仿宋" w:eastAsia="仿宋" w:cs="仿宋"/>
                <w:bCs/>
                <w:sz w:val="24"/>
              </w:rPr>
              <w:t>（±10mm）</w:t>
            </w:r>
            <w:r>
              <w:rPr>
                <w:rFonts w:hint="eastAsia" w:ascii="仿宋" w:hAnsi="仿宋" w:eastAsia="仿宋" w:cs="仿宋"/>
                <w:kern w:val="0"/>
                <w:sz w:val="24"/>
              </w:rPr>
              <w:t>，靠板400mm</w:t>
            </w:r>
            <w:r>
              <w:rPr>
                <w:rFonts w:hint="eastAsia" w:ascii="仿宋" w:hAnsi="仿宋" w:eastAsia="仿宋" w:cs="仿宋"/>
                <w:bCs/>
                <w:sz w:val="24"/>
              </w:rPr>
              <w:t>（±10mm）</w:t>
            </w:r>
            <w:r>
              <w:rPr>
                <w:rFonts w:hint="eastAsia" w:ascii="仿宋" w:hAnsi="仿宋" w:eastAsia="仿宋" w:cs="仿宋"/>
                <w:kern w:val="0"/>
                <w:sz w:val="24"/>
              </w:rPr>
              <w:t>×355mm</w:t>
            </w:r>
            <w:r>
              <w:rPr>
                <w:rFonts w:hint="eastAsia" w:ascii="仿宋" w:hAnsi="仿宋" w:eastAsia="仿宋" w:cs="仿宋"/>
                <w:bCs/>
                <w:sz w:val="24"/>
              </w:rPr>
              <w:t>（±10mm）</w:t>
            </w:r>
            <w:r>
              <w:rPr>
                <w:rFonts w:hint="eastAsia" w:ascii="仿宋" w:hAnsi="仿宋" w:eastAsia="仿宋" w:cs="仿宋"/>
                <w:kern w:val="0"/>
                <w:sz w:val="24"/>
              </w:rPr>
              <w:t>，座靠板采用PP塑料注塑连体一次成型，PP色母调色，座板周边不留锐角，座板底部有PP字样，</w:t>
            </w:r>
            <w:r>
              <w:rPr>
                <w:rFonts w:hint="eastAsia" w:ascii="仿宋" w:hAnsi="仿宋" w:eastAsia="仿宋" w:cs="仿宋"/>
                <w:sz w:val="24"/>
              </w:rPr>
              <w:t>并</w:t>
            </w:r>
            <w:r>
              <w:rPr>
                <w:rFonts w:hint="eastAsia" w:ascii="仿宋" w:hAnsi="仿宋" w:eastAsia="仿宋" w:cs="仿宋"/>
                <w:kern w:val="0"/>
                <w:sz w:val="24"/>
              </w:rPr>
              <w:t>能清楚的示意生产年月，质量保证，质可溯源,靠板背面注塑成型时就带有所投产品的品牌LOGO标识，非后加非印刷，符合人体工程学，靠板上端有一个110mm</w:t>
            </w:r>
            <w:r>
              <w:rPr>
                <w:rFonts w:hint="eastAsia" w:ascii="仿宋" w:hAnsi="仿宋" w:eastAsia="仿宋" w:cs="仿宋"/>
                <w:bCs/>
                <w:sz w:val="24"/>
              </w:rPr>
              <w:t>（±10mm）</w:t>
            </w:r>
            <w:r>
              <w:rPr>
                <w:rFonts w:hint="eastAsia" w:ascii="仿宋" w:hAnsi="仿宋" w:eastAsia="仿宋" w:cs="仿宋"/>
                <w:kern w:val="0"/>
                <w:sz w:val="24"/>
              </w:rPr>
              <w:t>×30mm</w:t>
            </w:r>
            <w:r>
              <w:rPr>
                <w:rFonts w:hint="eastAsia" w:ascii="仿宋" w:hAnsi="仿宋" w:eastAsia="仿宋" w:cs="仿宋"/>
                <w:bCs/>
                <w:sz w:val="24"/>
              </w:rPr>
              <w:t>（±10mm）</w:t>
            </w:r>
            <w:r>
              <w:rPr>
                <w:rFonts w:hint="eastAsia" w:ascii="仿宋" w:hAnsi="仿宋" w:eastAsia="仿宋" w:cs="仿宋"/>
                <w:sz w:val="24"/>
              </w:rPr>
              <w:t>随圆</w:t>
            </w:r>
            <w:r>
              <w:rPr>
                <w:rFonts w:hint="eastAsia" w:ascii="仿宋" w:hAnsi="仿宋" w:eastAsia="仿宋" w:cs="仿宋"/>
                <w:kern w:val="0"/>
                <w:sz w:val="24"/>
              </w:rPr>
              <w:t>孔，方便提动，座靠板背面拐弯连接处有不少于10条的加强筋，座板与椅架无需任何螺丝或铆钉连接，使用PP塑料卡扣便可与椅架固定</w:t>
            </w:r>
            <w:r>
              <w:rPr>
                <w:rFonts w:hint="eastAsia" w:ascii="仿宋" w:hAnsi="仿宋" w:eastAsia="仿宋" w:cs="仿宋"/>
                <w:bCs/>
                <w:sz w:val="24"/>
              </w:rPr>
              <w:t>。</w:t>
            </w:r>
          </w:p>
          <w:p w14:paraId="6373366C">
            <w:pPr>
              <w:spacing w:line="360" w:lineRule="auto"/>
              <w:rPr>
                <w:rFonts w:hint="eastAsia" w:ascii="仿宋" w:hAnsi="仿宋" w:eastAsia="仿宋" w:cs="仿宋"/>
                <w:b/>
                <w:bCs/>
                <w:sz w:val="24"/>
              </w:rPr>
            </w:pPr>
            <w:r>
              <w:rPr>
                <w:rFonts w:hint="eastAsia" w:ascii="仿宋" w:hAnsi="仿宋" w:eastAsia="仿宋" w:cs="仿宋"/>
                <w:b w:val="0"/>
                <w:bCs w:val="0"/>
                <w:kern w:val="0"/>
                <w:sz w:val="24"/>
              </w:rPr>
              <w:t>4、椅架：</w:t>
            </w:r>
            <w:r>
              <w:rPr>
                <w:rFonts w:hint="eastAsia" w:ascii="仿宋" w:hAnsi="仿宋" w:eastAsia="仿宋" w:cs="仿宋"/>
                <w:sz w:val="24"/>
              </w:rPr>
              <w:t>着地横脚与椅腿为同一根钢管使用折弯技术一次成型，钢管一样大，采用≥38mm×20mm×壁厚≥2.0mm的椭圆形钢管，板面底托支架采用≥20mm×20mm方形钢管壁厚≥2.0mm，</w:t>
            </w:r>
            <w:r>
              <w:rPr>
                <w:rFonts w:hint="eastAsia" w:ascii="仿宋" w:hAnsi="仿宋" w:eastAsia="仿宋" w:cs="仿宋"/>
                <w:b/>
                <w:bCs/>
                <w:sz w:val="24"/>
              </w:rPr>
              <w:t>（投标文件中提供本项产品</w:t>
            </w:r>
            <w:r>
              <w:rPr>
                <w:rFonts w:hint="eastAsia" w:ascii="仿宋" w:hAnsi="仿宋" w:eastAsia="仿宋" w:cs="仿宋"/>
                <w:b/>
                <w:bCs/>
                <w:kern w:val="0"/>
                <w:sz w:val="24"/>
              </w:rPr>
              <w:t>椅架</w:t>
            </w:r>
            <w:r>
              <w:rPr>
                <w:rFonts w:hint="eastAsia" w:ascii="仿宋" w:hAnsi="仿宋" w:eastAsia="仿宋" w:cs="仿宋"/>
                <w:b/>
                <w:bCs/>
                <w:sz w:val="24"/>
              </w:rPr>
              <w:t>的实物测量照片，为便于评审，须使用标准的测量</w:t>
            </w:r>
            <w:r>
              <w:rPr>
                <w:rFonts w:hint="eastAsia" w:ascii="仿宋" w:hAnsi="仿宋" w:eastAsia="仿宋" w:cs="仿宋"/>
                <w:b/>
                <w:bCs/>
                <w:sz w:val="24"/>
                <w:lang w:bidi="ar"/>
              </w:rPr>
              <w:t>器具并</w:t>
            </w:r>
            <w:r>
              <w:rPr>
                <w:rFonts w:hint="eastAsia" w:ascii="仿宋" w:hAnsi="仿宋" w:eastAsia="仿宋" w:cs="仿宋"/>
                <w:b/>
                <w:bCs/>
                <w:sz w:val="24"/>
              </w:rPr>
              <w:t>清楚的显示实测尺寸，实物测量照片中能体现测量后须满足：≥38mm×20mm×壁厚≥2.0mm的椭圆形钢管，板面底托支架采用≥20mm×20mm方形钢管壁厚≥2.0mm）。</w:t>
            </w:r>
          </w:p>
          <w:p w14:paraId="29F83408">
            <w:pPr>
              <w:widowControl/>
              <w:spacing w:line="360" w:lineRule="auto"/>
              <w:rPr>
                <w:rFonts w:hint="eastAsia" w:ascii="仿宋" w:hAnsi="仿宋" w:eastAsia="仿宋" w:cs="仿宋"/>
                <w:kern w:val="0"/>
                <w:sz w:val="24"/>
              </w:rPr>
            </w:pPr>
            <w:r>
              <w:rPr>
                <w:rFonts w:hint="eastAsia" w:ascii="仿宋" w:hAnsi="仿宋" w:eastAsia="仿宋" w:cs="仿宋"/>
                <w:kern w:val="0"/>
                <w:sz w:val="24"/>
              </w:rPr>
              <w:t>5、卡扣：前后卡扣均</w:t>
            </w:r>
            <w:r>
              <w:rPr>
                <w:rFonts w:hint="eastAsia" w:ascii="仿宋" w:hAnsi="仿宋" w:eastAsia="仿宋" w:cs="仿宋"/>
                <w:sz w:val="24"/>
              </w:rPr>
              <w:t>采用</w:t>
            </w:r>
            <w:r>
              <w:rPr>
                <w:rFonts w:hint="eastAsia" w:ascii="仿宋" w:hAnsi="仿宋" w:eastAsia="仿宋" w:cs="仿宋"/>
                <w:kern w:val="0"/>
                <w:sz w:val="24"/>
              </w:rPr>
              <w:t>PP塑料注塑一次成型</w:t>
            </w:r>
            <w:r>
              <w:rPr>
                <w:rFonts w:hint="eastAsia" w:ascii="仿宋" w:hAnsi="仿宋" w:eastAsia="仿宋" w:cs="仿宋"/>
                <w:b/>
                <w:bCs/>
                <w:sz w:val="24"/>
              </w:rPr>
              <w:t>，</w:t>
            </w:r>
            <w:r>
              <w:rPr>
                <w:rFonts w:hint="eastAsia" w:ascii="仿宋" w:hAnsi="仿宋" w:eastAsia="仿宋" w:cs="仿宋"/>
                <w:kern w:val="0"/>
                <w:sz w:val="24"/>
              </w:rPr>
              <w:t>前卡扣尺寸</w:t>
            </w:r>
            <w:r>
              <w:rPr>
                <w:rFonts w:hint="eastAsia" w:ascii="仿宋" w:hAnsi="仿宋" w:eastAsia="仿宋" w:cs="仿宋"/>
                <w:bCs/>
                <w:sz w:val="24"/>
              </w:rPr>
              <w:t>为</w:t>
            </w:r>
            <w:r>
              <w:rPr>
                <w:rFonts w:hint="eastAsia" w:ascii="仿宋" w:hAnsi="仿宋" w:eastAsia="仿宋" w:cs="仿宋"/>
                <w:kern w:val="0"/>
                <w:sz w:val="24"/>
              </w:rPr>
              <w:t>长38mm</w:t>
            </w:r>
            <w:r>
              <w:rPr>
                <w:rFonts w:hint="eastAsia" w:ascii="仿宋" w:hAnsi="仿宋" w:eastAsia="仿宋" w:cs="仿宋"/>
                <w:sz w:val="24"/>
              </w:rPr>
              <w:t>（±2mm）</w:t>
            </w:r>
            <w:r>
              <w:rPr>
                <w:rFonts w:hint="eastAsia" w:ascii="仿宋" w:hAnsi="仿宋" w:eastAsia="仿宋" w:cs="仿宋"/>
                <w:kern w:val="0"/>
                <w:sz w:val="24"/>
              </w:rPr>
              <w:t>×宽20mm</w:t>
            </w:r>
            <w:r>
              <w:rPr>
                <w:rFonts w:hint="eastAsia" w:ascii="仿宋" w:hAnsi="仿宋" w:eastAsia="仿宋" w:cs="仿宋"/>
                <w:sz w:val="24"/>
              </w:rPr>
              <w:t>（±2mm）</w:t>
            </w:r>
            <w:r>
              <w:rPr>
                <w:rFonts w:hint="eastAsia" w:ascii="仿宋" w:hAnsi="仿宋" w:eastAsia="仿宋" w:cs="仿宋"/>
                <w:kern w:val="0"/>
                <w:sz w:val="24"/>
              </w:rPr>
              <w:t>×高30mm</w:t>
            </w:r>
            <w:r>
              <w:rPr>
                <w:rFonts w:hint="eastAsia" w:ascii="仿宋" w:hAnsi="仿宋" w:eastAsia="仿宋" w:cs="仿宋"/>
                <w:sz w:val="24"/>
              </w:rPr>
              <w:t>（±2mm）</w:t>
            </w:r>
            <w:r>
              <w:rPr>
                <w:rFonts w:hint="eastAsia" w:ascii="仿宋" w:hAnsi="仿宋" w:eastAsia="仿宋" w:cs="仿宋"/>
                <w:kern w:val="0"/>
                <w:sz w:val="24"/>
              </w:rPr>
              <w:t>，后卡扣尺寸</w:t>
            </w:r>
            <w:r>
              <w:rPr>
                <w:rFonts w:hint="eastAsia" w:ascii="仿宋" w:hAnsi="仿宋" w:eastAsia="仿宋" w:cs="仿宋"/>
                <w:bCs/>
                <w:sz w:val="24"/>
              </w:rPr>
              <w:t>为</w:t>
            </w:r>
            <w:r>
              <w:rPr>
                <w:rFonts w:hint="eastAsia" w:ascii="仿宋" w:hAnsi="仿宋" w:eastAsia="仿宋" w:cs="仿宋"/>
                <w:kern w:val="0"/>
                <w:sz w:val="24"/>
              </w:rPr>
              <w:t>长50mm</w:t>
            </w:r>
            <w:r>
              <w:rPr>
                <w:rFonts w:hint="eastAsia" w:ascii="仿宋" w:hAnsi="仿宋" w:eastAsia="仿宋" w:cs="仿宋"/>
                <w:sz w:val="24"/>
              </w:rPr>
              <w:t>（±2mm）</w:t>
            </w:r>
            <w:r>
              <w:rPr>
                <w:rFonts w:hint="eastAsia" w:ascii="仿宋" w:hAnsi="仿宋" w:eastAsia="仿宋" w:cs="仿宋"/>
                <w:kern w:val="0"/>
                <w:sz w:val="24"/>
              </w:rPr>
              <w:t>×宽45mm</w:t>
            </w:r>
            <w:r>
              <w:rPr>
                <w:rFonts w:hint="eastAsia" w:ascii="仿宋" w:hAnsi="仿宋" w:eastAsia="仿宋" w:cs="仿宋"/>
                <w:sz w:val="24"/>
              </w:rPr>
              <w:t>（±2mm）</w:t>
            </w:r>
            <w:r>
              <w:rPr>
                <w:rFonts w:hint="eastAsia" w:ascii="仿宋" w:hAnsi="仿宋" w:eastAsia="仿宋" w:cs="仿宋"/>
                <w:kern w:val="0"/>
                <w:sz w:val="24"/>
              </w:rPr>
              <w:t>×高16mm</w:t>
            </w:r>
            <w:r>
              <w:rPr>
                <w:rFonts w:hint="eastAsia" w:ascii="仿宋" w:hAnsi="仿宋" w:eastAsia="仿宋" w:cs="仿宋"/>
                <w:sz w:val="24"/>
              </w:rPr>
              <w:t>（±2mm）</w:t>
            </w:r>
            <w:r>
              <w:rPr>
                <w:rFonts w:hint="eastAsia" w:ascii="仿宋" w:hAnsi="仿宋" w:eastAsia="仿宋" w:cs="仿宋"/>
                <w:kern w:val="0"/>
                <w:sz w:val="24"/>
              </w:rPr>
              <w:t>，后卡扣</w:t>
            </w:r>
            <w:r>
              <w:rPr>
                <w:rFonts w:hint="eastAsia" w:ascii="仿宋" w:hAnsi="仿宋" w:eastAsia="仿宋" w:cs="仿宋"/>
                <w:sz w:val="24"/>
              </w:rPr>
              <w:t>实测壁厚</w:t>
            </w:r>
            <w:r>
              <w:rPr>
                <w:rFonts w:hint="eastAsia" w:ascii="仿宋" w:hAnsi="仿宋" w:eastAsia="仿宋" w:cs="仿宋"/>
                <w:kern w:val="0"/>
                <w:sz w:val="24"/>
              </w:rPr>
              <w:t>≥5.0mm。</w:t>
            </w:r>
          </w:p>
          <w:p w14:paraId="3D139705">
            <w:pPr>
              <w:widowControl/>
              <w:spacing w:line="360" w:lineRule="auto"/>
              <w:rPr>
                <w:rFonts w:hint="eastAsia" w:ascii="仿宋" w:hAnsi="仿宋" w:eastAsia="仿宋" w:cs="仿宋"/>
                <w:bCs/>
                <w:kern w:val="0"/>
                <w:sz w:val="24"/>
              </w:rPr>
            </w:pPr>
            <w:r>
              <w:rPr>
                <w:rFonts w:hint="eastAsia" w:ascii="仿宋" w:hAnsi="仿宋" w:eastAsia="仿宋" w:cs="仿宋"/>
                <w:sz w:val="24"/>
              </w:rPr>
              <w:t>6、</w:t>
            </w:r>
            <w:r>
              <w:rPr>
                <w:rFonts w:hint="eastAsia" w:ascii="仿宋" w:hAnsi="仿宋" w:eastAsia="仿宋" w:cs="仿宋"/>
                <w:kern w:val="0"/>
                <w:sz w:val="24"/>
              </w:rPr>
              <w:t>座板与支架连接处底部卡扣上有两个圆形塑料稳固件，</w:t>
            </w:r>
            <w:r>
              <w:rPr>
                <w:rFonts w:hint="eastAsia" w:ascii="仿宋" w:hAnsi="仿宋" w:eastAsia="仿宋" w:cs="仿宋"/>
                <w:bCs/>
                <w:kern w:val="0"/>
                <w:sz w:val="24"/>
              </w:rPr>
              <w:t>采用PP塑料注塑一次成型尺寸</w:t>
            </w:r>
            <w:r>
              <w:rPr>
                <w:rFonts w:hint="eastAsia" w:ascii="仿宋" w:hAnsi="仿宋" w:eastAsia="仿宋" w:cs="仿宋"/>
                <w:bCs/>
                <w:sz w:val="24"/>
              </w:rPr>
              <w:t>为</w:t>
            </w:r>
            <w:r>
              <w:rPr>
                <w:rFonts w:hint="eastAsia" w:ascii="仿宋" w:hAnsi="仿宋" w:eastAsia="仿宋" w:cs="仿宋"/>
                <w:bCs/>
                <w:kern w:val="0"/>
                <w:sz w:val="24"/>
              </w:rPr>
              <w:t>直径20mm</w:t>
            </w:r>
            <w:r>
              <w:rPr>
                <w:rFonts w:hint="eastAsia" w:ascii="仿宋" w:hAnsi="仿宋" w:eastAsia="仿宋" w:cs="仿宋"/>
                <w:sz w:val="24"/>
              </w:rPr>
              <w:t>（±2mm）</w:t>
            </w:r>
            <w:r>
              <w:rPr>
                <w:rFonts w:hint="eastAsia" w:ascii="仿宋" w:hAnsi="仿宋" w:eastAsia="仿宋" w:cs="仿宋"/>
                <w:bCs/>
                <w:kern w:val="0"/>
                <w:sz w:val="24"/>
              </w:rPr>
              <w:t>×高30mm</w:t>
            </w:r>
            <w:r>
              <w:rPr>
                <w:rFonts w:hint="eastAsia" w:ascii="仿宋" w:hAnsi="仿宋" w:eastAsia="仿宋" w:cs="仿宋"/>
                <w:sz w:val="24"/>
              </w:rPr>
              <w:t>（±2mm）</w:t>
            </w:r>
            <w:r>
              <w:rPr>
                <w:rFonts w:hint="eastAsia" w:ascii="仿宋" w:hAnsi="仿宋" w:eastAsia="仿宋" w:cs="仿宋"/>
                <w:bCs/>
                <w:kern w:val="0"/>
                <w:sz w:val="24"/>
              </w:rPr>
              <w:t>，</w:t>
            </w:r>
            <w:r>
              <w:rPr>
                <w:rFonts w:hint="eastAsia" w:ascii="仿宋" w:hAnsi="仿宋" w:eastAsia="仿宋" w:cs="仿宋"/>
                <w:sz w:val="24"/>
              </w:rPr>
              <w:t>实测壁厚</w:t>
            </w:r>
            <w:r>
              <w:rPr>
                <w:rFonts w:hint="eastAsia" w:ascii="仿宋" w:hAnsi="仿宋" w:eastAsia="仿宋" w:cs="仿宋"/>
                <w:bCs/>
                <w:kern w:val="0"/>
                <w:sz w:val="24"/>
              </w:rPr>
              <w:t>≥4.0mm。</w:t>
            </w:r>
          </w:p>
          <w:p w14:paraId="3C07A3AC">
            <w:pPr>
              <w:widowControl/>
              <w:spacing w:line="360" w:lineRule="auto"/>
              <w:rPr>
                <w:rFonts w:hint="eastAsia" w:ascii="仿宋" w:hAnsi="仿宋" w:eastAsia="仿宋" w:cs="仿宋"/>
                <w:kern w:val="0"/>
                <w:sz w:val="24"/>
              </w:rPr>
            </w:pPr>
            <w:r>
              <w:rPr>
                <w:rFonts w:hint="eastAsia" w:ascii="仿宋" w:hAnsi="仿宋" w:eastAsia="仿宋" w:cs="仿宋"/>
                <w:kern w:val="0"/>
                <w:sz w:val="24"/>
              </w:rPr>
              <w:t>7、方便性能：座板与支架用四个卡扣便可轻松固定，安装方便，安全又牢固，</w:t>
            </w:r>
          </w:p>
          <w:p w14:paraId="6F8CFD91">
            <w:pPr>
              <w:spacing w:line="360" w:lineRule="auto"/>
              <w:rPr>
                <w:rFonts w:hint="eastAsia" w:ascii="仿宋" w:hAnsi="仿宋" w:eastAsia="仿宋" w:cs="仿宋"/>
                <w:bCs/>
                <w:sz w:val="24"/>
              </w:rPr>
            </w:pPr>
            <w:r>
              <w:rPr>
                <w:rFonts w:hint="eastAsia" w:ascii="仿宋" w:hAnsi="仿宋" w:eastAsia="仿宋" w:cs="仿宋"/>
                <w:bCs/>
                <w:sz w:val="24"/>
              </w:rPr>
              <w:t>7、脚套：</w:t>
            </w:r>
            <w:r>
              <w:rPr>
                <w:rFonts w:hint="eastAsia" w:ascii="仿宋" w:hAnsi="仿宋" w:eastAsia="仿宋" w:cs="仿宋"/>
                <w:sz w:val="24"/>
              </w:rPr>
              <w:t>采用PP塑料一次注塑成型，着地平稳，应无倾斜摇摆现象</w:t>
            </w:r>
            <w:r>
              <w:rPr>
                <w:rFonts w:hint="eastAsia" w:ascii="仿宋" w:hAnsi="仿宋" w:eastAsia="仿宋" w:cs="仿宋"/>
                <w:bCs/>
                <w:sz w:val="24"/>
              </w:rPr>
              <w:t>。</w:t>
            </w:r>
          </w:p>
          <w:p w14:paraId="2765522F">
            <w:pPr>
              <w:spacing w:line="360" w:lineRule="auto"/>
              <w:rPr>
                <w:rFonts w:hint="eastAsia" w:ascii="仿宋" w:hAnsi="仿宋" w:eastAsia="仿宋" w:cs="仿宋"/>
                <w:bCs/>
                <w:sz w:val="24"/>
              </w:rPr>
            </w:pPr>
            <w:r>
              <w:rPr>
                <w:rFonts w:hint="eastAsia" w:ascii="仿宋" w:hAnsi="仿宋" w:eastAsia="仿宋" w:cs="仿宋"/>
                <w:bCs/>
                <w:sz w:val="24"/>
              </w:rPr>
              <w:t>8、整体工艺：焊接部位满焊,无严重咬边缺陷，焊接处无脱焊无虚焊，金属件</w:t>
            </w:r>
            <w:r>
              <w:rPr>
                <w:rFonts w:hint="eastAsia" w:ascii="仿宋" w:hAnsi="仿宋" w:eastAsia="仿宋" w:cs="仿宋"/>
                <w:kern w:val="0"/>
                <w:sz w:val="24"/>
              </w:rPr>
              <w:t>采用流水线</w:t>
            </w:r>
            <w:r>
              <w:rPr>
                <w:rFonts w:hint="eastAsia" w:ascii="仿宋" w:hAnsi="仿宋" w:eastAsia="仿宋" w:cs="仿宋"/>
                <w:bCs/>
                <w:sz w:val="24"/>
              </w:rPr>
              <w:t>抛丸工艺除锈和高温除油处理，</w:t>
            </w:r>
            <w:r>
              <w:rPr>
                <w:rFonts w:hint="eastAsia" w:ascii="仿宋" w:hAnsi="仿宋" w:eastAsia="仿宋" w:cs="仿宋"/>
                <w:kern w:val="0"/>
                <w:sz w:val="24"/>
              </w:rPr>
              <w:t>采用</w:t>
            </w:r>
            <w:r>
              <w:rPr>
                <w:rFonts w:hint="eastAsia" w:ascii="仿宋" w:hAnsi="仿宋" w:eastAsia="仿宋" w:cs="仿宋"/>
                <w:bCs/>
                <w:sz w:val="24"/>
              </w:rPr>
              <w:t>环保塑粉喷涂，</w:t>
            </w:r>
            <w:r>
              <w:rPr>
                <w:rFonts w:hint="eastAsia" w:ascii="仿宋" w:hAnsi="仿宋" w:eastAsia="仿宋" w:cs="仿宋"/>
                <w:kern w:val="0"/>
                <w:sz w:val="24"/>
              </w:rPr>
              <w:t>静电高温固化，</w:t>
            </w:r>
            <w:r>
              <w:rPr>
                <w:rFonts w:hint="eastAsia" w:ascii="仿宋" w:hAnsi="仿宋" w:eastAsia="仿宋" w:cs="仿宋"/>
                <w:bCs/>
                <w:kern w:val="0"/>
                <w:sz w:val="24"/>
              </w:rPr>
              <w:t>涂层硬度与附着力</w:t>
            </w:r>
            <w:r>
              <w:rPr>
                <w:rFonts w:hint="eastAsia" w:ascii="仿宋" w:hAnsi="仿宋" w:eastAsia="仿宋" w:cs="仿宋"/>
                <w:kern w:val="0"/>
                <w:sz w:val="24"/>
              </w:rPr>
              <w:t>更强</w:t>
            </w:r>
            <w:r>
              <w:rPr>
                <w:rFonts w:hint="eastAsia" w:ascii="仿宋" w:hAnsi="仿宋" w:eastAsia="仿宋" w:cs="仿宋"/>
                <w:bCs/>
                <w:kern w:val="0"/>
                <w:sz w:val="24"/>
              </w:rPr>
              <w:t>、耐盐浴、抗冲击、</w:t>
            </w:r>
            <w:r>
              <w:rPr>
                <w:rFonts w:hint="eastAsia" w:ascii="仿宋" w:hAnsi="仿宋" w:eastAsia="仿宋" w:cs="仿宋"/>
                <w:kern w:val="0"/>
                <w:sz w:val="24"/>
              </w:rPr>
              <w:t>耐腐蚀，不易脱落，管材外露管口端面应封闭无锐面，</w:t>
            </w:r>
            <w:r>
              <w:rPr>
                <w:rFonts w:hint="eastAsia" w:ascii="仿宋" w:hAnsi="仿宋" w:eastAsia="仿宋" w:cs="仿宋"/>
                <w:kern w:val="0"/>
                <w:sz w:val="24"/>
                <w:lang w:val="zh-CN"/>
              </w:rPr>
              <w:t>塑料件外观应无裂纹、无明显变形缩水、无飞边、无折皱、表面光洁、无毛刺，</w:t>
            </w:r>
            <w:r>
              <w:rPr>
                <w:rFonts w:hint="eastAsia" w:ascii="仿宋" w:hAnsi="仿宋" w:eastAsia="仿宋" w:cs="仿宋"/>
                <w:bCs/>
                <w:sz w:val="24"/>
              </w:rPr>
              <w:t>整体外形美观圆润。</w:t>
            </w:r>
          </w:p>
          <w:p w14:paraId="4051C07B">
            <w:pPr>
              <w:spacing w:line="360" w:lineRule="auto"/>
              <w:rPr>
                <w:rFonts w:hint="eastAsia" w:ascii="仿宋" w:hAnsi="仿宋" w:eastAsia="仿宋" w:cs="仿宋"/>
                <w:bCs/>
                <w:sz w:val="24"/>
              </w:rPr>
            </w:pPr>
            <w:r>
              <w:rPr>
                <w:rFonts w:hint="eastAsia" w:ascii="仿宋" w:hAnsi="仿宋" w:eastAsia="仿宋" w:cs="仿宋"/>
                <w:bCs/>
                <w:sz w:val="24"/>
              </w:rPr>
              <w:t>9、外包装：便于收货交接，方便清点，采用纸箱包装，同时印有所投产品品牌LOGO标识及生产厂商名称等信息，交货时如不符合要求拒绝入场。</w:t>
            </w:r>
          </w:p>
          <w:p w14:paraId="6B4F5E95">
            <w:pPr>
              <w:spacing w:line="360" w:lineRule="auto"/>
              <w:jc w:val="left"/>
              <w:rPr>
                <w:rFonts w:hint="eastAsia" w:ascii="仿宋" w:hAnsi="仿宋" w:eastAsia="仿宋" w:cs="仿宋"/>
                <w:b/>
                <w:kern w:val="0"/>
                <w:sz w:val="24"/>
              </w:rPr>
            </w:pPr>
            <w:r>
              <w:rPr>
                <w:rFonts w:hint="eastAsia" w:ascii="仿宋" w:hAnsi="仿宋" w:eastAsia="仿宋" w:cs="仿宋"/>
                <w:b/>
                <w:kern w:val="0"/>
                <w:sz w:val="24"/>
              </w:rPr>
              <w:t>三、产品真实性</w:t>
            </w:r>
          </w:p>
          <w:p w14:paraId="35FB7D73">
            <w:pPr>
              <w:spacing w:line="360" w:lineRule="auto"/>
              <w:jc w:val="left"/>
              <w:rPr>
                <w:rFonts w:hint="eastAsia" w:ascii="仿宋" w:hAnsi="仿宋" w:eastAsia="仿宋" w:cs="仿宋"/>
                <w:bCs/>
                <w:sz w:val="24"/>
              </w:rPr>
            </w:pPr>
            <w:r>
              <w:rPr>
                <w:rFonts w:hint="eastAsia" w:ascii="仿宋" w:hAnsi="仿宋" w:eastAsia="仿宋" w:cs="仿宋"/>
                <w:b/>
                <w:sz w:val="24"/>
              </w:rPr>
              <w:t>1、投标文件中提供本项产品课椅装好后的实物测量照片，为便于评审，须使用标准的测量</w:t>
            </w:r>
            <w:r>
              <w:rPr>
                <w:rFonts w:hint="eastAsia" w:ascii="仿宋" w:hAnsi="仿宋" w:eastAsia="仿宋" w:cs="仿宋"/>
                <w:b/>
                <w:sz w:val="24"/>
                <w:lang w:bidi="ar"/>
              </w:rPr>
              <w:t>器具并</w:t>
            </w:r>
            <w:r>
              <w:rPr>
                <w:rFonts w:hint="eastAsia" w:ascii="仿宋" w:hAnsi="仿宋" w:eastAsia="仿宋" w:cs="仿宋"/>
                <w:b/>
                <w:sz w:val="24"/>
              </w:rPr>
              <w:t>清楚的显示实测尺寸，实物测量照片中能体现测量后须满足：①座面410mm（±10mm）×420mm（±10mm），②座高440mm（±10mm），</w:t>
            </w:r>
            <w:r>
              <w:rPr>
                <w:rFonts w:hint="eastAsia" w:ascii="仿宋" w:hAnsi="仿宋" w:eastAsia="仿宋" w:cs="仿宋"/>
                <w:b/>
                <w:kern w:val="0"/>
                <w:sz w:val="24"/>
              </w:rPr>
              <w:t>③座靠板为注塑连体一次成型，④座靠板背面拐弯连接处有不少于10条的加强筋</w:t>
            </w:r>
            <w:r>
              <w:rPr>
                <w:rFonts w:hint="eastAsia" w:ascii="仿宋" w:hAnsi="仿宋" w:eastAsia="仿宋" w:cs="仿宋"/>
                <w:b/>
                <w:sz w:val="24"/>
              </w:rPr>
              <w:t>，</w:t>
            </w:r>
            <w:r>
              <w:rPr>
                <w:rFonts w:hint="eastAsia" w:ascii="仿宋" w:hAnsi="仿宋" w:eastAsia="仿宋" w:cs="仿宋"/>
                <w:b/>
                <w:kern w:val="0"/>
                <w:sz w:val="24"/>
              </w:rPr>
              <w:t>⑤需体现出椅子底部有4个卡扣，椅子底部无任何螺丝。</w:t>
            </w:r>
          </w:p>
          <w:p w14:paraId="05B8391B">
            <w:pPr>
              <w:widowControl/>
              <w:spacing w:line="360" w:lineRule="auto"/>
              <w:jc w:val="left"/>
              <w:rPr>
                <w:rFonts w:hint="eastAsia" w:ascii="仿宋" w:hAnsi="仿宋" w:eastAsia="仿宋" w:cs="仿宋"/>
                <w:b/>
                <w:kern w:val="0"/>
                <w:sz w:val="24"/>
              </w:rPr>
            </w:pPr>
            <w:r>
              <w:rPr>
                <w:rFonts w:hint="eastAsia" w:ascii="仿宋" w:hAnsi="仿宋" w:eastAsia="仿宋" w:cs="仿宋"/>
                <w:b/>
                <w:kern w:val="0"/>
                <w:sz w:val="24"/>
              </w:rPr>
              <w:t>四、产品环保理化力学性能</w:t>
            </w:r>
          </w:p>
          <w:p w14:paraId="7D46F04A">
            <w:pPr>
              <w:spacing w:line="360" w:lineRule="auto"/>
              <w:jc w:val="left"/>
              <w:rPr>
                <w:rFonts w:hint="eastAsia" w:ascii="仿宋" w:hAnsi="仿宋" w:eastAsia="仿宋" w:cs="仿宋"/>
                <w:sz w:val="24"/>
              </w:rPr>
            </w:pPr>
            <w:r>
              <w:rPr>
                <w:rFonts w:hint="eastAsia" w:ascii="仿宋" w:hAnsi="仿宋" w:eastAsia="仿宋" w:cs="仿宋"/>
                <w:b w:val="0"/>
                <w:bCs w:val="0"/>
                <w:sz w:val="24"/>
              </w:rPr>
              <w:t>1</w:t>
            </w:r>
            <w:r>
              <w:rPr>
                <w:rFonts w:hint="eastAsia" w:ascii="仿宋" w:hAnsi="仿宋" w:eastAsia="仿宋" w:cs="仿宋"/>
                <w:b w:val="0"/>
                <w:bCs w:val="0"/>
                <w:sz w:val="24"/>
                <w:lang w:val="zh-CN"/>
              </w:rPr>
              <w:t>、课桌椅塑料件</w:t>
            </w:r>
            <w:r>
              <w:rPr>
                <w:rFonts w:hint="eastAsia" w:ascii="仿宋" w:hAnsi="仿宋" w:eastAsia="仿宋" w:cs="仿宋"/>
                <w:b w:val="0"/>
                <w:bCs w:val="0"/>
                <w:sz w:val="24"/>
              </w:rPr>
              <w:t>:</w:t>
            </w:r>
            <w:r>
              <w:rPr>
                <w:rFonts w:hint="eastAsia" w:ascii="仿宋" w:hAnsi="仿宋" w:eastAsia="仿宋" w:cs="仿宋"/>
                <w:sz w:val="24"/>
              </w:rPr>
              <w:t xml:space="preserve">经检验,符合GB/T32487-2016 </w:t>
            </w:r>
            <w:r>
              <w:rPr>
                <w:rFonts w:hint="eastAsia" w:ascii="仿宋" w:hAnsi="仿宋" w:eastAsia="仿宋" w:cs="仿宋"/>
                <w:kern w:val="0"/>
                <w:sz w:val="24"/>
                <w:lang w:val="zh-CN"/>
              </w:rPr>
              <w:t>标准中相关要求，</w:t>
            </w:r>
            <w:r>
              <w:rPr>
                <w:rFonts w:hint="eastAsia" w:ascii="仿宋" w:hAnsi="仿宋" w:eastAsia="仿宋" w:cs="仿宋"/>
                <w:sz w:val="24"/>
              </w:rPr>
              <w:t>检验项目</w:t>
            </w:r>
            <w:r>
              <w:rPr>
                <w:rFonts w:hint="eastAsia" w:ascii="仿宋" w:hAnsi="仿宋" w:eastAsia="仿宋" w:cs="仿宋"/>
                <w:kern w:val="0"/>
                <w:sz w:val="24"/>
                <w:lang w:val="zh-CN"/>
              </w:rPr>
              <w:t>内容：</w:t>
            </w:r>
            <w:r>
              <w:rPr>
                <w:rFonts w:hint="eastAsia" w:ascii="仿宋" w:hAnsi="仿宋" w:eastAsia="仿宋" w:cs="仿宋"/>
                <w:sz w:val="24"/>
              </w:rPr>
              <w:t>检验项目为耐老化性不少于400h，冲击强度，塑料材料理化性能，耐老化性室内用:≥400h，外观颜色变化评级≥3级，冲击强度J/m≥10，检验结果合格或符合，</w:t>
            </w:r>
            <w:r>
              <w:rPr>
                <w:rFonts w:hint="eastAsia" w:ascii="仿宋" w:hAnsi="仿宋" w:eastAsia="仿宋" w:cs="仿宋"/>
                <w:b/>
                <w:bCs/>
                <w:color w:val="auto"/>
                <w:sz w:val="24"/>
              </w:rPr>
              <w:t>（投标文件中提供所投产品的</w:t>
            </w:r>
            <w:r>
              <w:rPr>
                <w:rFonts w:hint="eastAsia" w:ascii="仿宋" w:hAnsi="仿宋" w:eastAsia="仿宋" w:cs="仿宋"/>
                <w:b/>
                <w:bCs/>
                <w:color w:val="auto"/>
                <w:sz w:val="24"/>
                <w:lang w:val="zh-CN"/>
              </w:rPr>
              <w:t>课桌椅塑料件</w:t>
            </w:r>
            <w:r>
              <w:rPr>
                <w:rFonts w:hint="eastAsia" w:ascii="仿宋" w:hAnsi="仿宋" w:eastAsia="仿宋" w:cs="仿宋"/>
                <w:b/>
                <w:bCs/>
                <w:color w:val="auto"/>
                <w:sz w:val="24"/>
              </w:rPr>
              <w:t>检测报告扫描件，检测报告是由第三方有权检测机构出具的且带有CMA标志,检测依据GB/T32487-2016</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检验项目内容满足以上要求）。</w:t>
            </w:r>
          </w:p>
          <w:p w14:paraId="241228A9">
            <w:pPr>
              <w:spacing w:line="360" w:lineRule="auto"/>
              <w:jc w:val="left"/>
              <w:rPr>
                <w:rFonts w:hint="eastAsia" w:ascii="仿宋" w:hAnsi="仿宋" w:eastAsia="仿宋" w:cs="仿宋"/>
                <w:b/>
                <w:bCs/>
                <w:sz w:val="24"/>
              </w:rPr>
            </w:pPr>
            <w:r>
              <w:rPr>
                <w:rFonts w:hint="eastAsia" w:ascii="仿宋" w:hAnsi="仿宋" w:eastAsia="仿宋" w:cs="仿宋"/>
                <w:b w:val="0"/>
                <w:bCs w:val="0"/>
                <w:sz w:val="24"/>
              </w:rPr>
              <w:t>2、桌面板:</w:t>
            </w:r>
            <w:r>
              <w:rPr>
                <w:rFonts w:hint="eastAsia" w:ascii="仿宋" w:hAnsi="仿宋" w:eastAsia="仿宋" w:cs="仿宋"/>
                <w:sz w:val="24"/>
              </w:rPr>
              <w:t xml:space="preserve">经检验,符合GB/T 15102-2017《浸渍胶膜纸饰面纤维板和刨花板》、GB/T 39600-2021《人造板及其制品甲醛释放量分级》 </w:t>
            </w:r>
            <w:r>
              <w:rPr>
                <w:rFonts w:hint="eastAsia" w:ascii="仿宋" w:hAnsi="仿宋" w:eastAsia="仿宋" w:cs="仿宋"/>
                <w:kern w:val="0"/>
                <w:sz w:val="24"/>
                <w:lang w:val="zh-CN"/>
              </w:rPr>
              <w:t>标准中相关要求，</w:t>
            </w:r>
            <w:r>
              <w:rPr>
                <w:rFonts w:hint="eastAsia" w:ascii="仿宋" w:hAnsi="仿宋" w:eastAsia="仿宋" w:cs="仿宋"/>
                <w:sz w:val="24"/>
              </w:rPr>
              <w:t>检测项目</w:t>
            </w:r>
            <w:r>
              <w:rPr>
                <w:rFonts w:hint="eastAsia" w:ascii="仿宋" w:hAnsi="仿宋" w:eastAsia="仿宋" w:cs="仿宋"/>
                <w:kern w:val="0"/>
                <w:sz w:val="24"/>
                <w:lang w:val="zh-CN"/>
              </w:rPr>
              <w:t>内容：</w:t>
            </w:r>
            <w:r>
              <w:rPr>
                <w:rFonts w:hint="eastAsia" w:ascii="仿宋" w:hAnsi="仿宋" w:eastAsia="仿宋" w:cs="仿宋"/>
                <w:sz w:val="24"/>
              </w:rPr>
              <w:t>干花、湿花,污斑,表面划痕,表面压痕,透底,表面孔隙,光泽不均,鼓泡,厚度偏差,边缘直度, 平整度，甲醛释放量E0级≤0.050mg/m³，</w:t>
            </w:r>
            <w:r>
              <w:rPr>
                <w:rFonts w:hint="eastAsia" w:ascii="仿宋" w:hAnsi="仿宋" w:eastAsia="仿宋" w:cs="仿宋"/>
                <w:kern w:val="0"/>
                <w:sz w:val="24"/>
              </w:rPr>
              <w:t>静曲强度MPa</w:t>
            </w:r>
            <w:r>
              <w:rPr>
                <w:rFonts w:hint="eastAsia" w:ascii="仿宋" w:hAnsi="仿宋" w:eastAsia="仿宋" w:cs="仿宋"/>
                <w:sz w:val="24"/>
              </w:rPr>
              <w:t>≥11.0,</w:t>
            </w:r>
            <w:r>
              <w:rPr>
                <w:rFonts w:hint="eastAsia" w:ascii="仿宋" w:hAnsi="仿宋" w:eastAsia="仿宋" w:cs="仿宋"/>
                <w:kern w:val="0"/>
                <w:sz w:val="24"/>
              </w:rPr>
              <w:t>弹性模量MPa</w:t>
            </w:r>
            <w:r>
              <w:rPr>
                <w:rFonts w:hint="eastAsia" w:ascii="仿宋" w:hAnsi="仿宋" w:eastAsia="仿宋" w:cs="仿宋"/>
                <w:sz w:val="24"/>
              </w:rPr>
              <w:t>≥1600,</w:t>
            </w:r>
            <w:r>
              <w:rPr>
                <w:rFonts w:hint="eastAsia" w:ascii="仿宋" w:hAnsi="仿宋" w:eastAsia="仿宋" w:cs="仿宋"/>
                <w:kern w:val="0"/>
                <w:sz w:val="24"/>
              </w:rPr>
              <w:t>内结合强度MPa</w:t>
            </w:r>
            <w:r>
              <w:rPr>
                <w:rFonts w:hint="eastAsia" w:ascii="仿宋" w:hAnsi="仿宋" w:eastAsia="仿宋" w:cs="仿宋"/>
                <w:sz w:val="24"/>
              </w:rPr>
              <w:t>≥0.35, 表面胶合强度MPa≥0.60, 2h吸水厚度膨胀率%≤8.0,含水率,密度,握螺钉力板面(N)≥900,表面耐冷热循环, 表面耐划痕,磨耗值≤80mg/100r,表面耐香烟灼烧达到4级以上,表面耐干热达到4级以上,表面耐污染腐蚀素色达到4级以上，表面耐龟裂达到4级以上,表面耐水蒸气达到4级以上, 耐光色牢度,检验结果合格或符合，</w:t>
            </w:r>
            <w:r>
              <w:rPr>
                <w:rFonts w:hint="eastAsia" w:ascii="仿宋" w:hAnsi="仿宋" w:eastAsia="仿宋" w:cs="仿宋"/>
                <w:b/>
                <w:bCs/>
                <w:color w:val="auto"/>
                <w:sz w:val="24"/>
              </w:rPr>
              <w:t>（投标文件中提供所投产品的桌面板检验报告扫描件，检验报告是由第三方有权检测机构出具的且带有CMA标志,检测依据GB/T 15102-2017《浸渍胶膜纸饰面纤维板和刨花板》、GB/T 39600-2021《人造板及其制品甲醛释放量分级》</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检测项目内容满足以上要求）。</w:t>
            </w:r>
          </w:p>
        </w:tc>
        <w:tc>
          <w:tcPr>
            <w:tcW w:w="738" w:type="dxa"/>
            <w:noWrap w:val="0"/>
            <w:vAlign w:val="center"/>
          </w:tcPr>
          <w:p w14:paraId="30E171A1">
            <w:pPr>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163</w:t>
            </w:r>
          </w:p>
        </w:tc>
        <w:tc>
          <w:tcPr>
            <w:tcW w:w="825" w:type="dxa"/>
            <w:noWrap w:val="0"/>
            <w:vAlign w:val="center"/>
          </w:tcPr>
          <w:p w14:paraId="06F35232">
            <w:pPr>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套</w:t>
            </w:r>
          </w:p>
        </w:tc>
        <w:tc>
          <w:tcPr>
            <w:tcW w:w="810" w:type="dxa"/>
            <w:noWrap w:val="0"/>
            <w:vAlign w:val="center"/>
          </w:tcPr>
          <w:p w14:paraId="752402D5">
            <w:pPr>
              <w:jc w:val="center"/>
              <w:rPr>
                <w:rFonts w:ascii="仿宋" w:hAnsi="仿宋" w:eastAsia="仿宋" w:cs="仿宋"/>
                <w:color w:val="000000"/>
                <w:kern w:val="0"/>
                <w:sz w:val="24"/>
                <w:lang w:bidi="ar"/>
              </w:rPr>
            </w:pPr>
          </w:p>
        </w:tc>
        <w:tc>
          <w:tcPr>
            <w:tcW w:w="854" w:type="dxa"/>
            <w:noWrap w:val="0"/>
            <w:vAlign w:val="center"/>
          </w:tcPr>
          <w:p w14:paraId="6F94FD1C">
            <w:pPr>
              <w:jc w:val="center"/>
              <w:rPr>
                <w:rFonts w:hint="eastAsia" w:ascii="仿宋" w:hAnsi="仿宋" w:eastAsia="仿宋" w:cs="仿宋"/>
                <w:color w:val="000000"/>
                <w:kern w:val="0"/>
                <w:sz w:val="24"/>
                <w:lang w:bidi="ar"/>
              </w:rPr>
            </w:pPr>
          </w:p>
        </w:tc>
      </w:tr>
    </w:tbl>
    <w:p w14:paraId="66B07C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olor w:val="auto"/>
          <w:kern w:val="2"/>
          <w:sz w:val="32"/>
          <w:szCs w:val="32"/>
          <w:highlight w:val="none"/>
          <w:lang w:val="en-US" w:eastAsia="zh-CN"/>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A664BD5">
      <w:pPr>
        <w:rPr>
          <w:rFonts w:hint="eastAsia"/>
          <w:lang w:val="en-US" w:eastAsia="zh-CN"/>
        </w:rPr>
      </w:pPr>
    </w:p>
    <w:p w14:paraId="28D4ED91">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第四章 评审方法与标准</w:t>
      </w:r>
      <w:bookmarkEnd w:id="56"/>
    </w:p>
    <w:p w14:paraId="5A12204F">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spacing w:line="360" w:lineRule="auto"/>
        <w:ind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本项目将按照竞争性谈判文件第二章 竞争性谈判须知的相关要求及本章的规定评审。</w:t>
      </w:r>
    </w:p>
    <w:p w14:paraId="3224582E">
      <w:pPr>
        <w:numPr>
          <w:ilvl w:val="0"/>
          <w:numId w:val="0"/>
        </w:numPr>
        <w:spacing w:line="360" w:lineRule="auto"/>
        <w:rPr>
          <w:rFonts w:hint="eastAsia" w:ascii="宋体" w:hAnsi="宋体"/>
          <w:b/>
          <w:color w:val="auto"/>
          <w:sz w:val="24"/>
          <w:szCs w:val="24"/>
          <w:highlight w:val="none"/>
          <w:lang w:val="en-US" w:eastAsia="zh-CN"/>
        </w:rPr>
      </w:pPr>
      <w:r>
        <w:rPr>
          <w:rFonts w:hint="eastAsia" w:ascii="宋体" w:hAnsi="宋体" w:eastAsia="宋体" w:cs="Times New Roman"/>
          <w:b/>
          <w:color w:val="auto"/>
          <w:sz w:val="24"/>
          <w:szCs w:val="24"/>
          <w:lang w:val="en-US" w:eastAsia="zh-CN" w:bidi="ar-SA"/>
        </w:rPr>
        <w:t>二、</w:t>
      </w:r>
      <w:r>
        <w:rPr>
          <w:rFonts w:hint="eastAsia" w:ascii="宋体" w:hAnsi="宋体"/>
          <w:b/>
          <w:color w:val="auto"/>
          <w:sz w:val="24"/>
          <w:szCs w:val="24"/>
          <w:highlight w:val="none"/>
          <w:lang w:val="en-US" w:eastAsia="zh-CN"/>
        </w:rPr>
        <w:t>评审方法：</w:t>
      </w:r>
    </w:p>
    <w:p w14:paraId="196C9DA4">
      <w:pPr>
        <w:spacing w:line="360" w:lineRule="auto"/>
        <w:ind w:firstLine="240" w:firstLineChars="1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cs="Times New Roman"/>
          <w:color w:val="auto"/>
          <w:sz w:val="24"/>
          <w:highlight w:val="none"/>
          <w:lang w:val="en-US" w:eastAsia="zh-CN"/>
        </w:rPr>
        <w:t>.</w:t>
      </w:r>
      <w:r>
        <w:rPr>
          <w:rFonts w:hint="eastAsia" w:ascii="宋体" w:hAnsi="宋体" w:eastAsia="宋体" w:cs="Times New Roman"/>
          <w:color w:val="auto"/>
          <w:sz w:val="24"/>
          <w:highlight w:val="none"/>
          <w:lang w:val="en-US" w:eastAsia="zh-CN"/>
        </w:rPr>
        <w:t>初审。谈判</w:t>
      </w:r>
      <w:r>
        <w:rPr>
          <w:rFonts w:hint="default" w:ascii="宋体" w:hAnsi="宋体" w:eastAsia="宋体" w:cs="Times New Roman"/>
          <w:color w:val="auto"/>
          <w:sz w:val="24"/>
          <w:highlight w:val="none"/>
          <w:lang w:val="en-US" w:eastAsia="zh-CN"/>
        </w:rPr>
        <w:t>小组对供应商的响应文件进行初审，以确定其是否满足竞争性谈判文件的实质性要求。初审表如下</w:t>
      </w:r>
      <w:r>
        <w:rPr>
          <w:rFonts w:hint="eastAsia" w:ascii="宋体" w:hAnsi="宋体" w:eastAsia="宋体" w:cs="Times New Roman"/>
          <w:color w:val="auto"/>
          <w:sz w:val="24"/>
          <w:highlight w:val="none"/>
          <w:lang w:val="en-US" w:eastAsia="zh-CN"/>
        </w:rPr>
        <w:t>：</w:t>
      </w:r>
    </w:p>
    <w:tbl>
      <w:tblPr>
        <w:tblStyle w:val="41"/>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88"/>
        <w:gridCol w:w="4046"/>
        <w:gridCol w:w="321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30" w:type="dxa"/>
            <w:gridSpan w:val="4"/>
            <w:tcBorders>
              <w:bottom w:val="single" w:color="auto" w:sz="4" w:space="0"/>
            </w:tcBorders>
            <w:vAlign w:val="center"/>
          </w:tcPr>
          <w:p w14:paraId="206FEE8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373AB34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8" w:type="dxa"/>
            <w:tcBorders>
              <w:bottom w:val="single" w:color="auto" w:sz="4" w:space="0"/>
            </w:tcBorders>
            <w:vAlign w:val="center"/>
          </w:tcPr>
          <w:p w14:paraId="66F8D809">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w:t>
            </w:r>
          </w:p>
        </w:tc>
        <w:tc>
          <w:tcPr>
            <w:tcW w:w="4046" w:type="dxa"/>
            <w:tcBorders>
              <w:bottom w:val="single" w:color="auto" w:sz="4" w:space="0"/>
            </w:tcBorders>
            <w:vAlign w:val="center"/>
          </w:tcPr>
          <w:p w14:paraId="38C7D392">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3210" w:type="dxa"/>
            <w:tcBorders>
              <w:bottom w:val="single" w:color="auto" w:sz="4" w:space="0"/>
            </w:tcBorders>
            <w:vAlign w:val="center"/>
          </w:tcPr>
          <w:p w14:paraId="39A39E98">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14:paraId="140C12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8" w:type="dxa"/>
            <w:vAlign w:val="center"/>
          </w:tcPr>
          <w:p w14:paraId="7D3272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4046" w:type="dxa"/>
            <w:tcBorders>
              <w:bottom w:val="single" w:color="auto" w:sz="4" w:space="0"/>
            </w:tcBorders>
            <w:vAlign w:val="center"/>
          </w:tcPr>
          <w:p w14:paraId="2BDE321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（1）供应商为企业的，应提供有效的营业执照；</w:t>
            </w:r>
          </w:p>
          <w:p w14:paraId="5BF64BC7">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（2）供应商为事业单位的，应提供有效的事业单位法人证书；</w:t>
            </w:r>
          </w:p>
          <w:p w14:paraId="42C745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（3）供应商是非企业机构的，应提供有效的执业许可证或登记证书等证明文件；</w:t>
            </w:r>
          </w:p>
          <w:p w14:paraId="18019D58">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（4）供应商是个体工商户的，应提供有效的个体工商户营业执照；</w:t>
            </w:r>
          </w:p>
          <w:p w14:paraId="4CBE0B6E">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（5）供应商是自然人的，应提供有效的自然人身份证明；</w:t>
            </w:r>
          </w:p>
        </w:tc>
        <w:tc>
          <w:tcPr>
            <w:tcW w:w="3210" w:type="dxa"/>
            <w:vAlign w:val="center"/>
          </w:tcPr>
          <w:p w14:paraId="0829E8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1B713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tcBorders>
              <w:bottom w:val="single" w:color="auto" w:sz="4" w:space="0"/>
            </w:tcBorders>
            <w:vAlign w:val="center"/>
          </w:tcPr>
          <w:p w14:paraId="23E7A57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88" w:type="dxa"/>
            <w:tcBorders>
              <w:bottom w:val="single" w:color="auto" w:sz="4" w:space="0"/>
            </w:tcBorders>
            <w:vAlign w:val="center"/>
          </w:tcPr>
          <w:p w14:paraId="428644D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p w14:paraId="1C3C7BE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记录</w:t>
            </w:r>
          </w:p>
        </w:tc>
        <w:tc>
          <w:tcPr>
            <w:tcW w:w="4046" w:type="dxa"/>
            <w:tcBorders>
              <w:bottom w:val="single" w:color="auto" w:sz="4" w:space="0"/>
            </w:tcBorders>
            <w:vAlign w:val="center"/>
          </w:tcPr>
          <w:p w14:paraId="78CFA8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供应商不得存在供应商须知正文</w:t>
            </w:r>
          </w:p>
          <w:p w14:paraId="0A882A6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第14.3.1条中的不良信用记录情形</w:t>
            </w:r>
          </w:p>
        </w:tc>
        <w:tc>
          <w:tcPr>
            <w:tcW w:w="3210" w:type="dxa"/>
            <w:tcBorders>
              <w:bottom w:val="single" w:color="auto" w:sz="4" w:space="0"/>
            </w:tcBorders>
            <w:vAlign w:val="center"/>
          </w:tcPr>
          <w:p w14:paraId="7EC043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详见竞争性谈判须知正文</w:t>
            </w:r>
          </w:p>
          <w:p w14:paraId="0A7F91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第14.3.1条要求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bottom w:val="single" w:color="auto" w:sz="4" w:space="0"/>
            </w:tcBorders>
            <w:vAlign w:val="center"/>
          </w:tcPr>
          <w:p w14:paraId="0A6898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88" w:type="dxa"/>
            <w:tcBorders>
              <w:bottom w:val="single" w:color="auto" w:sz="4" w:space="0"/>
            </w:tcBorders>
            <w:vAlign w:val="center"/>
          </w:tcPr>
          <w:p w14:paraId="630A877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w:t>
            </w:r>
          </w:p>
          <w:p w14:paraId="6D8A1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声明书</w:t>
            </w:r>
          </w:p>
        </w:tc>
        <w:tc>
          <w:tcPr>
            <w:tcW w:w="4046" w:type="dxa"/>
            <w:tcBorders>
              <w:bottom w:val="single" w:color="auto" w:sz="4" w:space="0"/>
            </w:tcBorders>
            <w:vAlign w:val="center"/>
          </w:tcPr>
          <w:p w14:paraId="09CC015F">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提供符合谈判文件要求的</w:t>
            </w:r>
            <w:r>
              <w:rPr>
                <w:rFonts w:hint="eastAsia" w:ascii="宋体" w:hAnsi="宋体" w:cs="宋体"/>
                <w:color w:val="auto"/>
                <w:sz w:val="24"/>
                <w:szCs w:val="24"/>
                <w:highlight w:val="none"/>
                <w:lang w:val="en-US" w:eastAsia="zh-CN"/>
              </w:rPr>
              <w:t xml:space="preserve"> </w:t>
            </w:r>
          </w:p>
          <w:p w14:paraId="28A6140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《供应商资格声明书》</w:t>
            </w:r>
          </w:p>
        </w:tc>
        <w:tc>
          <w:tcPr>
            <w:tcW w:w="3210" w:type="dxa"/>
            <w:tcBorders>
              <w:bottom w:val="single" w:color="auto" w:sz="4" w:space="0"/>
            </w:tcBorders>
            <w:vAlign w:val="center"/>
          </w:tcPr>
          <w:p w14:paraId="7919367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E6D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0EA1C9E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8" w:type="dxa"/>
            <w:vAlign w:val="center"/>
          </w:tcPr>
          <w:p w14:paraId="52DED86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其它落实政府采购政策的</w:t>
            </w:r>
          </w:p>
          <w:p w14:paraId="607F8E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资格要求</w:t>
            </w:r>
          </w:p>
        </w:tc>
        <w:tc>
          <w:tcPr>
            <w:tcW w:w="4046" w:type="dxa"/>
            <w:vAlign w:val="center"/>
          </w:tcPr>
          <w:p w14:paraId="6BE1AE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4161B97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29C479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7EC49C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88" w:type="dxa"/>
            <w:vAlign w:val="center"/>
          </w:tcPr>
          <w:p w14:paraId="4B8AA50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本项目的特定资格要求</w:t>
            </w:r>
          </w:p>
        </w:tc>
        <w:tc>
          <w:tcPr>
            <w:tcW w:w="4046" w:type="dxa"/>
            <w:vAlign w:val="center"/>
          </w:tcPr>
          <w:p w14:paraId="1BF8DD9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如有，见第一章《谈判邀请》</w:t>
            </w:r>
          </w:p>
        </w:tc>
        <w:tc>
          <w:tcPr>
            <w:tcW w:w="3210" w:type="dxa"/>
            <w:vAlign w:val="center"/>
          </w:tcPr>
          <w:p w14:paraId="10406D4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提供材料扫描件或复印件或影印件，应完整的体现出</w:t>
            </w:r>
          </w:p>
          <w:p w14:paraId="3BBCD02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材料全部内容</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0987D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88" w:type="dxa"/>
            <w:vAlign w:val="center"/>
          </w:tcPr>
          <w:p w14:paraId="6C07E4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谈判响应函</w:t>
            </w:r>
          </w:p>
        </w:tc>
        <w:tc>
          <w:tcPr>
            <w:tcW w:w="4046" w:type="dxa"/>
            <w:vAlign w:val="center"/>
          </w:tcPr>
          <w:p w14:paraId="0641C9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09EB3B9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86" w:type="dxa"/>
            <w:vAlign w:val="center"/>
          </w:tcPr>
          <w:p w14:paraId="461CA57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8" w:type="dxa"/>
            <w:vAlign w:val="center"/>
          </w:tcPr>
          <w:p w14:paraId="5D20800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授权书</w:t>
            </w:r>
          </w:p>
        </w:tc>
        <w:tc>
          <w:tcPr>
            <w:tcW w:w="4046" w:type="dxa"/>
            <w:vAlign w:val="center"/>
          </w:tcPr>
          <w:p w14:paraId="473B841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格式、填写要求符合谈判文件规定并加盖</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公章</w:t>
            </w:r>
          </w:p>
        </w:tc>
        <w:tc>
          <w:tcPr>
            <w:tcW w:w="3210" w:type="dxa"/>
            <w:vAlign w:val="center"/>
          </w:tcPr>
          <w:p w14:paraId="5644922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法定代表人参加谈判的无需此件，提供身份证明即可。详见第六章响应文件格式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86" w:type="dxa"/>
            <w:vAlign w:val="center"/>
          </w:tcPr>
          <w:p w14:paraId="14CA604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8" w:type="dxa"/>
            <w:vAlign w:val="center"/>
          </w:tcPr>
          <w:p w14:paraId="52BA8DC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谈判报价</w:t>
            </w:r>
          </w:p>
        </w:tc>
        <w:tc>
          <w:tcPr>
            <w:tcW w:w="4046" w:type="dxa"/>
            <w:vAlign w:val="center"/>
          </w:tcPr>
          <w:p w14:paraId="458ABF1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符合谈判文件供应商须知正文</w:t>
            </w:r>
          </w:p>
          <w:p w14:paraId="17CF66F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第9条要求</w:t>
            </w:r>
          </w:p>
        </w:tc>
        <w:tc>
          <w:tcPr>
            <w:tcW w:w="3210" w:type="dxa"/>
            <w:vAlign w:val="center"/>
          </w:tcPr>
          <w:p w14:paraId="7BF7BF3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86" w:type="dxa"/>
            <w:vAlign w:val="center"/>
          </w:tcPr>
          <w:p w14:paraId="0232AA4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88" w:type="dxa"/>
            <w:vAlign w:val="center"/>
          </w:tcPr>
          <w:p w14:paraId="4B5ED20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商务响应情况</w:t>
            </w:r>
          </w:p>
        </w:tc>
        <w:tc>
          <w:tcPr>
            <w:tcW w:w="4046" w:type="dxa"/>
            <w:vAlign w:val="center"/>
          </w:tcPr>
          <w:p w14:paraId="322013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符合谈判文件采购需求中对付款方式、供货期限、供货地点、免费质保期等实质性要求</w:t>
            </w:r>
          </w:p>
        </w:tc>
        <w:tc>
          <w:tcPr>
            <w:tcW w:w="3210" w:type="dxa"/>
            <w:vAlign w:val="center"/>
          </w:tcPr>
          <w:p w14:paraId="448D3FF4">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46F62DAE">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688" w:type="dxa"/>
            <w:vAlign w:val="center"/>
          </w:tcPr>
          <w:p w14:paraId="0B7EA9B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响应情况</w:t>
            </w:r>
          </w:p>
        </w:tc>
        <w:tc>
          <w:tcPr>
            <w:tcW w:w="4046" w:type="dxa"/>
            <w:vAlign w:val="center"/>
          </w:tcPr>
          <w:p w14:paraId="3F62A6AA">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符合谈判文件采购需求中货物</w:t>
            </w:r>
          </w:p>
          <w:p w14:paraId="7C278BFD">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技术参数</w:t>
            </w:r>
          </w:p>
        </w:tc>
        <w:tc>
          <w:tcPr>
            <w:tcW w:w="3210" w:type="dxa"/>
            <w:vAlign w:val="center"/>
          </w:tcPr>
          <w:p w14:paraId="2086038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详见第六章响应文件格式</w:t>
            </w:r>
          </w:p>
        </w:tc>
      </w:tr>
      <w:tr w14:paraId="09E7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05B530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688" w:type="dxa"/>
            <w:vAlign w:val="center"/>
          </w:tcPr>
          <w:p w14:paraId="74CF66F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4046" w:type="dxa"/>
            <w:vAlign w:val="center"/>
          </w:tcPr>
          <w:p w14:paraId="664473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符合法律、行政法规规定的其他条件或谈判文件列明的其他实质性要求</w:t>
            </w:r>
          </w:p>
        </w:tc>
        <w:tc>
          <w:tcPr>
            <w:tcW w:w="3210" w:type="dxa"/>
            <w:vAlign w:val="center"/>
          </w:tcPr>
          <w:p w14:paraId="5AFB665F">
            <w:pPr>
              <w:spacing w:line="360" w:lineRule="auto"/>
              <w:jc w:val="center"/>
              <w:rPr>
                <w:rFonts w:hint="eastAsia" w:ascii="宋体" w:hAnsi="宋体" w:eastAsia="宋体" w:cs="宋体"/>
                <w:color w:val="auto"/>
                <w:sz w:val="24"/>
                <w:szCs w:val="24"/>
                <w:highlight w:val="none"/>
                <w:lang w:val="en-US" w:eastAsia="zh-CN"/>
              </w:rPr>
            </w:pPr>
          </w:p>
        </w:tc>
      </w:tr>
      <w:tr w14:paraId="463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730" w:type="dxa"/>
            <w:gridSpan w:val="4"/>
            <w:vAlign w:val="center"/>
          </w:tcPr>
          <w:p w14:paraId="32BFDD73">
            <w:pPr>
              <w:widowControl/>
              <w:spacing w:line="500" w:lineRule="exact"/>
              <w:jc w:val="left"/>
              <w:rPr>
                <w:rFonts w:hint="eastAsia"/>
                <w:color w:val="auto"/>
                <w:sz w:val="24"/>
                <w:szCs w:val="22"/>
                <w:highlight w:val="none"/>
              </w:rPr>
            </w:pPr>
            <w:r>
              <w:rPr>
                <w:rFonts w:hint="eastAsia"/>
                <w:color w:val="auto"/>
                <w:sz w:val="24"/>
                <w:szCs w:val="22"/>
                <w:highlight w:val="none"/>
                <w:lang w:val="en-US" w:eastAsia="zh-CN"/>
              </w:rPr>
              <w:t>初审指标通过标准：供应商必须通过初审表中的全部评审指标。</w:t>
            </w:r>
          </w:p>
          <w:p w14:paraId="3A6CA51C">
            <w:pPr>
              <w:widowControl/>
              <w:spacing w:line="500" w:lineRule="exact"/>
              <w:jc w:val="left"/>
              <w:rPr>
                <w:rFonts w:hint="eastAsia"/>
                <w:color w:val="auto"/>
                <w:sz w:val="24"/>
                <w:szCs w:val="22"/>
                <w:highlight w:val="none"/>
                <w:lang w:val="en-US" w:eastAsia="zh-CN"/>
              </w:rPr>
            </w:pPr>
            <w:r>
              <w:rPr>
                <w:rFonts w:hint="eastAsia"/>
                <w:color w:val="auto"/>
                <w:sz w:val="24"/>
                <w:szCs w:val="22"/>
                <w:highlight w:val="none"/>
                <w:lang w:val="en-US" w:eastAsia="zh-CN"/>
              </w:rPr>
              <w:t>注：</w:t>
            </w:r>
            <w:r>
              <w:rPr>
                <w:rFonts w:hint="eastAsia" w:asciiTheme="majorEastAsia" w:hAnsiTheme="majorEastAsia" w:eastAsiaTheme="majorEastAsia" w:cstheme="majorEastAsia"/>
                <w:color w:val="auto"/>
                <w:sz w:val="24"/>
                <w:szCs w:val="22"/>
                <w:highlight w:val="none"/>
                <w:lang w:val="en-US" w:eastAsia="zh-CN"/>
              </w:rPr>
              <w:t>1、</w:t>
            </w:r>
            <w:r>
              <w:rPr>
                <w:rFonts w:hint="eastAsia"/>
                <w:color w:val="auto"/>
                <w:sz w:val="24"/>
                <w:szCs w:val="22"/>
                <w:highlight w:val="none"/>
                <w:lang w:val="en-US" w:eastAsia="zh-CN"/>
              </w:rPr>
              <w:t>竞争性谈判文件所有要求提供复印件或影印件或扫描件的，均须加盖响应人公章。</w:t>
            </w:r>
          </w:p>
          <w:p w14:paraId="5C3FE42B">
            <w:pPr>
              <w:widowControl/>
              <w:spacing w:line="500" w:lineRule="exact"/>
              <w:jc w:val="left"/>
              <w:rPr>
                <w:rFonts w:hint="eastAsia" w:ascii="宋体" w:hAnsi="宋体" w:eastAsia="宋体" w:cs="宋体"/>
                <w:color w:val="auto"/>
                <w:sz w:val="24"/>
                <w:szCs w:val="24"/>
                <w:highlight w:val="none"/>
                <w:lang w:val="en-US" w:eastAsia="zh-CN"/>
              </w:rPr>
            </w:pPr>
            <w:r>
              <w:rPr>
                <w:rFonts w:hint="eastAsia" w:asciiTheme="majorEastAsia" w:hAnsiTheme="majorEastAsia" w:eastAsiaTheme="majorEastAsia" w:cstheme="majorEastAsia"/>
                <w:color w:val="auto"/>
                <w:sz w:val="24"/>
                <w:szCs w:val="22"/>
                <w:highlight w:val="none"/>
                <w:lang w:val="en-US" w:eastAsia="zh-CN"/>
              </w:rPr>
              <w:t>2、</w:t>
            </w:r>
            <w:r>
              <w:rPr>
                <w:rFonts w:hint="eastAsia"/>
                <w:color w:val="auto"/>
                <w:sz w:val="24"/>
                <w:szCs w:val="22"/>
                <w:highlight w:val="none"/>
                <w:lang w:val="en-US" w:eastAsia="zh-CN"/>
              </w:rPr>
              <w:t>响应人应按照谈判文件要求提供证明材料。若响应人提供了谈判文件未要求的证明材料，谈判小组将不予评审。</w:t>
            </w:r>
          </w:p>
        </w:tc>
      </w:tr>
    </w:tbl>
    <w:p w14:paraId="1801C756">
      <w:pPr>
        <w:spacing w:line="360" w:lineRule="auto"/>
        <w:ind w:firstLine="240" w:firstLineChars="100"/>
        <w:rPr>
          <w:rFonts w:hint="eastAsia" w:ascii="宋体" w:hAnsi="宋体" w:eastAsia="宋体" w:cs="Times New Roman"/>
          <w:color w:val="auto"/>
          <w:sz w:val="24"/>
          <w:highlight w:val="none"/>
          <w:lang w:val="en-US" w:eastAsia="zh-CN"/>
        </w:rPr>
      </w:pPr>
      <w:bookmarkStart w:id="57" w:name="_Toc27586"/>
      <w:bookmarkStart w:id="58" w:name="_Toc3977"/>
      <w:bookmarkStart w:id="59" w:name="_Toc28300"/>
      <w:bookmarkStart w:id="60" w:name="_Toc431"/>
      <w:bookmarkStart w:id="61" w:name="_Toc7241"/>
      <w:r>
        <w:rPr>
          <w:rFonts w:hint="eastAsia" w:ascii="宋体" w:hAnsi="宋体" w:eastAsia="宋体" w:cs="Times New Roman"/>
          <w:color w:val="auto"/>
          <w:sz w:val="24"/>
          <w:highlight w:val="none"/>
          <w:lang w:val="en-US" w:eastAsia="zh-CN"/>
        </w:rPr>
        <w:t>2.2异常低价响应审查</w:t>
      </w:r>
    </w:p>
    <w:tbl>
      <w:tblPr>
        <w:tblStyle w:val="41"/>
        <w:tblW w:w="56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0"/>
        <w:gridCol w:w="5380"/>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59" w:type="dxa"/>
            <w:gridSpan w:val="4"/>
            <w:tcBorders>
              <w:bottom w:val="single" w:color="auto" w:sz="4" w:space="0"/>
            </w:tcBorders>
            <w:vAlign w:val="center"/>
          </w:tcPr>
          <w:p w14:paraId="0A55AF2A">
            <w:pPr>
              <w:spacing w:line="360" w:lineRule="auto"/>
              <w:jc w:val="center"/>
              <w:rPr>
                <w:rFonts w:ascii="宋体" w:hAnsi="宋体" w:eastAsia="宋体"/>
                <w:sz w:val="24"/>
                <w:highlight w:val="none"/>
              </w:rPr>
            </w:pPr>
            <w:r>
              <w:rPr>
                <w:rFonts w:hint="eastAsia" w:ascii="宋体" w:hAnsi="宋体" w:eastAsia="宋体" w:cs="宋体"/>
                <w:b/>
                <w:bCs/>
                <w:color w:val="auto"/>
                <w:sz w:val="24"/>
                <w:szCs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24C6633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260" w:type="dxa"/>
            <w:tcBorders>
              <w:bottom w:val="single" w:color="auto" w:sz="4" w:space="0"/>
            </w:tcBorders>
            <w:vAlign w:val="center"/>
          </w:tcPr>
          <w:p w14:paraId="242D753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评审指标</w:t>
            </w:r>
          </w:p>
        </w:tc>
        <w:tc>
          <w:tcPr>
            <w:tcW w:w="5380" w:type="dxa"/>
            <w:tcBorders>
              <w:bottom w:val="single" w:color="auto" w:sz="4" w:space="0"/>
            </w:tcBorders>
            <w:vAlign w:val="center"/>
          </w:tcPr>
          <w:p w14:paraId="63EC831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59" w:type="dxa"/>
            <w:tcBorders>
              <w:bottom w:val="single" w:color="auto" w:sz="4" w:space="0"/>
            </w:tcBorders>
            <w:vAlign w:val="center"/>
          </w:tcPr>
          <w:p w14:paraId="5326260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60" w:type="dxa"/>
            <w:tcBorders>
              <w:bottom w:val="single" w:color="auto" w:sz="4" w:space="0"/>
            </w:tcBorders>
            <w:vAlign w:val="center"/>
          </w:tcPr>
          <w:p w14:paraId="4828CE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异常低价响应审查</w:t>
            </w:r>
          </w:p>
        </w:tc>
        <w:tc>
          <w:tcPr>
            <w:tcW w:w="5380" w:type="dxa"/>
            <w:tcBorders>
              <w:bottom w:val="single" w:color="auto" w:sz="4" w:space="0"/>
            </w:tcBorders>
            <w:vAlign w:val="center"/>
          </w:tcPr>
          <w:p w14:paraId="14855D1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（1）报价＜全部通过初审供应商响应报价平均值×50%；</w:t>
            </w:r>
          </w:p>
          <w:p w14:paraId="12D6E1A2">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（2）报价＜通过初审的次低报价供应商响应报价×50%；</w:t>
            </w:r>
          </w:p>
          <w:p w14:paraId="595C90C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（3）报价＜采购项目最高限价（如采购项目未设定最高限价的，以采购项目预算金额作为最高限价）×45%；</w:t>
            </w:r>
          </w:p>
          <w:p w14:paraId="6545F9B4">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14FCFEF9">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提醒：</w:t>
            </w:r>
          </w:p>
          <w:p w14:paraId="0BE4D07D">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（2）上述报价均为供应商最后报价。</w:t>
            </w:r>
          </w:p>
        </w:tc>
        <w:tc>
          <w:tcPr>
            <w:tcW w:w="2260" w:type="dxa"/>
            <w:vAlign w:val="center"/>
          </w:tcPr>
          <w:p w14:paraId="4F4E35CC">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3D504B49">
      <w:pPr>
        <w:spacing w:before="108" w:beforeLines="34" w:beforeAutospacing="0" w:line="360" w:lineRule="auto"/>
        <w:rPr>
          <w:rFonts w:hint="eastAsia" w:ascii="宋体" w:hAnsi="宋体" w:eastAsia="宋体"/>
          <w:sz w:val="24"/>
          <w:highlight w:val="none"/>
          <w:lang w:val="en-US" w:eastAsia="zh-CN"/>
        </w:rPr>
      </w:pPr>
      <w:r>
        <w:rPr>
          <w:rFonts w:hint="eastAsia" w:ascii="宋体" w:hAnsi="宋体" w:eastAsia="宋体" w:cs="Times New Roman"/>
          <w:sz w:val="24"/>
          <w:highlight w:val="none"/>
          <w:lang w:val="en-US" w:eastAsia="zh-CN"/>
        </w:rPr>
        <w:t>注：</w:t>
      </w: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297EF2A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bookmarkEnd w:id="57"/>
      <w:bookmarkEnd w:id="58"/>
      <w:bookmarkEnd w:id="59"/>
      <w:bookmarkEnd w:id="60"/>
      <w:bookmarkEnd w:id="61"/>
    </w:p>
    <w:p w14:paraId="188F675A">
      <w:pPr>
        <w:rPr>
          <w:rFonts w:hint="eastAsia"/>
          <w:lang w:val="en-US" w:eastAsia="zh-CN"/>
        </w:rPr>
      </w:pPr>
    </w:p>
    <w:p w14:paraId="467D7D72">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第五章  政府采购合同主要条款</w:t>
      </w:r>
    </w:p>
    <w:p w14:paraId="1C818252">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62" w:name="_Toc54941341"/>
      <w:bookmarkStart w:id="63" w:name="_Toc1812"/>
      <w:bookmarkStart w:id="64" w:name="_Toc8981"/>
      <w:bookmarkStart w:id="65" w:name="_Toc439316880"/>
    </w:p>
    <w:p w14:paraId="1D8E6547">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16"/>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16"/>
        <w:rPr>
          <w:rFonts w:hint="eastAsia" w:ascii="宋体" w:hAnsi="宋体" w:eastAsia="宋体" w:cs="宋体"/>
          <w:b/>
          <w:bCs/>
          <w:spacing w:val="-20"/>
          <w:kern w:val="44"/>
          <w:sz w:val="24"/>
          <w:szCs w:val="24"/>
          <w:highlight w:val="none"/>
        </w:rPr>
      </w:pPr>
    </w:p>
    <w:p w14:paraId="2B08A30A">
      <w:pPr>
        <w:pStyle w:val="16"/>
        <w:rPr>
          <w:rFonts w:hint="eastAsia" w:ascii="宋体" w:hAnsi="宋体" w:eastAsia="宋体" w:cs="宋体"/>
          <w:b/>
          <w:bCs/>
          <w:spacing w:val="-20"/>
          <w:kern w:val="44"/>
          <w:sz w:val="24"/>
          <w:szCs w:val="24"/>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67058B7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4922425E">
      <w:pPr>
        <w:pageBreakBefore w:val="0"/>
        <w:kinsoku/>
        <w:wordWrap/>
        <w:overflowPunct/>
        <w:topLinePunct w:val="0"/>
        <w:bidi w:val="0"/>
        <w:spacing w:line="360" w:lineRule="auto"/>
        <w:ind w:left="420" w:leftChars="200" w:firstLine="1680" w:firstLineChars="7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59F5713">
      <w:pPr>
        <w:pageBreakBefore w:val="0"/>
        <w:kinsoku/>
        <w:wordWrap/>
        <w:overflowPunct/>
        <w:topLinePunct w:val="0"/>
        <w:bidi w:val="0"/>
        <w:spacing w:line="360" w:lineRule="auto"/>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74FBDF7">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49FE18B3">
      <w:pPr>
        <w:pageBreakBefore w:val="0"/>
        <w:kinsoku/>
        <w:wordWrap/>
        <w:overflowPunct/>
        <w:topLinePunct w:val="0"/>
        <w:bidi w:val="0"/>
        <w:spacing w:line="360" w:lineRule="auto"/>
        <w:ind w:left="420" w:leftChars="200" w:firstLine="1680" w:firstLineChars="7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50DA013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DDDF5B1">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p w14:paraId="32534CF7">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45BDCF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p>
    <w:p w14:paraId="6A0B34CB">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p>
    <w:p w14:paraId="36187AD3">
      <w:pPr>
        <w:pageBreakBefore w:val="0"/>
        <w:kinsoku/>
        <w:wordWrap/>
        <w:overflowPunct/>
        <w:topLinePunct w:val="0"/>
        <w:bidi w:val="0"/>
        <w:spacing w:line="360" w:lineRule="auto"/>
        <w:ind w:left="420" w:leftChars="200" w:firstLine="1680" w:firstLineChars="7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6BE58FAE">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8"/>
          <w:szCs w:val="21"/>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8"/>
          <w:szCs w:val="21"/>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1.本合同标准文本适用于购买现成货物的采购项目，不包括需要供应商定制开发、创新研发的货物采购项目。</w:t>
      </w:r>
    </w:p>
    <w:p w14:paraId="430FA12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2.本合同标准文本为政府采购货物买卖合同编制提供参考，可以结合采购项目具体情况，对文本作必要的调整修订后使用。</w:t>
      </w:r>
    </w:p>
    <w:p w14:paraId="2CE81049">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66"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66"/>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17"/>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highlight w:val="none"/>
        </w:rPr>
        <w:t>项目信息</w:t>
      </w:r>
    </w:p>
    <w:p w14:paraId="5A45C478">
      <w:pPr>
        <w:pStyle w:val="17"/>
        <w:pageBreakBefore w:val="0"/>
        <w:numPr>
          <w:ilvl w:val="0"/>
          <w:numId w:val="0"/>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lang w:val="en-US" w:eastAsia="zh-CN" w:bidi="he-IL"/>
        </w:rPr>
        <w:t>（1）</w:t>
      </w: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17"/>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12C0E3C">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14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sz w:val="24"/>
          <w:szCs w:val="24"/>
          <w:highlight w:val="none"/>
          <w:lang w:val="en-US" w:eastAsia="zh-CN" w:bidi="ar-SA"/>
        </w:rPr>
        <w:t xml:space="preserve"> （3）政府采购组织形式：</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政府集中采购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部门集中采购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分散采购</w:t>
      </w:r>
    </w:p>
    <w:p w14:paraId="19B1310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）政府采购方式：</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公开招标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邀请招标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竞争性谈判</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竞争性磋商</w:t>
      </w:r>
    </w:p>
    <w:p w14:paraId="35E5993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14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14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bidi="ar-SA"/>
        </w:rPr>
        <w:t>（5）中标（成交）采购标的制造商是否为中小企业：</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 xml:space="preserve">是      </w:t>
      </w:r>
      <w:r>
        <w:rPr>
          <w:rFonts w:hint="eastAsia" w:ascii="宋体" w:hAnsi="宋体" w:eastAsia="宋体" w:cs="宋体"/>
          <w:sz w:val="24"/>
          <w:szCs w:val="24"/>
          <w:highlight w:val="none"/>
          <w:lang w:val="en-US" w:eastAsia="zh-CN" w:bidi="ar-SA"/>
        </w:rPr>
        <w:sym w:font="Wingdings" w:char="00A8"/>
      </w:r>
      <w:r>
        <w:rPr>
          <w:rFonts w:hint="eastAsia" w:ascii="宋体" w:hAnsi="宋体" w:eastAsia="宋体" w:cs="宋体"/>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w:t>
      </w:r>
      <w:r>
        <w:rPr>
          <w:rFonts w:hint="eastAsia" w:ascii="宋体" w:hAnsi="宋体" w:cs="宋体"/>
          <w:w w:val="100"/>
          <w:sz w:val="24"/>
          <w:szCs w:val="24"/>
          <w:highlight w:val="none"/>
          <w:lang w:val="en-US" w:eastAsia="zh-CN"/>
        </w:rPr>
        <w:t xml:space="preserve">   </w:t>
      </w: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14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cs="宋体"/>
          <w:b w:val="0"/>
          <w:bCs w:val="0"/>
          <w:sz w:val="24"/>
          <w:szCs w:val="24"/>
          <w:highlight w:val="none"/>
          <w:u w:val="none"/>
          <w:lang w:val="en-US" w:eastAsia="zh-CN"/>
        </w:rPr>
        <w:t>8</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cs="宋体"/>
          <w:b w:val="0"/>
          <w:bCs w:val="0"/>
          <w:sz w:val="24"/>
          <w:szCs w:val="24"/>
          <w:highlight w:val="none"/>
          <w:u w:val="none"/>
          <w:lang w:val="en-US" w:eastAsia="zh-CN"/>
        </w:rPr>
        <w:t>9</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14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14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2.合同金额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14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3.合同履行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BAA1DA2">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4.合同验收</w:t>
      </w:r>
    </w:p>
    <w:p w14:paraId="3C0B3707">
      <w:pPr>
        <w:pageBreakBefore w:val="0"/>
        <w:numPr>
          <w:ilvl w:val="0"/>
          <w:numId w:val="1"/>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14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25654D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）国家法律、行政法规和规章制度规定或合同约定的作为合同组成部分的其他文件</w:t>
      </w:r>
    </w:p>
    <w:p w14:paraId="4669ADF6">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0"/>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14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4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867"/>
        <w:gridCol w:w="1583"/>
        <w:gridCol w:w="2730"/>
        <w:gridCol w:w="1525"/>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6"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43"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647"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908"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875"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647"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908"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875"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875"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908"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875"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908"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875"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908"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875"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908"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875"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908"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875"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908"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875"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908"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875"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875"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875"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47"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908"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56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875"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17"/>
              <w:pageBreakBefore w:val="0"/>
              <w:kinsoku/>
              <w:wordWrap/>
              <w:overflowPunct/>
              <w:topLinePunct w:val="0"/>
              <w:bidi w:val="0"/>
              <w:adjustRightInd w:val="0"/>
              <w:snapToGrid w:val="0"/>
              <w:spacing w:before="156" w:beforeLines="50" w:after="0" w:line="360" w:lineRule="auto"/>
              <w:ind w:left="3276"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ageBreakBefore w:val="0"/>
        <w:kinsoku/>
        <w:wordWrap/>
        <w:overflowPunct/>
        <w:topLinePunct w:val="0"/>
        <w:bidi w:val="0"/>
        <w:spacing w:line="360" w:lineRule="auto"/>
        <w:jc w:val="center"/>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67" w:name="_Toc27624"/>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第二节 政府采购合同通用条款</w:t>
      </w:r>
      <w:bookmarkEnd w:id="67"/>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16"/>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16"/>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09B928D4">
      <w:pPr>
        <w:pStyle w:val="2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2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8"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68"/>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66AF8B93">
      <w:pPr>
        <w:pStyle w:val="4"/>
        <w:pageBreakBefore w:val="0"/>
        <w:kinsoku/>
        <w:wordWrap/>
        <w:overflowPunct/>
        <w:topLinePunct w:val="0"/>
        <w:bidi w:val="0"/>
        <w:spacing w:before="0" w:before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sz w:val="24"/>
          <w:szCs w:val="24"/>
          <w:highlight w:val="none"/>
          <w:lang w:val="en-US" w:eastAsia="zh-CN" w:bidi="ar-SA"/>
        </w:rPr>
        <w:t>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479E751D">
      <w:pPr>
        <w:pStyle w:val="16"/>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14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4A714C2">
      <w:pPr>
        <w:pageBreakBefore w:val="0"/>
        <w:numPr>
          <w:ilvl w:val="0"/>
          <w:numId w:val="0"/>
        </w:numPr>
        <w:kinsoku/>
        <w:wordWrap/>
        <w:overflowPunct/>
        <w:topLinePunct w:val="0"/>
        <w:autoSpaceDE w:val="0"/>
        <w:autoSpaceDN w:val="0"/>
        <w:bidi w:val="0"/>
        <w:adjustRightInd w:val="0"/>
        <w:snapToGrid w:val="0"/>
        <w:spacing w:before="0" w:line="360" w:lineRule="auto"/>
        <w:ind w:left="210" w:lef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lang w:val="en-US" w:eastAsia="zh-CN" w:bidi="ar-SA"/>
        </w:rPr>
        <w:t>16.</w:t>
      </w: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14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64681F3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16"/>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6FA0F50F">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540A7DAA">
      <w:pPr>
        <w:pStyle w:val="14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71609EF1">
      <w:pPr>
        <w:pStyle w:val="14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0"/>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bidi="ar-SA"/>
        </w:rPr>
        <w:t>23.</w:t>
      </w: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69"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4"/>
        <w:pageBreakBefore w:val="0"/>
        <w:kinsoku/>
        <w:wordWrap/>
        <w:overflowPunct/>
        <w:topLinePunct w:val="0"/>
        <w:bidi w:val="0"/>
        <w:adjustRightInd w:val="0"/>
        <w:snapToGrid w:val="0"/>
        <w:spacing w:before="156" w:beforeLines="50" w:after="0" w:afterAutospacing="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69"/>
    </w:p>
    <w:tbl>
      <w:tblPr>
        <w:tblStyle w:val="4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7"/>
        <w:gridCol w:w="3255"/>
        <w:gridCol w:w="3427"/>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837" w:type="dxa"/>
            <w:vAlign w:val="center"/>
          </w:tcPr>
          <w:p w14:paraId="470D3DD1">
            <w:pPr>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20353D3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3427"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37"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3255" w:type="dxa"/>
            <w:vAlign w:val="center"/>
          </w:tcPr>
          <w:p w14:paraId="46B228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3427"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3255" w:type="dxa"/>
            <w:vAlign w:val="center"/>
          </w:tcPr>
          <w:p w14:paraId="33CAD1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3427"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3255" w:type="dxa"/>
            <w:vAlign w:val="center"/>
          </w:tcPr>
          <w:p w14:paraId="67ECDA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3427"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3255" w:type="dxa"/>
            <w:vAlign w:val="center"/>
          </w:tcPr>
          <w:p w14:paraId="628323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3427"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1837"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3255" w:type="dxa"/>
            <w:vAlign w:val="center"/>
          </w:tcPr>
          <w:p w14:paraId="59480A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3427"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837"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3255" w:type="dxa"/>
            <w:vAlign w:val="center"/>
          </w:tcPr>
          <w:p w14:paraId="42B8D8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3427"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837"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3255" w:type="dxa"/>
            <w:vAlign w:val="center"/>
          </w:tcPr>
          <w:p w14:paraId="42295F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3427"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37"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vAlign w:val="center"/>
          </w:tcPr>
          <w:p w14:paraId="0A650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3427"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1837"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3255" w:type="dxa"/>
            <w:vAlign w:val="center"/>
          </w:tcPr>
          <w:p w14:paraId="4DA68A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3427"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3255" w:type="dxa"/>
            <w:vAlign w:val="center"/>
          </w:tcPr>
          <w:p w14:paraId="42DF0C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3427"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3255" w:type="dxa"/>
            <w:vAlign w:val="center"/>
          </w:tcPr>
          <w:p w14:paraId="77DF69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3427"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14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3255" w:type="dxa"/>
            <w:vAlign w:val="center"/>
          </w:tcPr>
          <w:p w14:paraId="69C2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3427"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3255" w:type="dxa"/>
            <w:vAlign w:val="center"/>
          </w:tcPr>
          <w:p w14:paraId="042130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3427"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37"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3255" w:type="dxa"/>
            <w:vAlign w:val="center"/>
          </w:tcPr>
          <w:p w14:paraId="5B8C6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3427"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3255" w:type="dxa"/>
            <w:vAlign w:val="center"/>
          </w:tcPr>
          <w:p w14:paraId="5B2158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3427"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3255" w:type="dxa"/>
            <w:vAlign w:val="center"/>
          </w:tcPr>
          <w:p w14:paraId="50390A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3427"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37"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3255" w:type="dxa"/>
            <w:vAlign w:val="center"/>
          </w:tcPr>
          <w:p w14:paraId="41B397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3427"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3255" w:type="dxa"/>
            <w:vAlign w:val="center"/>
          </w:tcPr>
          <w:p w14:paraId="66DC48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3427"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3255" w:type="dxa"/>
            <w:vAlign w:val="center"/>
          </w:tcPr>
          <w:p w14:paraId="025BA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修理、重作</w:t>
            </w:r>
          </w:p>
          <w:p w14:paraId="55E201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更换相关具体规定</w:t>
            </w:r>
          </w:p>
        </w:tc>
        <w:tc>
          <w:tcPr>
            <w:tcW w:w="3427"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3255" w:type="dxa"/>
            <w:vAlign w:val="center"/>
          </w:tcPr>
          <w:p w14:paraId="5B406B8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3427"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37"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3255" w:type="dxa"/>
            <w:vAlign w:val="center"/>
          </w:tcPr>
          <w:p w14:paraId="38AF59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3427"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37"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3255"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3427"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37"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3255"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3427"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37"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3255" w:type="dxa"/>
            <w:vAlign w:val="center"/>
          </w:tcPr>
          <w:p w14:paraId="217A17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3427"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8DD2FB5">
      <w:pPr>
        <w:rPr>
          <w:rFonts w:hint="eastAsia" w:ascii="宋体" w:hAnsi="宋体" w:eastAsia="宋体" w:cs="宋体"/>
          <w:sz w:val="24"/>
          <w:szCs w:val="24"/>
          <w:highlight w:val="none"/>
        </w:rPr>
      </w:pPr>
    </w:p>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AEC431B">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zh-CN" w:eastAsia="zh-CN"/>
        </w:rPr>
        <w:t>第</w:t>
      </w:r>
      <w:r>
        <w:rPr>
          <w:rFonts w:hint="eastAsia" w:ascii="宋体" w:hAnsi="宋体" w:eastAsia="宋体" w:cs="宋体"/>
          <w:b/>
          <w:bCs/>
          <w:color w:val="auto"/>
          <w:kern w:val="2"/>
          <w:sz w:val="36"/>
          <w:szCs w:val="36"/>
          <w:highlight w:val="none"/>
          <w:lang w:val="en-US" w:eastAsia="zh-CN"/>
        </w:rPr>
        <w:t>六</w:t>
      </w:r>
      <w:r>
        <w:rPr>
          <w:rFonts w:hint="eastAsia" w:ascii="宋体" w:hAnsi="宋体" w:eastAsia="宋体" w:cs="宋体"/>
          <w:b/>
          <w:bCs/>
          <w:color w:val="auto"/>
          <w:kern w:val="2"/>
          <w:sz w:val="36"/>
          <w:szCs w:val="36"/>
          <w:highlight w:val="none"/>
          <w:lang w:val="zh-CN" w:eastAsia="zh-CN"/>
        </w:rPr>
        <w:t xml:space="preserve">章  </w:t>
      </w:r>
      <w:bookmarkStart w:id="70" w:name="_Toc417656001"/>
      <w:r>
        <w:rPr>
          <w:rFonts w:hint="eastAsia" w:ascii="宋体" w:hAnsi="宋体" w:eastAsia="宋体" w:cs="宋体"/>
          <w:b/>
          <w:bCs/>
          <w:color w:val="auto"/>
          <w:kern w:val="2"/>
          <w:sz w:val="36"/>
          <w:szCs w:val="36"/>
          <w:highlight w:val="none"/>
          <w:lang w:val="en-US" w:eastAsia="zh-CN"/>
        </w:rPr>
        <w:t>响应文件格式</w:t>
      </w:r>
      <w:bookmarkEnd w:id="62"/>
      <w:bookmarkEnd w:id="63"/>
      <w:bookmarkEnd w:id="64"/>
      <w:bookmarkEnd w:id="65"/>
      <w:bookmarkEnd w:id="70"/>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Theme="majorEastAsia" w:hAnsiTheme="majorEastAsia" w:eastAsiaTheme="majorEastAsia" w:cstheme="majorEastAsia"/>
          <w:b/>
          <w:color w:val="auto"/>
          <w:spacing w:val="20"/>
          <w:sz w:val="36"/>
          <w:szCs w:val="36"/>
          <w:highlight w:val="none"/>
          <w:lang w:eastAsia="zh-CN"/>
        </w:rPr>
      </w:pPr>
      <w:r>
        <w:rPr>
          <w:rFonts w:hint="eastAsia" w:asciiTheme="majorEastAsia" w:hAnsiTheme="majorEastAsia" w:eastAsiaTheme="majorEastAsia" w:cstheme="majorEastAsia"/>
          <w:b/>
          <w:color w:val="auto"/>
          <w:spacing w:val="20"/>
          <w:sz w:val="36"/>
          <w:szCs w:val="36"/>
          <w:highlight w:val="none"/>
          <w:u w:val="single"/>
        </w:rPr>
        <w:t xml:space="preserve">                              </w:t>
      </w:r>
      <w:r>
        <w:rPr>
          <w:rFonts w:hint="eastAsia" w:asciiTheme="majorEastAsia" w:hAnsiTheme="majorEastAsia" w:eastAsiaTheme="majorEastAsia" w:cstheme="majorEastAsia"/>
          <w:b/>
          <w:color w:val="auto"/>
          <w:spacing w:val="20"/>
          <w:sz w:val="36"/>
          <w:szCs w:val="36"/>
          <w:highlight w:val="none"/>
        </w:rPr>
        <w:t>项目</w:t>
      </w:r>
    </w:p>
    <w:p w14:paraId="1EAAD0EA">
      <w:pPr>
        <w:spacing w:line="480" w:lineRule="auto"/>
        <w:jc w:val="center"/>
        <w:rPr>
          <w:rFonts w:hint="eastAsia" w:ascii="宋体" w:hAnsi="宋体"/>
          <w:b/>
          <w:color w:val="auto"/>
          <w:sz w:val="72"/>
          <w:szCs w:val="72"/>
          <w:highlight w:val="none"/>
        </w:rPr>
      </w:pP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58"/>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jc w:val="center"/>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6C80FB63">
      <w:pPr>
        <w:jc w:val="both"/>
        <w:rPr>
          <w:rFonts w:hint="eastAsia" w:ascii="宋体" w:hAnsi="宋体" w:cs="宋体"/>
          <w:b/>
          <w:color w:val="auto"/>
          <w:sz w:val="32"/>
          <w:szCs w:val="32"/>
          <w:highlight w:val="none"/>
        </w:rPr>
      </w:pPr>
    </w:p>
    <w:p w14:paraId="6A192FAC">
      <w:pPr>
        <w:pStyle w:val="16"/>
        <w:spacing w:after="0" w:afterAutospacing="0"/>
        <w:rPr>
          <w:rFonts w:hint="eastAsia"/>
        </w:rPr>
      </w:pPr>
    </w:p>
    <w:p w14:paraId="03F22647">
      <w:pPr>
        <w:spacing w:beforeAutospacing="0" w:afterAutospacing="0"/>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58"/>
        <w:spacing w:before="0" w:beforeAutospacing="0" w:after="0" w:afterAutospacing="0"/>
        <w:rPr>
          <w:rFonts w:hint="default"/>
          <w:color w:val="auto"/>
          <w:sz w:val="28"/>
          <w:szCs w:val="28"/>
          <w:highlight w:val="none"/>
          <w:lang w:val="en-US" w:eastAsia="zh-CN"/>
        </w:rPr>
      </w:pPr>
    </w:p>
    <w:p w14:paraId="3DE69A2B">
      <w:pPr>
        <w:spacing w:beforeAutospacing="0"/>
        <w:rPr>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lang w:val="en-US" w:eastAsia="zh-CN"/>
        </w:rPr>
        <w:t>报价表</w:t>
      </w:r>
    </w:p>
    <w:p w14:paraId="35CCBCE1">
      <w:pPr>
        <w:rPr>
          <w:color w:val="auto"/>
          <w:sz w:val="28"/>
          <w:szCs w:val="28"/>
          <w:highlight w:val="none"/>
        </w:rPr>
      </w:pPr>
      <w:r>
        <w:rPr>
          <w:rFonts w:hint="eastAsia"/>
          <w:color w:val="auto"/>
          <w:sz w:val="28"/>
          <w:szCs w:val="28"/>
          <w:highlight w:val="none"/>
          <w:lang w:eastAsia="zh-CN"/>
        </w:rPr>
        <w:t>二、最后承诺报价表</w:t>
      </w:r>
    </w:p>
    <w:p w14:paraId="39FEFFEB">
      <w:pPr>
        <w:rPr>
          <w:color w:val="auto"/>
          <w:sz w:val="28"/>
          <w:szCs w:val="28"/>
          <w:highlight w:val="none"/>
        </w:rPr>
      </w:pPr>
      <w:r>
        <w:rPr>
          <w:rFonts w:hint="eastAsia"/>
          <w:color w:val="auto"/>
          <w:sz w:val="28"/>
          <w:szCs w:val="28"/>
          <w:highlight w:val="none"/>
          <w:lang w:eastAsia="zh-CN"/>
        </w:rPr>
        <w:t>三、</w:t>
      </w:r>
      <w:r>
        <w:rPr>
          <w:rFonts w:hint="eastAsia" w:asciiTheme="majorEastAsia" w:hAnsiTheme="majorEastAsia" w:eastAsiaTheme="majorEastAsia" w:cstheme="majorEastAsia"/>
          <w:color w:val="auto"/>
          <w:sz w:val="28"/>
          <w:szCs w:val="28"/>
          <w:highlight w:val="none"/>
          <w:lang w:eastAsia="zh-CN"/>
        </w:rPr>
        <w:t>谈判响应函</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lang w:val="en-US" w:eastAsia="zh-CN"/>
        </w:rPr>
        <w:t>供应商资格声明书</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授权书</w:t>
      </w:r>
    </w:p>
    <w:p w14:paraId="202EA929">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lang w:val="en-US" w:eastAsia="zh-CN"/>
        </w:rPr>
        <w:t>谈判响应表</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供货及技术方案</w:t>
      </w:r>
    </w:p>
    <w:p w14:paraId="71388944">
      <w:pPr>
        <w:rPr>
          <w:rFonts w:hint="eastAsia"/>
          <w:color w:val="auto"/>
          <w:sz w:val="28"/>
          <w:szCs w:val="28"/>
          <w:highlight w:val="none"/>
          <w:lang w:val="en-US" w:eastAsia="zh-CN"/>
        </w:rPr>
      </w:pPr>
      <w:r>
        <w:rPr>
          <w:rFonts w:hint="eastAsia"/>
          <w:color w:val="auto"/>
          <w:sz w:val="28"/>
          <w:szCs w:val="28"/>
          <w:highlight w:val="none"/>
          <w:lang w:val="en-US" w:eastAsia="zh-CN"/>
        </w:rPr>
        <w:t>八、诚信履约承诺函</w:t>
      </w:r>
    </w:p>
    <w:p w14:paraId="1F8BA8B7">
      <w:pPr>
        <w:rPr>
          <w:rFonts w:hint="default"/>
          <w:color w:val="auto"/>
          <w:sz w:val="28"/>
          <w:szCs w:val="28"/>
          <w:highlight w:val="none"/>
          <w:lang w:val="en-US" w:eastAsia="zh-CN"/>
        </w:rPr>
      </w:pPr>
      <w:r>
        <w:rPr>
          <w:rFonts w:hint="eastAsia"/>
          <w:color w:val="auto"/>
          <w:sz w:val="28"/>
          <w:szCs w:val="28"/>
          <w:highlight w:val="none"/>
          <w:lang w:val="en-US" w:eastAsia="zh-CN"/>
        </w:rPr>
        <w:t>九、其他相关证明资料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58"/>
        <w:rPr>
          <w:rFonts w:ascii="宋体" w:hAnsi="宋体" w:cs="宋体"/>
          <w:color w:val="auto"/>
          <w:sz w:val="24"/>
          <w:highlight w:val="none"/>
        </w:rPr>
      </w:pPr>
    </w:p>
    <w:p w14:paraId="43A49AC0">
      <w:pPr>
        <w:pStyle w:val="58"/>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5"/>
      </w:pPr>
    </w:p>
    <w:p w14:paraId="4C3254F9">
      <w:pPr>
        <w:widowControl/>
        <w:jc w:val="left"/>
        <w:rPr>
          <w:rFonts w:ascii="宋体" w:cs="宋体"/>
          <w:color w:val="auto"/>
          <w:sz w:val="24"/>
          <w:highlight w:val="none"/>
        </w:rPr>
      </w:pPr>
    </w:p>
    <w:p w14:paraId="0E2EF0B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1" w:name="_Toc461056631"/>
      <w:bookmarkStart w:id="72" w:name="_Toc461053086"/>
      <w:bookmarkStart w:id="73" w:name="_Toc27513"/>
      <w:bookmarkStart w:id="74" w:name="_Toc23658"/>
      <w:bookmarkStart w:id="75" w:name="_Toc520983587"/>
      <w:r>
        <w:rPr>
          <w:rFonts w:hint="eastAsia" w:asciiTheme="majorEastAsia" w:hAnsiTheme="majorEastAsia" w:eastAsiaTheme="majorEastAsia" w:cstheme="majorEastAsia"/>
          <w:color w:val="auto"/>
          <w:sz w:val="28"/>
          <w:szCs w:val="28"/>
          <w:highlight w:val="none"/>
          <w:lang w:eastAsia="zh-CN"/>
        </w:rPr>
        <w:t>一</w:t>
      </w:r>
      <w:bookmarkEnd w:id="71"/>
      <w:bookmarkEnd w:id="72"/>
      <w:r>
        <w:rPr>
          <w:rFonts w:hint="eastAsia" w:asciiTheme="majorEastAsia" w:hAnsiTheme="majorEastAsia" w:eastAsiaTheme="majorEastAsia" w:cstheme="majorEastAsia"/>
          <w:color w:val="auto"/>
          <w:sz w:val="28"/>
          <w:szCs w:val="28"/>
          <w:highlight w:val="none"/>
          <w:lang w:eastAsia="zh-CN"/>
        </w:rPr>
        <w:t>、报价表格式</w:t>
      </w:r>
      <w:bookmarkEnd w:id="73"/>
      <w:bookmarkEnd w:id="74"/>
      <w:bookmarkEnd w:id="75"/>
    </w:p>
    <w:p w14:paraId="5134FC92">
      <w:pPr>
        <w:spacing w:beforeAutospacing="0" w:afterAutospacing="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beforeAutospacing="0"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500EEBC1">
      <w:pPr>
        <w:wordWrap w:val="0"/>
        <w:spacing w:beforeAutospacing="0" w:line="360" w:lineRule="auto"/>
        <w:jc w:val="right"/>
        <w:rPr>
          <w:rFonts w:hint="default"/>
          <w:b/>
          <w:bCs/>
          <w:sz w:val="24"/>
          <w:szCs w:val="22"/>
          <w:lang w:val="en-US" w:eastAsia="zh-CN"/>
        </w:rPr>
      </w:pPr>
      <w:r>
        <w:rPr>
          <w:rFonts w:hint="eastAsia" w:ascii="宋体" w:hAnsi="宋体"/>
          <w:b/>
          <w:bCs/>
          <w:color w:val="auto"/>
          <w:sz w:val="24"/>
          <w:szCs w:val="22"/>
          <w:highlight w:val="none"/>
        </w:rPr>
        <w:t>单位：</w:t>
      </w:r>
      <w:r>
        <w:rPr>
          <w:rFonts w:hint="eastAsia" w:ascii="宋体" w:hAnsi="宋体"/>
          <w:b/>
          <w:bCs/>
          <w:color w:val="auto"/>
          <w:sz w:val="24"/>
          <w:szCs w:val="22"/>
          <w:highlight w:val="none"/>
          <w:u w:val="single"/>
          <w:lang w:val="en-US" w:eastAsia="zh-CN"/>
        </w:rPr>
        <w:t>元</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bCs/>
                <w:color w:val="auto"/>
                <w:sz w:val="24"/>
                <w:highlight w:val="none"/>
              </w:rPr>
            </w:pPr>
            <w:r>
              <w:rPr>
                <w:rFonts w:hint="eastAsia" w:asciiTheme="minorEastAsia" w:hAnsiTheme="minorEastAsia" w:eastAsiaTheme="minorEastAsia"/>
                <w:b/>
                <w:bCs/>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大写：</w:t>
            </w:r>
            <w:r>
              <w:rPr>
                <w:rFonts w:hint="eastAsia" w:ascii="宋体" w:hAnsi="宋体" w:eastAsia="宋体" w:cs="宋体"/>
                <w:b/>
                <w:bCs/>
                <w:color w:val="auto"/>
                <w:szCs w:val="21"/>
                <w:highlight w:val="none"/>
                <w:u w:val="single"/>
              </w:rPr>
              <w:t xml:space="preserve">                     </w:t>
            </w:r>
          </w:p>
          <w:p w14:paraId="1A69A138">
            <w:pPr>
              <w:snapToGrid w:val="0"/>
              <w:spacing w:line="360" w:lineRule="auto"/>
              <w:rPr>
                <w:rFonts w:ascii="宋体" w:hAnsi="宋体" w:eastAsia="宋体"/>
                <w:b/>
                <w:bCs/>
                <w:color w:val="auto"/>
                <w:sz w:val="24"/>
                <w:highlight w:val="none"/>
              </w:rPr>
            </w:pP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2E28A365">
      <w:pPr>
        <w:spacing w:line="360" w:lineRule="auto"/>
        <w:ind w:firstLine="480" w:firstLineChars="200"/>
        <w:rPr>
          <w:rFonts w:ascii="宋体" w:hAnsi="宋体" w:eastAsia="宋体"/>
          <w:color w:val="auto"/>
          <w:sz w:val="24"/>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772BBADF">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1</w:t>
      </w:r>
      <w:r>
        <w:rPr>
          <w:rFonts w:hint="eastAsia" w:ascii="宋体" w:hAnsi="宋体" w:eastAsia="宋体"/>
          <w:b/>
          <w:bCs/>
          <w:color w:val="auto"/>
          <w:sz w:val="24"/>
          <w:szCs w:val="28"/>
          <w:highlight w:val="none"/>
        </w:rPr>
        <w:t>.特殊事项在备注中注明。</w:t>
      </w:r>
    </w:p>
    <w:p w14:paraId="52C3977A">
      <w:pPr>
        <w:adjustRightInd w:val="0"/>
        <w:snapToGrid w:val="0"/>
        <w:spacing w:line="360" w:lineRule="auto"/>
        <w:rPr>
          <w:rFonts w:ascii="宋体" w:hAnsi="宋体" w:eastAsia="宋体"/>
          <w:b/>
          <w:bCs/>
          <w:color w:val="auto"/>
          <w:sz w:val="24"/>
          <w:szCs w:val="28"/>
          <w:highlight w:val="none"/>
        </w:rPr>
      </w:pPr>
      <w:r>
        <w:rPr>
          <w:rFonts w:hint="eastAsia" w:ascii="宋体" w:hAnsi="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056156F7">
      <w:pPr>
        <w:pStyle w:val="58"/>
        <w:ind w:left="0" w:leftChars="0" w:firstLine="0" w:firstLineChars="0"/>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B59D5D3">
      <w:pPr>
        <w:spacing w:line="360" w:lineRule="auto"/>
        <w:ind w:firstLine="3614" w:firstLineChars="1500"/>
        <w:rPr>
          <w:rFonts w:hint="eastAsia" w:ascii="宋体" w:hAnsi="宋体" w:eastAsia="宋体"/>
          <w:b/>
          <w:bCs/>
          <w:color w:val="auto"/>
          <w:sz w:val="24"/>
          <w:highlight w:val="none"/>
        </w:rPr>
      </w:pPr>
    </w:p>
    <w:p w14:paraId="47AC3FF0">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64500685">
      <w:pPr>
        <w:pStyle w:val="21"/>
        <w:tabs>
          <w:tab w:val="left" w:pos="5580"/>
        </w:tabs>
        <w:spacing w:line="480" w:lineRule="auto"/>
        <w:ind w:firstLine="3570" w:firstLineChars="1700"/>
        <w:rPr>
          <w:rFonts w:hint="eastAsia" w:hAnsi="宋体" w:cs="宋体"/>
          <w:color w:val="auto"/>
          <w:highlight w:val="none"/>
        </w:rPr>
      </w:pPr>
    </w:p>
    <w:p w14:paraId="452A770A">
      <w:pPr>
        <w:ind w:firstLine="3600" w:firstLineChars="1500"/>
        <w:rPr>
          <w:rFonts w:hint="eastAsia" w:ascii="宋体" w:hAnsi="宋体" w:eastAsia="宋体"/>
          <w:color w:val="auto"/>
          <w:sz w:val="24"/>
          <w:highlight w:val="none"/>
          <w:u w:val="single"/>
        </w:rPr>
      </w:pPr>
      <w:bookmarkStart w:id="76" w:name="_Toc32647"/>
      <w:bookmarkStart w:id="77" w:name="_Toc28153"/>
      <w:bookmarkStart w:id="78" w:name="_Toc388283751"/>
    </w:p>
    <w:p w14:paraId="6D4DAC09">
      <w:pPr>
        <w:ind w:firstLine="3600" w:firstLineChars="1500"/>
        <w:rPr>
          <w:rFonts w:hint="eastAsia" w:ascii="宋体" w:hAnsi="宋体" w:eastAsia="宋体"/>
          <w:color w:val="auto"/>
          <w:sz w:val="24"/>
          <w:highlight w:val="none"/>
          <w:u w:val="single"/>
        </w:rPr>
      </w:pPr>
    </w:p>
    <w:p w14:paraId="2DC682DD">
      <w:pPr>
        <w:rPr>
          <w:rFonts w:hint="eastAsia" w:ascii="宋体" w:hAnsi="宋体" w:eastAsia="宋体"/>
          <w:color w:val="auto"/>
          <w:sz w:val="24"/>
          <w:highlight w:val="none"/>
          <w:u w:val="single"/>
        </w:rPr>
      </w:pPr>
    </w:p>
    <w:p w14:paraId="7A508B9C">
      <w:pPr>
        <w:spacing w:before="156" w:beforeLines="50" w:afterAutospacing="0" w:line="360" w:lineRule="auto"/>
        <w:jc w:val="left"/>
        <w:outlineLvl w:val="2"/>
        <w:rPr>
          <w:rFonts w:hint="eastAsia" w:ascii="宋体" w:hAnsi="宋体" w:eastAsia="宋体"/>
          <w:b/>
          <w:color w:val="auto"/>
          <w:sz w:val="24"/>
          <w:szCs w:val="28"/>
          <w:highlight w:val="none"/>
        </w:rPr>
      </w:pPr>
      <w:r>
        <w:rPr>
          <w:rFonts w:hint="eastAsia" w:ascii="宋体" w:hAnsi="宋体"/>
          <w:b/>
          <w:color w:val="auto"/>
          <w:sz w:val="24"/>
          <w:szCs w:val="28"/>
          <w:highlight w:val="none"/>
          <w:lang w:val="en-US" w:eastAsia="zh-CN"/>
        </w:rPr>
        <w:t>1</w:t>
      </w: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lang w:eastAsia="zh-CN"/>
        </w:rPr>
        <w:t>分项报价明细表</w:t>
      </w:r>
      <w:r>
        <w:rPr>
          <w:rFonts w:hint="eastAsia" w:ascii="宋体" w:hAnsi="宋体" w:eastAsia="宋体"/>
          <w:b/>
          <w:color w:val="auto"/>
          <w:sz w:val="24"/>
          <w:szCs w:val="28"/>
          <w:highlight w:val="none"/>
        </w:rPr>
        <w:t>：</w:t>
      </w:r>
    </w:p>
    <w:tbl>
      <w:tblPr>
        <w:tblStyle w:val="41"/>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10"/>
        <w:gridCol w:w="2940"/>
        <w:gridCol w:w="1065"/>
        <w:gridCol w:w="1080"/>
        <w:gridCol w:w="1230"/>
        <w:gridCol w:w="1524"/>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699" w:type="dxa"/>
            <w:vAlign w:val="center"/>
          </w:tcPr>
          <w:p w14:paraId="1B6D3C0E">
            <w:pPr>
              <w:spacing w:beforeAutospacing="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010" w:type="dxa"/>
            <w:vAlign w:val="center"/>
          </w:tcPr>
          <w:p w14:paraId="4E6D932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Cs w:val="21"/>
                <w:highlight w:val="none"/>
              </w:rPr>
              <w:t>货物名称</w:t>
            </w:r>
          </w:p>
        </w:tc>
        <w:tc>
          <w:tcPr>
            <w:tcW w:w="2940" w:type="dxa"/>
            <w:vAlign w:val="center"/>
          </w:tcPr>
          <w:p w14:paraId="51307FE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Cs w:val="21"/>
                <w:highlight w:val="none"/>
              </w:rPr>
              <w:t>生产厂家、品牌、型号</w:t>
            </w:r>
          </w:p>
        </w:tc>
        <w:tc>
          <w:tcPr>
            <w:tcW w:w="1065" w:type="dxa"/>
            <w:vAlign w:val="center"/>
          </w:tcPr>
          <w:p w14:paraId="2C884C0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080" w:type="dxa"/>
            <w:vAlign w:val="center"/>
          </w:tcPr>
          <w:p w14:paraId="6D69E59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30" w:type="dxa"/>
            <w:vAlign w:val="center"/>
          </w:tcPr>
          <w:p w14:paraId="2038478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524" w:type="dxa"/>
            <w:vAlign w:val="center"/>
          </w:tcPr>
          <w:p w14:paraId="435111B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总价（元）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A5F81C6">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1610D63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70BF18F5">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093A833E">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193F467">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473ADD21">
            <w:pPr>
              <w:spacing w:line="360" w:lineRule="auto"/>
              <w:jc w:val="center"/>
              <w:rPr>
                <w:rFonts w:ascii="宋体" w:hAnsi="宋体" w:cs="宋体"/>
                <w:color w:val="auto"/>
                <w:sz w:val="24"/>
                <w:szCs w:val="24"/>
                <w:highlight w:val="none"/>
              </w:rPr>
            </w:pPr>
          </w:p>
        </w:tc>
        <w:tc>
          <w:tcPr>
            <w:tcW w:w="1524" w:type="dxa"/>
            <w:vAlign w:val="center"/>
          </w:tcPr>
          <w:p w14:paraId="73007266">
            <w:pPr>
              <w:spacing w:line="360" w:lineRule="auto"/>
              <w:jc w:val="center"/>
              <w:rPr>
                <w:rFonts w:ascii="宋体" w:hAnsi="宋体" w:cs="宋体"/>
                <w:color w:val="auto"/>
                <w:sz w:val="24"/>
                <w:szCs w:val="24"/>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F468277">
            <w:pPr>
              <w:spacing w:line="360" w:lineRule="auto"/>
              <w:jc w:val="center"/>
              <w:rPr>
                <w:rFonts w:hint="eastAsia" w:ascii="宋体" w:hAnsi="宋体" w:eastAsia="宋体" w:cs="宋体"/>
                <w:color w:val="auto"/>
                <w:spacing w:val="-4"/>
                <w:sz w:val="24"/>
                <w:szCs w:val="24"/>
                <w:highlight w:val="none"/>
                <w:lang w:val="en-US" w:eastAsia="zh-CN"/>
              </w:rPr>
            </w:pPr>
          </w:p>
        </w:tc>
        <w:tc>
          <w:tcPr>
            <w:tcW w:w="2010" w:type="dxa"/>
            <w:vAlign w:val="center"/>
          </w:tcPr>
          <w:p w14:paraId="77227E79">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84B35AB">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89E6C1D">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2E894162">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3210A503">
            <w:pPr>
              <w:spacing w:line="360" w:lineRule="auto"/>
              <w:jc w:val="center"/>
              <w:rPr>
                <w:rFonts w:ascii="宋体" w:hAnsi="宋体" w:cs="宋体"/>
                <w:color w:val="auto"/>
                <w:sz w:val="24"/>
                <w:szCs w:val="24"/>
                <w:highlight w:val="none"/>
              </w:rPr>
            </w:pPr>
          </w:p>
        </w:tc>
        <w:tc>
          <w:tcPr>
            <w:tcW w:w="1524" w:type="dxa"/>
            <w:vAlign w:val="center"/>
          </w:tcPr>
          <w:p w14:paraId="46AD13B2">
            <w:pPr>
              <w:spacing w:line="360" w:lineRule="auto"/>
              <w:jc w:val="center"/>
              <w:rPr>
                <w:rFonts w:ascii="宋体" w:hAnsi="宋体" w:cs="宋体"/>
                <w:color w:val="auto"/>
                <w:sz w:val="24"/>
                <w:szCs w:val="24"/>
                <w:highlight w:val="none"/>
              </w:rPr>
            </w:pPr>
          </w:p>
        </w:tc>
      </w:tr>
      <w:tr w14:paraId="2173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68B38114">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3D1E58E4">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60DCDF87">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292346BA">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1259B8AC">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F50E29E">
            <w:pPr>
              <w:spacing w:line="360" w:lineRule="auto"/>
              <w:jc w:val="center"/>
              <w:rPr>
                <w:rFonts w:ascii="宋体" w:hAnsi="宋体" w:cs="宋体"/>
                <w:color w:val="auto"/>
                <w:sz w:val="24"/>
                <w:szCs w:val="24"/>
                <w:highlight w:val="none"/>
              </w:rPr>
            </w:pPr>
          </w:p>
        </w:tc>
        <w:tc>
          <w:tcPr>
            <w:tcW w:w="1524" w:type="dxa"/>
            <w:vAlign w:val="center"/>
          </w:tcPr>
          <w:p w14:paraId="501F2F44">
            <w:pPr>
              <w:spacing w:line="360" w:lineRule="auto"/>
              <w:jc w:val="center"/>
              <w:rPr>
                <w:rFonts w:ascii="宋体" w:hAnsi="宋体" w:cs="宋体"/>
                <w:color w:val="auto"/>
                <w:sz w:val="24"/>
                <w:szCs w:val="24"/>
                <w:highlight w:val="none"/>
              </w:rPr>
            </w:pPr>
          </w:p>
        </w:tc>
      </w:tr>
      <w:tr w14:paraId="68C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75D09CC8">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5CC98B58">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2F642C79">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70ED942F">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7C51D143">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72B185A9">
            <w:pPr>
              <w:spacing w:line="360" w:lineRule="auto"/>
              <w:jc w:val="center"/>
              <w:rPr>
                <w:rFonts w:ascii="宋体" w:hAnsi="宋体" w:cs="宋体"/>
                <w:color w:val="auto"/>
                <w:sz w:val="24"/>
                <w:szCs w:val="24"/>
                <w:highlight w:val="none"/>
              </w:rPr>
            </w:pPr>
          </w:p>
        </w:tc>
        <w:tc>
          <w:tcPr>
            <w:tcW w:w="1524" w:type="dxa"/>
            <w:vAlign w:val="center"/>
          </w:tcPr>
          <w:p w14:paraId="2AF33DC8">
            <w:pPr>
              <w:spacing w:line="360" w:lineRule="auto"/>
              <w:jc w:val="center"/>
              <w:rPr>
                <w:rFonts w:ascii="宋体" w:hAnsi="宋体" w:cs="宋体"/>
                <w:color w:val="auto"/>
                <w:sz w:val="24"/>
                <w:szCs w:val="24"/>
                <w:highlight w:val="none"/>
              </w:rPr>
            </w:pPr>
          </w:p>
        </w:tc>
      </w:tr>
      <w:tr w14:paraId="7FF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99" w:type="dxa"/>
            <w:vAlign w:val="center"/>
          </w:tcPr>
          <w:p w14:paraId="1851D15B">
            <w:pPr>
              <w:spacing w:line="360" w:lineRule="auto"/>
              <w:jc w:val="center"/>
              <w:rPr>
                <w:rFonts w:hint="eastAsia" w:ascii="宋体" w:hAnsi="宋体" w:cs="宋体"/>
                <w:color w:val="auto"/>
                <w:spacing w:val="-4"/>
                <w:sz w:val="24"/>
                <w:szCs w:val="24"/>
                <w:highlight w:val="none"/>
                <w:lang w:val="en-US" w:eastAsia="zh-CN"/>
              </w:rPr>
            </w:pPr>
          </w:p>
        </w:tc>
        <w:tc>
          <w:tcPr>
            <w:tcW w:w="2010" w:type="dxa"/>
            <w:vAlign w:val="center"/>
          </w:tcPr>
          <w:p w14:paraId="1AD1BD7E">
            <w:pPr>
              <w:spacing w:line="360" w:lineRule="auto"/>
              <w:jc w:val="center"/>
              <w:rPr>
                <w:rFonts w:hint="default" w:ascii="宋体" w:hAnsi="宋体" w:eastAsia="宋体" w:cs="宋体"/>
                <w:color w:val="auto"/>
                <w:sz w:val="24"/>
                <w:szCs w:val="24"/>
                <w:highlight w:val="none"/>
                <w:lang w:val="en-US" w:eastAsia="zh-CN"/>
              </w:rPr>
            </w:pPr>
          </w:p>
        </w:tc>
        <w:tc>
          <w:tcPr>
            <w:tcW w:w="2940" w:type="dxa"/>
            <w:vAlign w:val="center"/>
          </w:tcPr>
          <w:p w14:paraId="3BE03EF6">
            <w:pPr>
              <w:spacing w:line="360" w:lineRule="auto"/>
              <w:jc w:val="center"/>
              <w:rPr>
                <w:rFonts w:hint="default" w:ascii="宋体" w:hAnsi="宋体" w:eastAsia="宋体" w:cs="宋体"/>
                <w:color w:val="auto"/>
                <w:sz w:val="24"/>
                <w:szCs w:val="24"/>
                <w:highlight w:val="none"/>
                <w:lang w:val="en-US" w:eastAsia="zh-CN"/>
              </w:rPr>
            </w:pPr>
          </w:p>
        </w:tc>
        <w:tc>
          <w:tcPr>
            <w:tcW w:w="1065" w:type="dxa"/>
            <w:vAlign w:val="center"/>
          </w:tcPr>
          <w:p w14:paraId="53FE67AB">
            <w:pPr>
              <w:spacing w:line="360" w:lineRule="auto"/>
              <w:jc w:val="center"/>
              <w:rPr>
                <w:rFonts w:hint="eastAsia" w:ascii="宋体" w:hAnsi="宋体" w:eastAsia="宋体" w:cs="宋体"/>
                <w:color w:val="auto"/>
                <w:sz w:val="24"/>
                <w:szCs w:val="24"/>
                <w:highlight w:val="none"/>
                <w:lang w:val="en-US" w:eastAsia="zh-CN"/>
              </w:rPr>
            </w:pPr>
          </w:p>
        </w:tc>
        <w:tc>
          <w:tcPr>
            <w:tcW w:w="1080" w:type="dxa"/>
            <w:vAlign w:val="center"/>
          </w:tcPr>
          <w:p w14:paraId="58CB362A">
            <w:pPr>
              <w:spacing w:line="360" w:lineRule="auto"/>
              <w:jc w:val="center"/>
              <w:rPr>
                <w:rFonts w:hint="eastAsia" w:ascii="宋体" w:hAnsi="宋体" w:eastAsia="宋体" w:cs="宋体"/>
                <w:color w:val="auto"/>
                <w:sz w:val="24"/>
                <w:szCs w:val="24"/>
                <w:highlight w:val="none"/>
                <w:lang w:val="en-US" w:eastAsia="zh-CN"/>
              </w:rPr>
            </w:pPr>
          </w:p>
        </w:tc>
        <w:tc>
          <w:tcPr>
            <w:tcW w:w="1230" w:type="dxa"/>
            <w:vAlign w:val="center"/>
          </w:tcPr>
          <w:p w14:paraId="0497A9D8">
            <w:pPr>
              <w:spacing w:line="360" w:lineRule="auto"/>
              <w:jc w:val="center"/>
              <w:rPr>
                <w:rFonts w:ascii="宋体" w:hAnsi="宋体" w:cs="宋体"/>
                <w:color w:val="auto"/>
                <w:sz w:val="24"/>
                <w:szCs w:val="24"/>
                <w:highlight w:val="none"/>
              </w:rPr>
            </w:pPr>
          </w:p>
        </w:tc>
        <w:tc>
          <w:tcPr>
            <w:tcW w:w="1524" w:type="dxa"/>
            <w:vAlign w:val="center"/>
          </w:tcPr>
          <w:p w14:paraId="3F311D8A">
            <w:pPr>
              <w:spacing w:line="360" w:lineRule="auto"/>
              <w:jc w:val="center"/>
              <w:rPr>
                <w:rFonts w:ascii="宋体" w:hAnsi="宋体" w:cs="宋体"/>
                <w:color w:val="auto"/>
                <w:sz w:val="24"/>
                <w:szCs w:val="24"/>
                <w:highlight w:val="none"/>
              </w:rPr>
            </w:pPr>
          </w:p>
        </w:tc>
      </w:tr>
    </w:tbl>
    <w:p w14:paraId="0685E662">
      <w:pPr>
        <w:pStyle w:val="13"/>
        <w:rPr>
          <w:rFonts w:hAnsi="宋体" w:cs="宋体"/>
          <w:color w:val="auto"/>
          <w:highlight w:val="none"/>
        </w:rPr>
      </w:pPr>
    </w:p>
    <w:p w14:paraId="08E7C0C5">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5AE31AF2">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54844D89">
      <w:pPr>
        <w:spacing w:line="360" w:lineRule="auto"/>
        <w:ind w:firstLine="3614" w:firstLineChars="1500"/>
        <w:rPr>
          <w:rFonts w:hint="eastAsia" w:ascii="宋体" w:hAnsi="宋体" w:eastAsia="宋体"/>
          <w:b/>
          <w:bCs/>
          <w:color w:val="auto"/>
          <w:sz w:val="24"/>
          <w:highlight w:val="none"/>
        </w:rPr>
      </w:pPr>
    </w:p>
    <w:p w14:paraId="346CE69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1124C7DB">
      <w:pPr>
        <w:pStyle w:val="58"/>
        <w:rPr>
          <w:rFonts w:hint="eastAsia" w:ascii="宋体" w:hAnsi="宋体" w:eastAsia="宋体"/>
          <w:color w:val="auto"/>
          <w:sz w:val="24"/>
          <w:highlight w:val="none"/>
          <w:u w:val="single"/>
          <w:lang w:val="en-US" w:eastAsia="zh-CN"/>
        </w:rPr>
      </w:pPr>
    </w:p>
    <w:p w14:paraId="0195C5E6">
      <w:pPr>
        <w:pStyle w:val="58"/>
        <w:ind w:left="0" w:leftChars="0" w:firstLine="0" w:firstLineChars="0"/>
        <w:rPr>
          <w:rFonts w:hint="eastAsia" w:ascii="宋体" w:hAnsi="宋体" w:eastAsia="宋体"/>
          <w:color w:val="auto"/>
          <w:sz w:val="24"/>
          <w:highlight w:val="none"/>
          <w:u w:val="single"/>
          <w:lang w:val="en-US" w:eastAsia="zh-CN"/>
        </w:rPr>
      </w:pPr>
    </w:p>
    <w:p w14:paraId="3AAA4DD7">
      <w:pPr>
        <w:pStyle w:val="58"/>
        <w:ind w:left="0" w:leftChars="0" w:firstLine="0" w:firstLineChars="0"/>
        <w:rPr>
          <w:rFonts w:hint="eastAsia" w:ascii="宋体" w:hAnsi="宋体" w:eastAsia="宋体"/>
          <w:color w:val="auto"/>
          <w:sz w:val="24"/>
          <w:highlight w:val="none"/>
          <w:u w:val="single"/>
          <w:lang w:val="en-US" w:eastAsia="zh-CN"/>
        </w:rPr>
      </w:pPr>
    </w:p>
    <w:p w14:paraId="6473A19F">
      <w:pPr>
        <w:pStyle w:val="58"/>
        <w:ind w:left="0" w:leftChars="0" w:firstLine="0" w:firstLineChars="0"/>
        <w:rPr>
          <w:rFonts w:hint="eastAsia" w:ascii="宋体" w:hAnsi="宋体" w:eastAsia="宋体"/>
          <w:color w:val="auto"/>
          <w:sz w:val="24"/>
          <w:highlight w:val="none"/>
          <w:u w:val="single"/>
          <w:lang w:val="en-US" w:eastAsia="zh-CN"/>
        </w:rPr>
      </w:pPr>
    </w:p>
    <w:bookmarkEnd w:id="76"/>
    <w:bookmarkEnd w:id="77"/>
    <w:p w14:paraId="5719B9E0">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bookmarkStart w:id="79" w:name="_Toc13918"/>
      <w:bookmarkStart w:id="80" w:name="_Toc127"/>
      <w:r>
        <w:rPr>
          <w:rFonts w:hint="eastAsia" w:asciiTheme="majorEastAsia" w:hAnsiTheme="majorEastAsia" w:eastAsiaTheme="majorEastAsia" w:cstheme="majorEastAsia"/>
          <w:color w:val="auto"/>
          <w:sz w:val="28"/>
          <w:szCs w:val="28"/>
          <w:highlight w:val="none"/>
          <w:lang w:eastAsia="zh-CN"/>
        </w:rPr>
        <w:t>二、最后承诺报价表</w:t>
      </w:r>
      <w:bookmarkEnd w:id="79"/>
      <w:bookmarkEnd w:id="80"/>
    </w:p>
    <w:p w14:paraId="52D91834">
      <w:pPr>
        <w:snapToGrid w:val="0"/>
        <w:spacing w:beforeAutospacing="0" w:line="360" w:lineRule="auto"/>
        <w:jc w:val="left"/>
        <w:rPr>
          <w:rFonts w:hint="eastAsia" w:ascii="宋体" w:hAnsi="宋体" w:eastAsia="宋体"/>
          <w:b/>
          <w:color w:val="auto"/>
          <w:sz w:val="24"/>
          <w:szCs w:val="28"/>
          <w:highlight w:val="none"/>
        </w:rPr>
      </w:pP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Autospacing="0" w:line="360" w:lineRule="auto"/>
        <w:jc w:val="left"/>
        <w:rPr>
          <w:rFonts w:hint="eastAsia" w:ascii="宋体" w:hAnsi="宋体" w:eastAsia="宋体"/>
          <w:b/>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p w14:paraId="724A1CD0">
      <w:pPr>
        <w:pStyle w:val="16"/>
        <w:jc w:val="right"/>
        <w:rPr>
          <w:rFonts w:hint="default"/>
          <w:u w:val="single"/>
          <w:lang w:val="en-US" w:eastAsia="zh-CN"/>
        </w:rPr>
      </w:pPr>
      <w:r>
        <w:rPr>
          <w:rFonts w:hint="eastAsia" w:ascii="宋体" w:hAnsi="宋体"/>
          <w:b/>
          <w:color w:val="auto"/>
          <w:sz w:val="24"/>
          <w:szCs w:val="28"/>
          <w:highlight w:val="none"/>
          <w:u w:val="none"/>
          <w:lang w:val="en-US" w:eastAsia="zh-CN"/>
        </w:rPr>
        <w:t>单位：</w:t>
      </w:r>
      <w:r>
        <w:rPr>
          <w:rFonts w:hint="eastAsia" w:ascii="宋体" w:hAnsi="宋体"/>
          <w:b/>
          <w:color w:val="auto"/>
          <w:sz w:val="24"/>
          <w:szCs w:val="28"/>
          <w:highlight w:val="none"/>
          <w:u w:val="single"/>
          <w:lang w:val="en-US" w:eastAsia="zh-CN"/>
        </w:rPr>
        <w:t>元</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0"/>
        <w:gridCol w:w="6286"/>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beforeAutospacing="0"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6"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8CA26D8">
            <w:pPr>
              <w:spacing w:line="360" w:lineRule="auto"/>
              <w:rPr>
                <w:rFonts w:ascii="宋体" w:hAnsi="宋体" w:eastAsia="宋体"/>
                <w:b/>
                <w:color w:val="auto"/>
                <w:sz w:val="24"/>
                <w:highlight w:val="none"/>
              </w:rPr>
            </w:pPr>
          </w:p>
        </w:tc>
      </w:tr>
      <w:tr w14:paraId="78C3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000" w:type="pct"/>
            <w:gridSpan w:val="2"/>
            <w:vAlign w:val="center"/>
          </w:tcPr>
          <w:p w14:paraId="664FEA52">
            <w:pPr>
              <w:spacing w:line="400" w:lineRule="exact"/>
              <w:rPr>
                <w:rFonts w:hAnsi="宋体"/>
                <w:color w:val="auto"/>
                <w:sz w:val="24"/>
                <w:highlight w:val="none"/>
              </w:rPr>
            </w:pPr>
            <w:r>
              <w:rPr>
                <w:rFonts w:hint="eastAsia" w:hAnsi="宋体"/>
                <w:sz w:val="24"/>
              </w:rPr>
              <w:t>备注：</w:t>
            </w:r>
          </w:p>
          <w:p w14:paraId="66C4AEE8">
            <w:pPr>
              <w:spacing w:line="400" w:lineRule="exact"/>
              <w:rPr>
                <w:rFonts w:hint="eastAsia" w:hAnsi="宋体"/>
                <w:color w:val="auto"/>
                <w:sz w:val="24"/>
                <w:highlight w:val="none"/>
              </w:rPr>
            </w:pPr>
            <w:r>
              <w:rPr>
                <w:rFonts w:hint="eastAsia" w:asciiTheme="majorEastAsia" w:hAnsiTheme="majorEastAsia" w:eastAsiaTheme="majorEastAsia" w:cstheme="majorEastAsia"/>
                <w:color w:val="auto"/>
                <w:sz w:val="24"/>
                <w:highlight w:val="none"/>
              </w:rPr>
              <w:t>1</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03F26039">
            <w:pPr>
              <w:spacing w:line="400" w:lineRule="exact"/>
              <w:rPr>
                <w:rFonts w:ascii="宋体" w:hAnsi="宋体" w:eastAsia="宋体"/>
                <w:b/>
                <w:color w:val="auto"/>
                <w:sz w:val="24"/>
                <w:highlight w:val="none"/>
              </w:rPr>
            </w:pPr>
            <w:r>
              <w:rPr>
                <w:rFonts w:hint="eastAsia" w:asciiTheme="majorEastAsia" w:hAnsiTheme="majorEastAsia" w:eastAsiaTheme="majorEastAsia" w:cstheme="majorEastAsia"/>
                <w:color w:val="auto"/>
                <w:sz w:val="24"/>
                <w:highlight w:val="none"/>
              </w:rPr>
              <w:t>2</w:t>
            </w:r>
            <w:r>
              <w:rPr>
                <w:rFonts w:hint="eastAsia" w:asciiTheme="majorEastAsia" w:hAnsiTheme="majorEastAsia" w:eastAsiaTheme="majorEastAsia" w:cstheme="majorEastAsia"/>
                <w:color w:val="auto"/>
                <w:sz w:val="24"/>
                <w:highlight w:val="none"/>
                <w:lang w:val="en-US" w:eastAsia="zh-CN"/>
              </w:rPr>
              <w:t>.</w:t>
            </w:r>
            <w:r>
              <w:rPr>
                <w:rFonts w:hint="eastAsia" w:hAnsi="宋体"/>
                <w:color w:val="auto"/>
                <w:sz w:val="24"/>
                <w:highlight w:val="none"/>
              </w:rPr>
              <w:t>最后报价保留两位小数，小数点后第三位四舍五入。</w:t>
            </w:r>
          </w:p>
        </w:tc>
      </w:tr>
    </w:tbl>
    <w:p w14:paraId="0109F2DC">
      <w:pPr>
        <w:spacing w:line="360" w:lineRule="auto"/>
        <w:ind w:firstLine="482" w:firstLineChars="200"/>
        <w:rPr>
          <w:rFonts w:hint="eastAsia" w:ascii="宋体" w:hAnsi="宋体"/>
          <w:b/>
          <w:sz w:val="24"/>
        </w:rPr>
      </w:pPr>
    </w:p>
    <w:p w14:paraId="54F6424B">
      <w:pPr>
        <w:spacing w:line="360" w:lineRule="auto"/>
        <w:ind w:firstLine="482" w:firstLineChars="200"/>
        <w:rPr>
          <w:rFonts w:hint="eastAsia" w:asciiTheme="minorEastAsia" w:hAnsiTheme="minorEastAsia" w:eastAsiaTheme="minorEastAsia"/>
          <w:b/>
          <w:color w:val="auto"/>
          <w:sz w:val="24"/>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69BCF6DF">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703FF391">
      <w:pPr>
        <w:keepNext w:val="0"/>
        <w:keepLines w:val="0"/>
        <w:widowControl/>
        <w:suppressLineNumbers w:val="0"/>
        <w:spacing w:before="0" w:beforeAutospacing="0" w:after="0" w:afterAutospacing="0" w:line="400" w:lineRule="exact"/>
        <w:ind w:left="0" w:right="240" w:firstLine="1807" w:firstLineChars="750"/>
        <w:jc w:val="right"/>
        <w:rPr>
          <w:rFonts w:hint="eastAsia" w:ascii="宋体" w:hAnsi="宋体" w:eastAsia="宋体" w:cs="宋体"/>
          <w:b/>
          <w:bCs/>
          <w:color w:val="auto"/>
          <w:kern w:val="2"/>
          <w:sz w:val="24"/>
          <w:szCs w:val="24"/>
          <w:highlight w:val="none"/>
          <w:lang w:val="en-US" w:eastAsia="zh-CN" w:bidi="ar"/>
        </w:rPr>
      </w:pPr>
    </w:p>
    <w:p w14:paraId="14426A76">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99C9A05">
      <w:pPr>
        <w:spacing w:line="360" w:lineRule="auto"/>
        <w:ind w:firstLine="3614" w:firstLineChars="1500"/>
        <w:rPr>
          <w:rFonts w:hint="eastAsia" w:ascii="宋体" w:hAnsi="宋体" w:eastAsia="宋体"/>
          <w:b/>
          <w:bCs/>
          <w:color w:val="auto"/>
          <w:sz w:val="24"/>
          <w:highlight w:val="none"/>
        </w:rPr>
      </w:pPr>
    </w:p>
    <w:p w14:paraId="74875C96">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6D1736C">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eastAsia="zh-CN"/>
        </w:rPr>
      </w:pPr>
      <w:bookmarkStart w:id="81" w:name="_Toc19122"/>
      <w:bookmarkStart w:id="82" w:name="_Toc24283"/>
    </w:p>
    <w:p w14:paraId="733E79BF">
      <w:pPr>
        <w:rPr>
          <w:rFonts w:hint="eastAsia"/>
          <w:lang w:eastAsia="zh-CN"/>
        </w:rPr>
      </w:pPr>
    </w:p>
    <w:p w14:paraId="1EB022C9">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三、谈判响应函</w:t>
      </w:r>
      <w:bookmarkEnd w:id="81"/>
      <w:bookmarkEnd w:id="82"/>
    </w:p>
    <w:p w14:paraId="349C4EF4">
      <w:pPr>
        <w:pStyle w:val="23"/>
        <w:spacing w:beforeAutospacing="0" w:line="360" w:lineRule="auto"/>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szCs w:val="24"/>
          <w:highlight w:val="none"/>
          <w:u w:val="single"/>
          <w:lang w:eastAsia="zh-CN"/>
        </w:rPr>
        <w:t>采购人</w:t>
      </w:r>
    </w:p>
    <w:p w14:paraId="5A4C3DF2">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83" w:name="_Hlk44287576"/>
      <w:r>
        <w:rPr>
          <w:rFonts w:hint="eastAsia" w:ascii="宋体" w:hAnsi="宋体" w:eastAsia="宋体"/>
          <w:color w:val="auto"/>
          <w:sz w:val="24"/>
          <w:highlight w:val="none"/>
        </w:rPr>
        <w:t>竞争性谈判公告和谈判邀请</w:t>
      </w:r>
      <w:bookmarkEnd w:id="83"/>
      <w:r>
        <w:rPr>
          <w:rFonts w:hint="eastAsia" w:ascii="宋体" w:hAnsi="宋体" w:eastAsia="宋体"/>
          <w:color w:val="auto"/>
          <w:sz w:val="24"/>
          <w:highlight w:val="none"/>
        </w:rPr>
        <w:t>，我方兹宣布同意如下：</w:t>
      </w:r>
    </w:p>
    <w:p w14:paraId="3DDDE64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72B4FC9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87DDE1F">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70B84A41">
      <w:pPr>
        <w:spacing w:line="360" w:lineRule="auto"/>
        <w:ind w:firstLine="3614" w:firstLineChars="1500"/>
        <w:rPr>
          <w:rFonts w:hint="eastAsia" w:ascii="宋体" w:hAnsi="宋体" w:eastAsia="宋体"/>
          <w:b/>
          <w:bCs/>
          <w:color w:val="auto"/>
          <w:sz w:val="24"/>
          <w:highlight w:val="none"/>
        </w:rPr>
      </w:pPr>
    </w:p>
    <w:p w14:paraId="33A08240">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7F743106">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5D6870D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45BD3019">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252ADD4">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20DA9185">
      <w:pPr>
        <w:rPr>
          <w:rFonts w:hint="eastAsia" w:asciiTheme="majorEastAsia" w:hAnsiTheme="majorEastAsia" w:eastAsiaTheme="majorEastAsia" w:cstheme="majorEastAsia"/>
          <w:color w:val="auto"/>
          <w:sz w:val="28"/>
          <w:szCs w:val="28"/>
          <w:highlight w:val="none"/>
          <w:lang w:val="en-US" w:eastAsia="zh-CN"/>
        </w:rPr>
      </w:pPr>
    </w:p>
    <w:p w14:paraId="3AAF181B">
      <w:pPr>
        <w:pStyle w:val="16"/>
        <w:rPr>
          <w:rFonts w:hint="eastAsia"/>
          <w:lang w:val="en-US" w:eastAsia="zh-CN"/>
        </w:rPr>
      </w:pPr>
    </w:p>
    <w:p w14:paraId="08FB837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4" w:name="_Toc25337"/>
    </w:p>
    <w:p w14:paraId="6E1E6CC2">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val="en-US" w:eastAsia="zh-CN"/>
        </w:rPr>
        <w:t>四、供应商资格声明书</w:t>
      </w:r>
      <w:bookmarkEnd w:id="84"/>
      <w:r>
        <w:rPr>
          <w:rFonts w:hint="eastAsia" w:asciiTheme="majorEastAsia" w:hAnsiTheme="majorEastAsia" w:eastAsiaTheme="majorEastAsia" w:cstheme="majorEastAsia"/>
          <w:color w:val="auto"/>
          <w:sz w:val="28"/>
          <w:szCs w:val="28"/>
          <w:highlight w:val="none"/>
          <w:lang w:val="en-US" w:eastAsia="zh-CN"/>
        </w:rPr>
        <w:t xml:space="preserve"> </w:t>
      </w:r>
    </w:p>
    <w:p w14:paraId="20B4AF61">
      <w:pPr>
        <w:pStyle w:val="23"/>
        <w:spacing w:beforeAutospacing="0" w:line="360" w:lineRule="auto"/>
        <w:ind w:left="0" w:leftChars="0" w:firstLine="0" w:firstLineChars="0"/>
        <w:rPr>
          <w:rFonts w:hint="eastAsia" w:ascii="宋体" w:hAnsi="宋体"/>
          <w:b/>
          <w:bCs/>
          <w:color w:val="auto"/>
          <w:sz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BCB1B15">
      <w:pPr>
        <w:pStyle w:val="5"/>
        <w:numPr>
          <w:ilvl w:val="0"/>
          <w:numId w:val="0"/>
        </w:numPr>
        <w:shd w:val="clear" w:color="auto" w:fill="FFFFFF"/>
        <w:tabs>
          <w:tab w:val="left" w:pos="2730"/>
        </w:tabs>
        <w:jc w:val="center"/>
        <w:rPr>
          <w:rFonts w:hint="eastAsia" w:asciiTheme="majorEastAsia" w:hAnsiTheme="majorEastAsia" w:eastAsiaTheme="majorEastAsia" w:cstheme="majorEastAsia"/>
          <w:color w:val="auto"/>
          <w:sz w:val="28"/>
          <w:szCs w:val="28"/>
          <w:highlight w:val="none"/>
          <w:lang w:val="en-US" w:eastAsia="zh-CN"/>
        </w:rPr>
      </w:pPr>
    </w:p>
    <w:p w14:paraId="3D9EDC0C">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39D803A6">
      <w:pPr>
        <w:spacing w:line="360" w:lineRule="auto"/>
        <w:ind w:firstLine="3614" w:firstLineChars="1500"/>
        <w:rPr>
          <w:rFonts w:hint="eastAsia" w:ascii="宋体" w:hAnsi="宋体" w:eastAsia="宋体"/>
          <w:b/>
          <w:bCs/>
          <w:color w:val="auto"/>
          <w:sz w:val="24"/>
          <w:highlight w:val="none"/>
        </w:rPr>
      </w:pPr>
    </w:p>
    <w:p w14:paraId="25B255B8">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4E9CD12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5" w:name="_Toc15728"/>
    </w:p>
    <w:p w14:paraId="470FDA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3C8C2F2">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752CCF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BD5C47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110CE1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3C2AD1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74DC36F">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70DC9F5B">
      <w:pPr>
        <w:spacing w:line="360" w:lineRule="auto"/>
        <w:jc w:val="both"/>
        <w:outlineLvl w:val="1"/>
        <w:rPr>
          <w:rFonts w:hint="eastAsia" w:asciiTheme="minorEastAsia" w:hAnsiTheme="minorEastAsia" w:eastAsiaTheme="minorEastAsia"/>
          <w:b/>
          <w:color w:val="auto"/>
          <w:sz w:val="24"/>
          <w:highlight w:val="none"/>
          <w:lang w:val="en-US" w:eastAsia="zh-CN"/>
        </w:rPr>
      </w:pPr>
    </w:p>
    <w:p w14:paraId="4F14ACD3">
      <w:pPr>
        <w:pStyle w:val="5"/>
        <w:numPr>
          <w:ilvl w:val="0"/>
          <w:numId w:val="0"/>
        </w:numPr>
        <w:shd w:val="clear" w:color="auto" w:fill="FFFFFF"/>
        <w:tabs>
          <w:tab w:val="left" w:pos="2730"/>
        </w:tabs>
        <w:spacing w:after="0" w:afterAutospacing="0"/>
        <w:jc w:val="center"/>
        <w:rPr>
          <w:rFonts w:hAnsi="宋体" w:eastAsia="宋体"/>
          <w:color w:val="auto"/>
          <w:sz w:val="24"/>
          <w:szCs w:val="28"/>
          <w:highlight w:val="none"/>
        </w:rPr>
      </w:pPr>
      <w:r>
        <w:rPr>
          <w:rFonts w:hint="eastAsia" w:asciiTheme="majorEastAsia" w:hAnsiTheme="majorEastAsia" w:eastAsiaTheme="majorEastAsia" w:cstheme="majorEastAsia"/>
          <w:color w:val="auto"/>
          <w:sz w:val="28"/>
          <w:szCs w:val="28"/>
          <w:highlight w:val="none"/>
          <w:lang w:val="en-US" w:eastAsia="zh-CN"/>
        </w:rPr>
        <w:t>五、授权书</w:t>
      </w:r>
      <w:bookmarkEnd w:id="85"/>
    </w:p>
    <w:p w14:paraId="4ED97A1D">
      <w:pPr>
        <w:pStyle w:val="21"/>
        <w:keepNext w:val="0"/>
        <w:keepLines w:val="0"/>
        <w:pageBreakBefore w:val="0"/>
        <w:widowControl w:val="0"/>
        <w:kinsoku/>
        <w:wordWrap/>
        <w:overflowPunct/>
        <w:topLinePunct w:val="0"/>
        <w:autoSpaceDE/>
        <w:autoSpaceDN/>
        <w:bidi w:val="0"/>
        <w:adjustRightInd w:val="0"/>
        <w:snapToGrid w:val="0"/>
        <w:spacing w:beforeAutospacing="0"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2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21"/>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baseline"/>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21"/>
        <w:snapToGrid w:val="0"/>
        <w:spacing w:line="360" w:lineRule="auto"/>
        <w:ind w:firstLine="480" w:firstLineChars="200"/>
        <w:jc w:val="left"/>
        <w:rPr>
          <w:rFonts w:hAnsi="宋体" w:eastAsia="宋体"/>
          <w:color w:val="auto"/>
          <w:sz w:val="24"/>
          <w:highlight w:val="none"/>
        </w:rPr>
      </w:pPr>
    </w:p>
    <w:p w14:paraId="6BA4092A">
      <w:pPr>
        <w:pStyle w:val="21"/>
        <w:snapToGrid w:val="0"/>
        <w:spacing w:line="360" w:lineRule="auto"/>
        <w:ind w:firstLine="480" w:firstLineChars="200"/>
        <w:jc w:val="left"/>
        <w:rPr>
          <w:rFonts w:hAnsi="宋体" w:eastAsia="宋体"/>
          <w:color w:val="auto"/>
          <w:sz w:val="24"/>
          <w:highlight w:val="none"/>
        </w:rPr>
      </w:pPr>
    </w:p>
    <w:p w14:paraId="5B267070">
      <w:pPr>
        <w:pStyle w:val="21"/>
        <w:snapToGrid w:val="0"/>
        <w:spacing w:line="360" w:lineRule="auto"/>
        <w:jc w:val="left"/>
        <w:rPr>
          <w:rFonts w:hAnsi="宋体" w:eastAsia="宋体"/>
          <w:color w:val="auto"/>
          <w:sz w:val="24"/>
          <w:highlight w:val="none"/>
        </w:rPr>
      </w:pPr>
    </w:p>
    <w:p w14:paraId="15517265">
      <w:pPr>
        <w:pStyle w:val="2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21"/>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2D87654A">
      <w:pPr>
        <w:pStyle w:val="16"/>
        <w:rPr>
          <w:rFonts w:hint="eastAsia" w:ascii="宋体" w:hAnsi="宋体" w:eastAsia="宋体"/>
          <w:color w:val="auto"/>
          <w:sz w:val="24"/>
          <w:szCs w:val="28"/>
          <w:highlight w:val="none"/>
        </w:rPr>
      </w:pPr>
    </w:p>
    <w:p w14:paraId="0F4FA5C3">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1DEB0730">
      <w:pPr>
        <w:spacing w:line="360" w:lineRule="auto"/>
        <w:ind w:firstLine="3614" w:firstLineChars="1500"/>
        <w:rPr>
          <w:rFonts w:hint="eastAsia" w:ascii="宋体" w:hAnsi="宋体" w:eastAsia="宋体"/>
          <w:b/>
          <w:bCs/>
          <w:color w:val="auto"/>
          <w:sz w:val="24"/>
          <w:highlight w:val="none"/>
        </w:rPr>
      </w:pPr>
    </w:p>
    <w:p w14:paraId="2B1944E1">
      <w:pPr>
        <w:spacing w:line="360" w:lineRule="auto"/>
        <w:ind w:firstLine="3614" w:firstLineChars="1500"/>
        <w:rPr>
          <w:rFonts w:hint="eastAsia" w:ascii="宋体" w:hAnsi="宋体" w:eastAsia="宋体"/>
          <w:color w:val="auto"/>
          <w:sz w:val="24"/>
          <w:highlight w:val="none"/>
          <w:u w:val="single"/>
          <w:lang w:val="en-US" w:eastAsia="zh-CN"/>
        </w:rPr>
      </w:pPr>
      <w:r>
        <w:rPr>
          <w:rFonts w:hint="eastAsia" w:ascii="宋体" w:hAnsi="宋体" w:eastAsia="宋体"/>
          <w:b/>
          <w:bCs/>
          <w:color w:val="auto"/>
          <w:sz w:val="24"/>
          <w:highlight w:val="none"/>
        </w:rPr>
        <w:t>日</w:t>
      </w:r>
      <w:r>
        <w:rPr>
          <w:rFonts w:hint="eastAsia" w:ascii="宋体" w:hAnsi="宋体"/>
          <w:b/>
          <w:bCs/>
          <w:color w:val="auto"/>
          <w:sz w:val="24"/>
          <w:highlight w:val="none"/>
          <w:lang w:val="en-US" w:eastAsia="zh-CN"/>
        </w:rPr>
        <w:t xml:space="preserve"> </w:t>
      </w:r>
      <w:r>
        <w:rPr>
          <w:rFonts w:hint="eastAsia" w:ascii="宋体" w:hAnsi="宋体" w:eastAsia="宋体"/>
          <w:b/>
          <w:bCs/>
          <w:color w:val="auto"/>
          <w:sz w:val="24"/>
          <w:highlight w:val="none"/>
        </w:rPr>
        <w:t>期：</w:t>
      </w:r>
      <w:r>
        <w:rPr>
          <w:rFonts w:hint="eastAsia" w:ascii="宋体" w:hAnsi="宋体" w:eastAsia="宋体"/>
          <w:b/>
          <w:bCs/>
          <w:color w:val="auto"/>
          <w:sz w:val="24"/>
          <w:highlight w:val="none"/>
          <w:u w:val="single"/>
        </w:rPr>
        <w:t xml:space="preserve">                      </w:t>
      </w:r>
    </w:p>
    <w:p w14:paraId="0BDE5D0D">
      <w:pPr>
        <w:pStyle w:val="16"/>
        <w:rPr>
          <w:rFonts w:hint="eastAsia" w:ascii="宋体" w:hAnsi="宋体" w:eastAsia="宋体"/>
          <w:color w:val="auto"/>
          <w:sz w:val="24"/>
          <w:szCs w:val="28"/>
          <w:highlight w:val="none"/>
        </w:rPr>
      </w:pPr>
    </w:p>
    <w:p w14:paraId="34211D56">
      <w:pPr>
        <w:pStyle w:val="16"/>
        <w:rPr>
          <w:rFonts w:hint="eastAsia" w:ascii="宋体" w:hAnsi="宋体" w:eastAsia="宋体"/>
          <w:color w:val="auto"/>
          <w:sz w:val="24"/>
          <w:szCs w:val="28"/>
          <w:highlight w:val="none"/>
        </w:rPr>
      </w:pPr>
    </w:p>
    <w:p w14:paraId="62B29EEE">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2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5B31333C">
      <w:pPr>
        <w:pStyle w:val="21"/>
        <w:snapToGrid w:val="0"/>
        <w:spacing w:line="360" w:lineRule="auto"/>
        <w:jc w:val="left"/>
        <w:rPr>
          <w:rFonts w:hint="eastAsia" w:ascii="宋体"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CACD51A">
      <w:pPr>
        <w:pStyle w:val="5"/>
        <w:numPr>
          <w:ilvl w:val="0"/>
          <w:numId w:val="0"/>
        </w:numPr>
        <w:shd w:val="clear" w:color="auto" w:fill="FFFFFF"/>
        <w:tabs>
          <w:tab w:val="left" w:pos="2730"/>
        </w:tabs>
        <w:jc w:val="both"/>
        <w:rPr>
          <w:rFonts w:hint="eastAsia" w:asciiTheme="majorEastAsia" w:hAnsiTheme="majorEastAsia" w:eastAsiaTheme="majorEastAsia" w:cstheme="majorEastAsia"/>
          <w:color w:val="auto"/>
          <w:sz w:val="28"/>
          <w:szCs w:val="28"/>
          <w:highlight w:val="none"/>
          <w:lang w:val="en-US" w:eastAsia="zh-CN"/>
        </w:rPr>
      </w:pPr>
    </w:p>
    <w:p w14:paraId="479FB996">
      <w:pPr>
        <w:rPr>
          <w:rFonts w:hint="eastAsia" w:asciiTheme="majorEastAsia" w:hAnsiTheme="majorEastAsia" w:eastAsiaTheme="majorEastAsia" w:cstheme="majorEastAsia"/>
          <w:color w:val="auto"/>
          <w:sz w:val="28"/>
          <w:szCs w:val="28"/>
          <w:highlight w:val="none"/>
          <w:lang w:val="en-US" w:eastAsia="zh-CN"/>
        </w:rPr>
      </w:pPr>
    </w:p>
    <w:p w14:paraId="6B436E49">
      <w:pPr>
        <w:pStyle w:val="16"/>
        <w:rPr>
          <w:rFonts w:hint="eastAsia"/>
          <w:lang w:val="en-US" w:eastAsia="zh-CN"/>
        </w:rPr>
      </w:pPr>
    </w:p>
    <w:p w14:paraId="032A22B4">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六、谈判响应表</w:t>
      </w:r>
    </w:p>
    <w:bookmarkEnd w:id="78"/>
    <w:p w14:paraId="7E1F6F17">
      <w:pPr>
        <w:spacing w:beforeAutospacing="0" w:line="360" w:lineRule="auto"/>
        <w:ind w:firstLine="240" w:firstLineChars="100"/>
        <w:rPr>
          <w:rFonts w:ascii="宋体" w:hAnsi="宋体"/>
          <w:color w:val="auto"/>
          <w:sz w:val="24"/>
          <w:szCs w:val="24"/>
          <w:highlight w:val="none"/>
        </w:rPr>
      </w:pPr>
      <w:bookmarkStart w:id="86" w:name="_Toc476584436"/>
      <w:bookmarkStart w:id="87" w:name="_Toc15038"/>
      <w:bookmarkStart w:id="88" w:name="_Toc54941345"/>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商务要求响应表：</w:t>
      </w:r>
    </w:p>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rPr>
              <w:t>供货及安装地点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rPr>
              <w:t>供货及安装期限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3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lang w:val="en-US"/>
              </w:rPr>
              <w:t>4</w:t>
            </w:r>
          </w:p>
        </w:tc>
        <w:tc>
          <w:tcPr>
            <w:tcW w:w="1927" w:type="dxa"/>
            <w:vAlign w:val="center"/>
          </w:tcPr>
          <w:p w14:paraId="386125B9">
            <w:pPr>
              <w:jc w:val="center"/>
              <w:rPr>
                <w:rFonts w:ascii="宋体" w:hAnsi="宋体"/>
                <w:color w:val="auto"/>
                <w:sz w:val="24"/>
                <w:highlight w:val="none"/>
              </w:rPr>
            </w:pPr>
            <w:r>
              <w:rPr>
                <w:rFonts w:hint="eastAsia" w:ascii="宋体" w:hAnsi="宋体"/>
                <w:color w:val="auto"/>
                <w:sz w:val="24"/>
                <w:highlight w:val="none"/>
                <w:lang w:val="en-US" w:eastAsia="zh-CN"/>
              </w:rPr>
              <w:t>免费质保期</w:t>
            </w: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pStyle w:val="134"/>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r w14:paraId="4C6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A3CAB66">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1927" w:type="dxa"/>
            <w:vAlign w:val="center"/>
          </w:tcPr>
          <w:p w14:paraId="2C900FAD">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商品包装要求</w:t>
            </w:r>
          </w:p>
        </w:tc>
        <w:tc>
          <w:tcPr>
            <w:tcW w:w="2215" w:type="dxa"/>
            <w:vAlign w:val="center"/>
          </w:tcPr>
          <w:p w14:paraId="0A626178">
            <w:pPr>
              <w:jc w:val="center"/>
              <w:rPr>
                <w:rFonts w:asciiTheme="minorEastAsia" w:hAnsiTheme="minorEastAsia" w:eastAsiaTheme="minorEastAsia"/>
                <w:color w:val="auto"/>
                <w:sz w:val="24"/>
                <w:highlight w:val="none"/>
              </w:rPr>
            </w:pPr>
          </w:p>
        </w:tc>
        <w:tc>
          <w:tcPr>
            <w:tcW w:w="2347" w:type="dxa"/>
            <w:vAlign w:val="center"/>
          </w:tcPr>
          <w:p w14:paraId="74AACE9B">
            <w:pPr>
              <w:pStyle w:val="134"/>
              <w:jc w:val="center"/>
              <w:rPr>
                <w:rFonts w:asciiTheme="minorEastAsia" w:hAnsiTheme="minorEastAsia" w:eastAsiaTheme="minorEastAsia"/>
                <w:color w:val="auto"/>
                <w:sz w:val="24"/>
                <w:highlight w:val="none"/>
              </w:rPr>
            </w:pPr>
          </w:p>
        </w:tc>
        <w:tc>
          <w:tcPr>
            <w:tcW w:w="1235" w:type="dxa"/>
            <w:vAlign w:val="center"/>
          </w:tcPr>
          <w:p w14:paraId="7FCFE601">
            <w:pPr>
              <w:jc w:val="center"/>
              <w:rPr>
                <w:rFonts w:asciiTheme="minorEastAsia" w:hAnsiTheme="minorEastAsia" w:eastAsiaTheme="minorEastAsia"/>
                <w:color w:val="auto"/>
                <w:sz w:val="24"/>
                <w:highlight w:val="none"/>
              </w:rPr>
            </w:pPr>
          </w:p>
        </w:tc>
      </w:tr>
    </w:tbl>
    <w:p w14:paraId="0C697D04">
      <w:pPr>
        <w:spacing w:line="360" w:lineRule="auto"/>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3.2技术要求响应表：</w:t>
      </w:r>
    </w:p>
    <w:tbl>
      <w:tblPr>
        <w:tblStyle w:val="41"/>
        <w:tblpPr w:leftFromText="180" w:rightFromText="180" w:vertAnchor="text" w:horzAnchor="page" w:tblpXSpec="center" w:tblpY="62"/>
        <w:tblOverlap w:val="never"/>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10"/>
        <w:gridCol w:w="2422"/>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780"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10"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422"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生产厂家、品牌、型号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44C28D43">
            <w:pPr>
              <w:spacing w:line="360" w:lineRule="auto"/>
              <w:jc w:val="center"/>
              <w:rPr>
                <w:rFonts w:ascii="宋体" w:hAnsi="宋体"/>
                <w:color w:val="auto"/>
                <w:spacing w:val="-4"/>
                <w:szCs w:val="21"/>
                <w:highlight w:val="none"/>
              </w:rPr>
            </w:pPr>
          </w:p>
        </w:tc>
        <w:tc>
          <w:tcPr>
            <w:tcW w:w="1410" w:type="dxa"/>
            <w:vAlign w:val="center"/>
          </w:tcPr>
          <w:p w14:paraId="714D379B">
            <w:pPr>
              <w:spacing w:line="360" w:lineRule="auto"/>
              <w:jc w:val="center"/>
              <w:rPr>
                <w:rFonts w:ascii="宋体" w:hAnsi="宋体"/>
                <w:color w:val="auto"/>
                <w:szCs w:val="21"/>
                <w:highlight w:val="none"/>
              </w:rPr>
            </w:pPr>
          </w:p>
        </w:tc>
        <w:tc>
          <w:tcPr>
            <w:tcW w:w="2422"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12D3892C">
            <w:pPr>
              <w:spacing w:line="360" w:lineRule="auto"/>
              <w:jc w:val="center"/>
              <w:rPr>
                <w:rFonts w:ascii="宋体" w:hAnsi="宋体"/>
                <w:color w:val="auto"/>
                <w:spacing w:val="-4"/>
                <w:szCs w:val="21"/>
                <w:highlight w:val="none"/>
              </w:rPr>
            </w:pPr>
          </w:p>
        </w:tc>
        <w:tc>
          <w:tcPr>
            <w:tcW w:w="1410" w:type="dxa"/>
            <w:vAlign w:val="center"/>
          </w:tcPr>
          <w:p w14:paraId="5D5A3367">
            <w:pPr>
              <w:spacing w:line="360" w:lineRule="auto"/>
              <w:jc w:val="center"/>
              <w:rPr>
                <w:rFonts w:ascii="宋体" w:hAnsi="宋体"/>
                <w:color w:val="auto"/>
                <w:szCs w:val="21"/>
                <w:highlight w:val="none"/>
              </w:rPr>
            </w:pPr>
          </w:p>
        </w:tc>
        <w:tc>
          <w:tcPr>
            <w:tcW w:w="2422"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674111F6">
            <w:pPr>
              <w:spacing w:line="360" w:lineRule="auto"/>
              <w:jc w:val="center"/>
              <w:rPr>
                <w:rFonts w:ascii="宋体" w:hAnsi="宋体"/>
                <w:color w:val="auto"/>
                <w:spacing w:val="-4"/>
                <w:szCs w:val="21"/>
                <w:highlight w:val="none"/>
              </w:rPr>
            </w:pPr>
          </w:p>
        </w:tc>
        <w:tc>
          <w:tcPr>
            <w:tcW w:w="1410" w:type="dxa"/>
            <w:vAlign w:val="center"/>
          </w:tcPr>
          <w:p w14:paraId="6F34785F">
            <w:pPr>
              <w:spacing w:line="360" w:lineRule="auto"/>
              <w:jc w:val="center"/>
              <w:rPr>
                <w:rFonts w:ascii="宋体" w:hAnsi="宋体"/>
                <w:color w:val="auto"/>
                <w:szCs w:val="21"/>
                <w:highlight w:val="none"/>
              </w:rPr>
            </w:pPr>
          </w:p>
        </w:tc>
        <w:tc>
          <w:tcPr>
            <w:tcW w:w="2422"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0"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410" w:type="dxa"/>
            <w:vAlign w:val="center"/>
          </w:tcPr>
          <w:p w14:paraId="43DADBE0">
            <w:pPr>
              <w:spacing w:line="360" w:lineRule="auto"/>
              <w:jc w:val="center"/>
              <w:rPr>
                <w:rFonts w:ascii="宋体" w:hAnsi="宋体"/>
                <w:color w:val="auto"/>
                <w:szCs w:val="21"/>
                <w:highlight w:val="none"/>
              </w:rPr>
            </w:pPr>
          </w:p>
        </w:tc>
        <w:tc>
          <w:tcPr>
            <w:tcW w:w="2422"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7231BCDF">
      <w:pPr>
        <w:tabs>
          <w:tab w:val="left" w:pos="1815"/>
        </w:tabs>
        <w:spacing w:line="360" w:lineRule="auto"/>
        <w:rPr>
          <w:rFonts w:ascii="宋体" w:hAnsi="宋体" w:cs="Arial"/>
          <w:b/>
          <w:color w:val="auto"/>
          <w:szCs w:val="21"/>
          <w:highlight w:val="none"/>
        </w:rPr>
      </w:pPr>
    </w:p>
    <w:p w14:paraId="2CC41C37">
      <w:pPr>
        <w:tabs>
          <w:tab w:val="left" w:pos="1815"/>
        </w:tabs>
        <w:spacing w:line="360" w:lineRule="auto"/>
        <w:rPr>
          <w:rFonts w:ascii="宋体" w:hAnsi="宋体" w:cs="Arial"/>
          <w:b/>
          <w:color w:val="auto"/>
          <w:szCs w:val="21"/>
          <w:highlight w:val="none"/>
        </w:rPr>
      </w:pPr>
      <w:r>
        <w:rPr>
          <w:rFonts w:ascii="宋体" w:hAnsi="宋体" w:cs="Arial"/>
          <w:b/>
          <w:color w:val="auto"/>
          <w:szCs w:val="21"/>
          <w:highlight w:val="none"/>
        </w:rPr>
        <w:t>注：</w:t>
      </w:r>
    </w:p>
    <w:p w14:paraId="0FF5BDF8">
      <w:pPr>
        <w:tabs>
          <w:tab w:val="left" w:pos="1815"/>
        </w:tabs>
        <w:spacing w:line="360" w:lineRule="auto"/>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afterAutospacing="0" w:line="360" w:lineRule="auto"/>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5"/>
        <w:tabs>
          <w:tab w:val="left" w:pos="2730"/>
        </w:tabs>
        <w:spacing w:before="0" w:beforeAutospacing="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b/>
          <w:bCs/>
          <w:color w:val="auto"/>
          <w:sz w:val="24"/>
          <w:szCs w:val="24"/>
          <w:highlight w:val="none"/>
        </w:rPr>
      </w:pP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622DDD5A">
      <w:pPr>
        <w:spacing w:line="360" w:lineRule="auto"/>
        <w:ind w:firstLine="3614" w:firstLineChars="1500"/>
        <w:rPr>
          <w:rFonts w:hint="eastAsia" w:ascii="宋体" w:hAnsi="宋体" w:eastAsia="宋体"/>
          <w:b/>
          <w:bCs/>
          <w:color w:val="auto"/>
          <w:sz w:val="24"/>
          <w:highlight w:val="none"/>
        </w:rPr>
      </w:pPr>
    </w:p>
    <w:p w14:paraId="6279155D">
      <w:pPr>
        <w:spacing w:line="360" w:lineRule="auto"/>
        <w:ind w:firstLine="3132" w:firstLineChars="1300"/>
        <w:rPr>
          <w:rFonts w:hint="eastAsia"/>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bookmarkEnd w:id="86"/>
    <w:bookmarkEnd w:id="87"/>
    <w:bookmarkEnd w:id="88"/>
    <w:p w14:paraId="37380186">
      <w:pPr>
        <w:pStyle w:val="5"/>
        <w:numPr>
          <w:ilvl w:val="0"/>
          <w:numId w:val="0"/>
        </w:numPr>
        <w:shd w:val="clear" w:color="auto" w:fill="FFFFFF"/>
        <w:tabs>
          <w:tab w:val="left" w:pos="2730"/>
        </w:tabs>
        <w:spacing w:before="0" w:beforeAutospacing="0"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七、供货及技术方案</w:t>
      </w:r>
    </w:p>
    <w:p w14:paraId="01B3AE3C">
      <w:pPr>
        <w:spacing w:beforeAutospacing="0" w:line="360" w:lineRule="auto"/>
        <w:ind w:firstLine="435"/>
        <w:jc w:val="center"/>
        <w:rPr>
          <w:color w:val="auto"/>
          <w:sz w:val="24"/>
          <w:szCs w:val="22"/>
          <w:highlight w:val="none"/>
        </w:rPr>
      </w:pPr>
      <w:r>
        <w:rPr>
          <w:rFonts w:hint="eastAsia"/>
          <w:color w:val="auto"/>
          <w:sz w:val="24"/>
          <w:szCs w:val="22"/>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514299F6">
      <w:pPr>
        <w:pStyle w:val="5"/>
        <w:numPr>
          <w:ilvl w:val="0"/>
          <w:numId w:val="0"/>
        </w:numPr>
        <w:shd w:val="clear" w:color="auto" w:fill="FFFFFF"/>
        <w:tabs>
          <w:tab w:val="left" w:pos="2730"/>
        </w:tabs>
        <w:spacing w:after="0" w:afterAutospacing="0"/>
        <w:jc w:val="center"/>
        <w:rPr>
          <w:rFonts w:asciiTheme="minorEastAsia" w:hAnsiTheme="minorEastAsia" w:eastAsiaTheme="minorEastAsia"/>
          <w:b/>
          <w:bCs/>
          <w:color w:val="auto"/>
          <w:sz w:val="24"/>
          <w:highlight w:val="none"/>
        </w:rPr>
      </w:pPr>
      <w:r>
        <w:rPr>
          <w:rFonts w:hint="eastAsia" w:asciiTheme="majorEastAsia" w:hAnsiTheme="majorEastAsia" w:eastAsiaTheme="majorEastAsia" w:cstheme="majorEastAsia"/>
          <w:color w:val="auto"/>
          <w:sz w:val="28"/>
          <w:szCs w:val="28"/>
          <w:highlight w:val="none"/>
          <w:lang w:val="en-US" w:eastAsia="zh-CN"/>
        </w:rPr>
        <w:t>八、诚信履约承诺函</w:t>
      </w:r>
    </w:p>
    <w:p w14:paraId="514FE3D6">
      <w:pPr>
        <w:spacing w:beforeAutospacing="0"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79B8C35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117FE65">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CE697F3">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BBF9860">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A21CD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4BA5C395">
      <w:pPr>
        <w:pStyle w:val="5"/>
        <w:keepNext/>
        <w:keepLines/>
        <w:pageBreakBefore w:val="0"/>
        <w:widowControl w:val="0"/>
        <w:tabs>
          <w:tab w:val="left" w:pos="2730"/>
        </w:tabs>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7" w:firstLineChars="750"/>
        <w:jc w:val="right"/>
        <w:rPr>
          <w:b/>
          <w:bCs/>
          <w:color w:val="auto"/>
          <w:sz w:val="24"/>
          <w:szCs w:val="24"/>
          <w:highlight w:val="none"/>
        </w:rPr>
      </w:pPr>
      <w:r>
        <w:rPr>
          <w:rFonts w:hint="eastAsia" w:ascii="宋体" w:hAnsi="宋体" w:cs="宋体"/>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供应商：</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（盖单位公章）</w:t>
      </w:r>
    </w:p>
    <w:p w14:paraId="0C3EB2A6">
      <w:pPr>
        <w:spacing w:line="360" w:lineRule="auto"/>
        <w:ind w:firstLine="3614" w:firstLineChars="1500"/>
        <w:rPr>
          <w:rFonts w:hint="eastAsia" w:ascii="宋体" w:hAnsi="宋体" w:eastAsia="宋体"/>
          <w:b/>
          <w:bCs/>
          <w:color w:val="auto"/>
          <w:sz w:val="24"/>
          <w:highlight w:val="none"/>
        </w:rPr>
      </w:pPr>
    </w:p>
    <w:p w14:paraId="47C143BC">
      <w:pPr>
        <w:spacing w:line="360" w:lineRule="auto"/>
        <w:ind w:firstLine="3614" w:firstLineChars="1500"/>
        <w:rPr>
          <w:rFonts w:hint="eastAsia" w:hAnsi="宋体" w:cs="宋体"/>
          <w:b/>
          <w:bCs/>
          <w:color w:val="auto"/>
          <w:highlight w:val="none"/>
        </w:rPr>
      </w:pPr>
      <w:r>
        <w:rPr>
          <w:rFonts w:hint="eastAsia" w:ascii="宋体" w:hAnsi="宋体" w:eastAsia="宋体"/>
          <w:b/>
          <w:bCs/>
          <w:color w:val="auto"/>
          <w:sz w:val="24"/>
          <w:highlight w:val="none"/>
        </w:rPr>
        <w:t>日期：</w:t>
      </w:r>
      <w:r>
        <w:rPr>
          <w:rFonts w:hint="eastAsia" w:ascii="宋体" w:hAnsi="宋体" w:eastAsia="宋体"/>
          <w:b/>
          <w:bCs/>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5C1B8C5E">
      <w:pPr>
        <w:spacing w:line="360" w:lineRule="auto"/>
        <w:ind w:firstLine="4200" w:firstLineChars="1500"/>
        <w:rPr>
          <w:rFonts w:hint="eastAsia" w:ascii="宋体" w:hAnsi="宋体" w:eastAsia="宋体" w:cs="宋体"/>
          <w:b/>
          <w:color w:val="auto"/>
          <w:kern w:val="2"/>
          <w:sz w:val="28"/>
          <w:szCs w:val="28"/>
          <w:highlight w:val="none"/>
          <w:shd w:val="clear" w:color="auto" w:fill="FFFFFF"/>
          <w:lang w:val="en-US" w:eastAsia="zh-CN" w:bidi="ar-SA"/>
        </w:rPr>
      </w:pPr>
      <w:bookmarkStart w:id="89" w:name="_Toc7076"/>
      <w:r>
        <w:rPr>
          <w:rFonts w:hint="eastAsia" w:hAnsi="宋体"/>
          <w:color w:val="auto"/>
          <w:sz w:val="28"/>
          <w:szCs w:val="28"/>
          <w:highlight w:val="none"/>
          <w:lang w:val="en-US" w:eastAsia="zh-CN"/>
        </w:rPr>
        <w:br w:type="page"/>
      </w:r>
      <w:bookmarkEnd w:id="89"/>
      <w:bookmarkStart w:id="90" w:name="_Toc26186"/>
      <w:bookmarkStart w:id="91" w:name="_Toc22272"/>
    </w:p>
    <w:p w14:paraId="35B1ECF8">
      <w:pPr>
        <w:pStyle w:val="5"/>
        <w:numPr>
          <w:ilvl w:val="0"/>
          <w:numId w:val="0"/>
        </w:numPr>
        <w:shd w:val="clear" w:color="auto" w:fill="FFFFFF"/>
        <w:tabs>
          <w:tab w:val="left" w:pos="2730"/>
        </w:tabs>
        <w:spacing w:after="0" w:afterAutospacing="0"/>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九、其他相关证明</w:t>
      </w:r>
      <w:bookmarkEnd w:id="90"/>
      <w:bookmarkEnd w:id="91"/>
      <w:r>
        <w:rPr>
          <w:rFonts w:hint="eastAsia" w:asciiTheme="majorEastAsia" w:hAnsiTheme="majorEastAsia" w:eastAsiaTheme="majorEastAsia" w:cstheme="majorEastAsia"/>
          <w:color w:val="auto"/>
          <w:sz w:val="28"/>
          <w:szCs w:val="28"/>
          <w:highlight w:val="none"/>
          <w:lang w:val="en-US" w:eastAsia="zh-CN"/>
        </w:rPr>
        <w:t>资料</w:t>
      </w:r>
    </w:p>
    <w:p w14:paraId="2C264593">
      <w:pPr>
        <w:tabs>
          <w:tab w:val="left" w:pos="4620"/>
        </w:tabs>
        <w:spacing w:beforeAutospacing="0" w:line="360" w:lineRule="auto"/>
        <w:jc w:val="center"/>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1A55D87F">
      <w:pPr>
        <w:numPr>
          <w:ilvl w:val="0"/>
          <w:numId w:val="0"/>
        </w:numPr>
        <w:ind w:left="420" w:leftChars="0"/>
        <w:rPr>
          <w:rFonts w:hint="eastAsia"/>
          <w:color w:val="auto"/>
          <w:highlight w:val="none"/>
          <w:lang w:val="en-US" w:eastAsia="zh-CN"/>
        </w:rPr>
      </w:pP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23A7DBE0">
      <w:pPr>
        <w:pStyle w:val="3"/>
        <w:tabs>
          <w:tab w:val="left" w:pos="1440"/>
          <w:tab w:val="left" w:pos="5670"/>
        </w:tabs>
        <w:spacing w:before="0" w:beforeAutospacing="0" w:after="0" w:afterAutospacing="0" w:line="480" w:lineRule="exact"/>
        <w:ind w:firstLine="0" w:firstLineChars="0"/>
        <w:jc w:val="center"/>
        <w:rPr>
          <w:rFonts w:hint="eastAsia" w:ascii="宋体" w:hAnsi="宋体" w:eastAsia="宋体" w:cs="宋体"/>
          <w:b/>
          <w:bCs/>
          <w:color w:val="auto"/>
          <w:kern w:val="2"/>
          <w:sz w:val="36"/>
          <w:szCs w:val="36"/>
          <w:highlight w:val="none"/>
          <w:lang w:val="zh-CN" w:eastAsia="zh-CN"/>
        </w:rPr>
      </w:pPr>
      <w:bookmarkStart w:id="92" w:name="_Toc12703"/>
      <w:bookmarkStart w:id="93" w:name="_Toc2700"/>
      <w:bookmarkStart w:id="94" w:name="_Toc8573"/>
      <w:bookmarkStart w:id="95" w:name="_Toc32741"/>
      <w:r>
        <w:rPr>
          <w:rFonts w:hint="eastAsia" w:ascii="宋体" w:hAnsi="宋体" w:eastAsia="宋体" w:cs="宋体"/>
          <w:b/>
          <w:bCs/>
          <w:color w:val="auto"/>
          <w:kern w:val="2"/>
          <w:sz w:val="36"/>
          <w:szCs w:val="36"/>
          <w:highlight w:val="none"/>
          <w:lang w:val="en-US" w:eastAsia="zh-CN"/>
        </w:rPr>
        <w:t xml:space="preserve">第七章  </w:t>
      </w:r>
      <w:r>
        <w:rPr>
          <w:rFonts w:hint="eastAsia" w:ascii="宋体" w:hAnsi="宋体" w:eastAsia="宋体" w:cs="宋体"/>
          <w:b/>
          <w:bCs/>
          <w:color w:val="auto"/>
          <w:kern w:val="2"/>
          <w:sz w:val="36"/>
          <w:szCs w:val="36"/>
          <w:highlight w:val="none"/>
          <w:lang w:val="zh-CN" w:eastAsia="zh-CN"/>
        </w:rPr>
        <w:t>政府采购供应商质疑函范本</w:t>
      </w:r>
      <w:bookmarkEnd w:id="92"/>
      <w:bookmarkEnd w:id="93"/>
      <w:bookmarkEnd w:id="94"/>
      <w:bookmarkEnd w:id="95"/>
    </w:p>
    <w:p w14:paraId="17E7B375">
      <w:pPr>
        <w:keepNext w:val="0"/>
        <w:keepLines w:val="0"/>
        <w:pageBreakBefore w:val="0"/>
        <w:kinsoku/>
        <w:wordWrap/>
        <w:overflowPunct/>
        <w:topLinePunct w:val="0"/>
        <w:autoSpaceDE/>
        <w:autoSpaceDN/>
        <w:bidi w:val="0"/>
        <w:spacing w:afterAutospacing="0" w:line="360" w:lineRule="exact"/>
        <w:ind w:firstLine="643" w:firstLineChars="200"/>
        <w:jc w:val="center"/>
        <w:textAlignment w:val="auto"/>
        <w:rPr>
          <w:rFonts w:hint="eastAsia" w:ascii="仿宋" w:hAnsi="仿宋" w:eastAsia="仿宋" w:cs="仿宋"/>
          <w:b/>
          <w:bCs/>
          <w:color w:val="auto"/>
          <w:sz w:val="32"/>
          <w:szCs w:val="44"/>
          <w:highlight w:val="none"/>
        </w:rPr>
      </w:pPr>
    </w:p>
    <w:p w14:paraId="23185815">
      <w:pPr>
        <w:keepNext w:val="0"/>
        <w:keepLines w:val="0"/>
        <w:pageBreakBefore w:val="0"/>
        <w:kinsoku/>
        <w:wordWrap/>
        <w:overflowPunct/>
        <w:topLinePunct w:val="0"/>
        <w:autoSpaceDE/>
        <w:autoSpaceDN/>
        <w:bidi w:val="0"/>
        <w:spacing w:beforeAutospacing="0" w:line="360" w:lineRule="exact"/>
        <w:ind w:firstLine="723" w:firstLineChars="200"/>
        <w:jc w:val="center"/>
        <w:textAlignment w:val="auto"/>
        <w:rPr>
          <w:rFonts w:hint="eastAsia" w:asciiTheme="majorEastAsia" w:hAnsiTheme="majorEastAsia" w:eastAsiaTheme="majorEastAsia" w:cstheme="majorEastAsia"/>
          <w:b/>
          <w:bCs/>
          <w:color w:val="auto"/>
          <w:sz w:val="36"/>
          <w:szCs w:val="48"/>
          <w:highlight w:val="none"/>
        </w:rPr>
      </w:pPr>
      <w:r>
        <w:rPr>
          <w:rFonts w:hint="eastAsia" w:asciiTheme="majorEastAsia" w:hAnsiTheme="majorEastAsia" w:eastAsiaTheme="majorEastAsia" w:cstheme="majorEastAsia"/>
          <w:b/>
          <w:bCs/>
          <w:color w:val="auto"/>
          <w:sz w:val="36"/>
          <w:szCs w:val="48"/>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224A36D8">
      <w:pPr>
        <w:pStyle w:val="16"/>
        <w:rPr>
          <w:rFonts w:hint="eastAsia"/>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31E4732C">
      <w:pPr>
        <w:keepNext w:val="0"/>
        <w:keepLines w:val="0"/>
        <w:pageBreakBefore w:val="0"/>
        <w:widowControl/>
        <w:kinsoku/>
        <w:wordWrap/>
        <w:overflowPunct/>
        <w:topLinePunct w:val="0"/>
        <w:autoSpaceDE/>
        <w:autoSpaceDN/>
        <w:bidi w:val="0"/>
        <w:spacing w:line="360" w:lineRule="exact"/>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keepNext w:val="0"/>
        <w:keepLines w:val="0"/>
        <w:pageBreakBefore w:val="0"/>
        <w:widowControl w:val="0"/>
        <w:kinsoku/>
        <w:wordWrap/>
        <w:overflowPunct/>
        <w:topLinePunct w:val="0"/>
        <w:autoSpaceDE/>
        <w:autoSpaceDN/>
        <w:bidi w:val="0"/>
        <w:adjustRightInd w:val="0"/>
        <w:snapToGrid/>
        <w:spacing w:line="5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4"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1825">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4937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34937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313A">
    <w:pPr>
      <w:pStyle w:val="26"/>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E66B">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4EE66B">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4B662">
                          <w:pPr>
                            <w:pStyle w:val="2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14B662">
                    <w:pPr>
                      <w:pStyle w:val="2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EBBD">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A862">
                          <w:pPr>
                            <w:pStyle w:val="2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3DA862">
                    <w:pPr>
                      <w:pStyle w:val="2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F743">
    <w:pPr>
      <w:pStyle w:val="2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8FE08">
                          <w:pPr>
                            <w:pStyle w:val="2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38FE08">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5F319">
                          <w:pPr>
                            <w:pStyle w:val="2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5F319">
                    <w:pPr>
                      <w:pStyle w:val="2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28"/>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竞争性谈判文件</w:t>
    </w:r>
    <w:r>
      <w:rPr>
        <w:rFonts w:hint="eastAsia" w:ascii="宋体" w:hAnsi="宋体" w:eastAsia="宋体"/>
        <w:lang w:eastAsia="zh-CN"/>
      </w:rPr>
      <w:t>示范文本（</w:t>
    </w:r>
    <w:r>
      <w:rPr>
        <w:rFonts w:hint="eastAsia" w:ascii="宋体" w:hAnsi="宋体" w:eastAsia="宋体"/>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07"/>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233A"/>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36E6CA6"/>
    <w:rsid w:val="03773C2D"/>
    <w:rsid w:val="058C5C9F"/>
    <w:rsid w:val="07C80EFB"/>
    <w:rsid w:val="08251EAA"/>
    <w:rsid w:val="08602EE2"/>
    <w:rsid w:val="08916AB3"/>
    <w:rsid w:val="09084174"/>
    <w:rsid w:val="09287EA3"/>
    <w:rsid w:val="0A7A13B6"/>
    <w:rsid w:val="0A903CFA"/>
    <w:rsid w:val="0A91481A"/>
    <w:rsid w:val="0BD378F6"/>
    <w:rsid w:val="0CC021A1"/>
    <w:rsid w:val="0DEF71E2"/>
    <w:rsid w:val="10E24D87"/>
    <w:rsid w:val="119A1F8D"/>
    <w:rsid w:val="11BC1998"/>
    <w:rsid w:val="13524CBA"/>
    <w:rsid w:val="13750D6C"/>
    <w:rsid w:val="137A57A0"/>
    <w:rsid w:val="13C347B9"/>
    <w:rsid w:val="13C54541"/>
    <w:rsid w:val="156A411C"/>
    <w:rsid w:val="16A92918"/>
    <w:rsid w:val="173B04EE"/>
    <w:rsid w:val="17D22769"/>
    <w:rsid w:val="18735030"/>
    <w:rsid w:val="18D92526"/>
    <w:rsid w:val="18FA2EDF"/>
    <w:rsid w:val="1A66331F"/>
    <w:rsid w:val="1AE70150"/>
    <w:rsid w:val="1AF95668"/>
    <w:rsid w:val="1CE22479"/>
    <w:rsid w:val="1E0104DD"/>
    <w:rsid w:val="1EA4741C"/>
    <w:rsid w:val="20344F28"/>
    <w:rsid w:val="20346CD6"/>
    <w:rsid w:val="206770AC"/>
    <w:rsid w:val="23241284"/>
    <w:rsid w:val="23530B29"/>
    <w:rsid w:val="23B21C79"/>
    <w:rsid w:val="282F3B79"/>
    <w:rsid w:val="283C571B"/>
    <w:rsid w:val="291E2007"/>
    <w:rsid w:val="29543F45"/>
    <w:rsid w:val="29CF3D8B"/>
    <w:rsid w:val="2B7C7113"/>
    <w:rsid w:val="2CD32C5A"/>
    <w:rsid w:val="30C62676"/>
    <w:rsid w:val="30D37E45"/>
    <w:rsid w:val="31BF072E"/>
    <w:rsid w:val="3251196A"/>
    <w:rsid w:val="340842AA"/>
    <w:rsid w:val="345352E6"/>
    <w:rsid w:val="35DA59F3"/>
    <w:rsid w:val="36797FCD"/>
    <w:rsid w:val="36962041"/>
    <w:rsid w:val="36D93CDC"/>
    <w:rsid w:val="37321D6A"/>
    <w:rsid w:val="37903539"/>
    <w:rsid w:val="37A20571"/>
    <w:rsid w:val="388A16E7"/>
    <w:rsid w:val="38F3153C"/>
    <w:rsid w:val="39F03816"/>
    <w:rsid w:val="3A2A31CC"/>
    <w:rsid w:val="3CC75F2B"/>
    <w:rsid w:val="3CF814E4"/>
    <w:rsid w:val="3D874491"/>
    <w:rsid w:val="3DD24BE8"/>
    <w:rsid w:val="3E350DFC"/>
    <w:rsid w:val="3F5D7BA0"/>
    <w:rsid w:val="40694322"/>
    <w:rsid w:val="418A33DF"/>
    <w:rsid w:val="435C016E"/>
    <w:rsid w:val="43964717"/>
    <w:rsid w:val="43BE3353"/>
    <w:rsid w:val="43ED325B"/>
    <w:rsid w:val="443D4540"/>
    <w:rsid w:val="45553AE5"/>
    <w:rsid w:val="45974888"/>
    <w:rsid w:val="47470D57"/>
    <w:rsid w:val="47D26073"/>
    <w:rsid w:val="47E75CBA"/>
    <w:rsid w:val="49E3541A"/>
    <w:rsid w:val="4A225C6E"/>
    <w:rsid w:val="4B700D53"/>
    <w:rsid w:val="4BDA12B0"/>
    <w:rsid w:val="4D317F5A"/>
    <w:rsid w:val="4D3A7115"/>
    <w:rsid w:val="4D677E3B"/>
    <w:rsid w:val="51DD06CC"/>
    <w:rsid w:val="523429E2"/>
    <w:rsid w:val="536D2F2E"/>
    <w:rsid w:val="53F1220D"/>
    <w:rsid w:val="546D21DB"/>
    <w:rsid w:val="5658373F"/>
    <w:rsid w:val="566D6A2E"/>
    <w:rsid w:val="57346FE0"/>
    <w:rsid w:val="59157D59"/>
    <w:rsid w:val="591C7D2C"/>
    <w:rsid w:val="59B361F2"/>
    <w:rsid w:val="5A5F6122"/>
    <w:rsid w:val="5E677C9B"/>
    <w:rsid w:val="5EA70DDA"/>
    <w:rsid w:val="5FC52ECB"/>
    <w:rsid w:val="60C63B32"/>
    <w:rsid w:val="61616A4B"/>
    <w:rsid w:val="629038C3"/>
    <w:rsid w:val="62D324BB"/>
    <w:rsid w:val="642A69CF"/>
    <w:rsid w:val="651A7A6A"/>
    <w:rsid w:val="65271F32"/>
    <w:rsid w:val="658F4499"/>
    <w:rsid w:val="66091AE9"/>
    <w:rsid w:val="68AB6E74"/>
    <w:rsid w:val="69056267"/>
    <w:rsid w:val="6942558D"/>
    <w:rsid w:val="6A2133F4"/>
    <w:rsid w:val="6AC87D14"/>
    <w:rsid w:val="6B8B5E84"/>
    <w:rsid w:val="6BE0108D"/>
    <w:rsid w:val="6BF15048"/>
    <w:rsid w:val="6C320AC9"/>
    <w:rsid w:val="6C550632"/>
    <w:rsid w:val="6D263022"/>
    <w:rsid w:val="6F240401"/>
    <w:rsid w:val="6F6A75EB"/>
    <w:rsid w:val="73E01C2A"/>
    <w:rsid w:val="742915A0"/>
    <w:rsid w:val="744A3547"/>
    <w:rsid w:val="76764668"/>
    <w:rsid w:val="76D11EE8"/>
    <w:rsid w:val="774C5829"/>
    <w:rsid w:val="77893908"/>
    <w:rsid w:val="77E56B80"/>
    <w:rsid w:val="78526EF9"/>
    <w:rsid w:val="78A3591C"/>
    <w:rsid w:val="790E7239"/>
    <w:rsid w:val="79FB4EC7"/>
    <w:rsid w:val="7B5D1ADF"/>
    <w:rsid w:val="7B841A35"/>
    <w:rsid w:val="7C42088B"/>
    <w:rsid w:val="7CE63738"/>
    <w:rsid w:val="7D36737D"/>
    <w:rsid w:val="7D3D7B44"/>
    <w:rsid w:val="7E0155BF"/>
    <w:rsid w:val="7E835FD4"/>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9"/>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6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styleId="12">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link w:val="8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annotation text"/>
    <w:basedOn w:val="1"/>
    <w:link w:val="125"/>
    <w:unhideWhenUsed/>
    <w:qFormat/>
    <w:uiPriority w:val="0"/>
    <w:pPr>
      <w:adjustRightInd/>
      <w:spacing w:line="500" w:lineRule="exact"/>
      <w:jc w:val="left"/>
    </w:pPr>
    <w:rPr>
      <w:sz w:val="20"/>
    </w:rPr>
  </w:style>
  <w:style w:type="paragraph" w:styleId="15">
    <w:name w:val="Body Text 3"/>
    <w:basedOn w:val="1"/>
    <w:link w:val="81"/>
    <w:semiHidden/>
    <w:unhideWhenUsed/>
    <w:qFormat/>
    <w:uiPriority w:val="99"/>
    <w:pPr>
      <w:spacing w:after="120"/>
    </w:pPr>
    <w:rPr>
      <w:sz w:val="16"/>
      <w:szCs w:val="16"/>
    </w:rPr>
  </w:style>
  <w:style w:type="paragraph" w:styleId="16">
    <w:name w:val="Body Text"/>
    <w:basedOn w:val="1"/>
    <w:link w:val="88"/>
    <w:autoRedefine/>
    <w:unhideWhenUsed/>
    <w:qFormat/>
    <w:uiPriority w:val="0"/>
    <w:pPr>
      <w:spacing w:after="120"/>
    </w:pPr>
  </w:style>
  <w:style w:type="paragraph" w:styleId="17">
    <w:name w:val="Body Text Indent"/>
    <w:basedOn w:val="1"/>
    <w:link w:val="71"/>
    <w:unhideWhenUsed/>
    <w:qFormat/>
    <w:uiPriority w:val="0"/>
    <w:pPr>
      <w:ind w:left="2730" w:hanging="2730" w:hangingChars="1365"/>
      <w:jc w:val="left"/>
    </w:pPr>
    <w:rPr>
      <w:sz w:val="20"/>
      <w:lang w:bidi="he-IL"/>
    </w:r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2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86"/>
    <w:autoRedefine/>
    <w:semiHidden/>
    <w:unhideWhenUsed/>
    <w:qFormat/>
    <w:uiPriority w:val="99"/>
    <w:pPr>
      <w:ind w:left="100" w:leftChars="2500"/>
    </w:pPr>
  </w:style>
  <w:style w:type="paragraph" w:styleId="24">
    <w:name w:val="Body Text Indent 2"/>
    <w:basedOn w:val="1"/>
    <w:link w:val="84"/>
    <w:autoRedefine/>
    <w:unhideWhenUsed/>
    <w:qFormat/>
    <w:uiPriority w:val="99"/>
    <w:pPr>
      <w:spacing w:after="120" w:line="480" w:lineRule="auto"/>
      <w:ind w:left="420" w:leftChars="200"/>
      <w:jc w:val="left"/>
    </w:pPr>
  </w:style>
  <w:style w:type="paragraph" w:styleId="25">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3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Body Text 2"/>
    <w:basedOn w:val="1"/>
    <w:qFormat/>
    <w:uiPriority w:val="0"/>
    <w:pPr>
      <w:widowControl/>
      <w:jc w:val="center"/>
    </w:pPr>
    <w:rPr>
      <w:rFonts w:ascii="楷体_GB2312" w:eastAsia="楷体_GB2312"/>
      <w:sz w:val="20"/>
    </w:rPr>
  </w:style>
  <w:style w:type="paragraph" w:styleId="36">
    <w:name w:val="Message Header"/>
    <w:basedOn w:val="1"/>
    <w:next w:val="21"/>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6"/>
    <w:link w:val="95"/>
    <w:autoRedefine/>
    <w:unhideWhenUsed/>
    <w:qFormat/>
    <w:uiPriority w:val="99"/>
    <w:pPr>
      <w:ind w:firstLine="420" w:firstLineChars="100"/>
    </w:pPr>
  </w:style>
  <w:style w:type="paragraph" w:styleId="40">
    <w:name w:val="Body Text First Indent 2"/>
    <w:basedOn w:val="17"/>
    <w:next w:val="1"/>
    <w:link w:val="94"/>
    <w:unhideWhenUsed/>
    <w:qFormat/>
    <w:uiPriority w:val="0"/>
    <w:pPr>
      <w:adjustRightInd/>
      <w:spacing w:after="120" w:line="240" w:lineRule="auto"/>
      <w:ind w:left="420" w:leftChars="200" w:firstLine="420" w:firstLineChars="200"/>
      <w:jc w:val="both"/>
    </w:pPr>
    <w:rPr>
      <w:kern w:val="2"/>
      <w:sz w:val="21"/>
      <w:szCs w:val="24"/>
      <w:lang w:bidi="ar-SA"/>
    </w:r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TML Definition"/>
    <w:basedOn w:val="43"/>
    <w:semiHidden/>
    <w:unhideWhenUsed/>
    <w:qFormat/>
    <w:uiPriority w:val="99"/>
  </w:style>
  <w:style w:type="character" w:styleId="47">
    <w:name w:val="HTML Typewriter"/>
    <w:basedOn w:val="43"/>
    <w:semiHidden/>
    <w:unhideWhenUsed/>
    <w:qFormat/>
    <w:uiPriority w:val="99"/>
    <w:rPr>
      <w:rFonts w:hint="default" w:ascii="monospace" w:hAnsi="monospace" w:eastAsia="monospace" w:cs="monospace"/>
      <w:sz w:val="20"/>
    </w:rPr>
  </w:style>
  <w:style w:type="character" w:styleId="48">
    <w:name w:val="HTML Acronym"/>
    <w:basedOn w:val="43"/>
    <w:semiHidden/>
    <w:unhideWhenUsed/>
    <w:qFormat/>
    <w:uiPriority w:val="99"/>
  </w:style>
  <w:style w:type="character" w:styleId="49">
    <w:name w:val="HTML Variable"/>
    <w:basedOn w:val="43"/>
    <w:semiHidden/>
    <w:unhideWhenUsed/>
    <w:qFormat/>
    <w:uiPriority w:val="99"/>
  </w:style>
  <w:style w:type="character" w:styleId="50">
    <w:name w:val="Hyperlink"/>
    <w:basedOn w:val="43"/>
    <w:autoRedefine/>
    <w:unhideWhenUsed/>
    <w:qFormat/>
    <w:uiPriority w:val="99"/>
    <w:rPr>
      <w:color w:val="0000FF" w:themeColor="hyperlink"/>
      <w:u w:val="single"/>
      <w14:textFill>
        <w14:solidFill>
          <w14:schemeClr w14:val="hlink"/>
        </w14:solidFill>
      </w14:textFill>
    </w:rPr>
  </w:style>
  <w:style w:type="character" w:styleId="51">
    <w:name w:val="HTML Code"/>
    <w:basedOn w:val="43"/>
    <w:semiHidden/>
    <w:unhideWhenUsed/>
    <w:qFormat/>
    <w:uiPriority w:val="99"/>
    <w:rPr>
      <w:rFonts w:ascii="monospace" w:hAnsi="monospace" w:eastAsia="monospace" w:cs="monospace"/>
      <w:sz w:val="20"/>
    </w:rPr>
  </w:style>
  <w:style w:type="character" w:styleId="52">
    <w:name w:val="annotation reference"/>
    <w:autoRedefine/>
    <w:semiHidden/>
    <w:qFormat/>
    <w:uiPriority w:val="0"/>
    <w:rPr>
      <w:sz w:val="21"/>
      <w:szCs w:val="21"/>
    </w:rPr>
  </w:style>
  <w:style w:type="character" w:styleId="53">
    <w:name w:val="HTML Cite"/>
    <w:basedOn w:val="43"/>
    <w:semiHidden/>
    <w:unhideWhenUsed/>
    <w:qFormat/>
    <w:uiPriority w:val="99"/>
  </w:style>
  <w:style w:type="character" w:styleId="54">
    <w:name w:val="footnote reference"/>
    <w:autoRedefine/>
    <w:qFormat/>
    <w:uiPriority w:val="0"/>
    <w:rPr>
      <w:vertAlign w:val="superscript"/>
    </w:rPr>
  </w:style>
  <w:style w:type="character" w:styleId="55">
    <w:name w:val="HTML Keyboard"/>
    <w:basedOn w:val="43"/>
    <w:semiHidden/>
    <w:unhideWhenUsed/>
    <w:qFormat/>
    <w:uiPriority w:val="99"/>
    <w:rPr>
      <w:rFonts w:hint="default" w:ascii="monospace" w:hAnsi="monospace" w:eastAsia="monospace" w:cs="monospace"/>
      <w:sz w:val="20"/>
    </w:rPr>
  </w:style>
  <w:style w:type="character" w:styleId="56">
    <w:name w:val="HTML Sample"/>
    <w:basedOn w:val="43"/>
    <w:semiHidden/>
    <w:unhideWhenUsed/>
    <w:qFormat/>
    <w:uiPriority w:val="99"/>
    <w:rPr>
      <w:rFonts w:hint="default" w:ascii="monospace" w:hAnsi="monospace" w:eastAsia="monospace" w:cs="monospace"/>
    </w:rPr>
  </w:style>
  <w:style w:type="paragraph" w:customStyle="1" w:styleId="57">
    <w:name w:val="*正文"/>
    <w:basedOn w:val="13"/>
    <w:qFormat/>
    <w:uiPriority w:val="0"/>
    <w:pPr>
      <w:ind w:firstLine="200"/>
    </w:pPr>
    <w:rPr>
      <w:rFonts w:ascii="宋体" w:hAnsi="宋体" w:eastAsia="宋体" w:cs="Times New Roman"/>
      <w:color w:val="000000"/>
    </w:rPr>
  </w:style>
  <w:style w:type="paragraph" w:customStyle="1" w:styleId="58">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59">
    <w:name w:val="标题 1 字符"/>
    <w:basedOn w:val="43"/>
    <w:link w:val="3"/>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3"/>
    <w:link w:val="4"/>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3"/>
    <w:link w:val="5"/>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3"/>
    <w:link w:val="6"/>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3"/>
    <w:link w:val="7"/>
    <w:autoRedefine/>
    <w:qFormat/>
    <w:uiPriority w:val="9"/>
    <w:rPr>
      <w:rFonts w:ascii="Times New Roman" w:hAnsi="Times New Roman" w:eastAsia="宋体" w:cs="Times New Roman"/>
      <w:b/>
      <w:bCs/>
      <w:sz w:val="28"/>
      <w:szCs w:val="28"/>
    </w:rPr>
  </w:style>
  <w:style w:type="character" w:customStyle="1" w:styleId="64">
    <w:name w:val="标题 6 字符"/>
    <w:basedOn w:val="43"/>
    <w:link w:val="8"/>
    <w:autoRedefine/>
    <w:qFormat/>
    <w:uiPriority w:val="9"/>
    <w:rPr>
      <w:rFonts w:ascii="Arial" w:hAnsi="Arial" w:eastAsia="黑体" w:cs="Times New Roman"/>
      <w:b/>
      <w:bCs/>
      <w:sz w:val="24"/>
      <w:szCs w:val="24"/>
    </w:rPr>
  </w:style>
  <w:style w:type="character" w:customStyle="1" w:styleId="65">
    <w:name w:val="标题 7 字符"/>
    <w:basedOn w:val="43"/>
    <w:link w:val="9"/>
    <w:autoRedefine/>
    <w:qFormat/>
    <w:uiPriority w:val="0"/>
    <w:rPr>
      <w:rFonts w:ascii="Times New Roman" w:hAnsi="Times New Roman" w:eastAsia="宋体" w:cs="Times New Roman"/>
      <w:b/>
      <w:bCs/>
      <w:sz w:val="24"/>
      <w:szCs w:val="24"/>
    </w:rPr>
  </w:style>
  <w:style w:type="character" w:customStyle="1" w:styleId="66">
    <w:name w:val="标题 8 字符"/>
    <w:basedOn w:val="43"/>
    <w:link w:val="10"/>
    <w:autoRedefine/>
    <w:qFormat/>
    <w:uiPriority w:val="0"/>
    <w:rPr>
      <w:rFonts w:ascii="Arial" w:hAnsi="Arial" w:eastAsia="黑体" w:cs="Times New Roman"/>
      <w:sz w:val="24"/>
      <w:szCs w:val="24"/>
    </w:rPr>
  </w:style>
  <w:style w:type="character" w:customStyle="1" w:styleId="67">
    <w:name w:val="标题 9 字符"/>
    <w:basedOn w:val="43"/>
    <w:link w:val="11"/>
    <w:autoRedefine/>
    <w:qFormat/>
    <w:uiPriority w:val="9"/>
    <w:rPr>
      <w:rFonts w:ascii="Arial" w:hAnsi="Arial" w:eastAsia="黑体" w:cs="Times New Roman"/>
      <w:szCs w:val="21"/>
    </w:rPr>
  </w:style>
  <w:style w:type="character" w:customStyle="1" w:styleId="68">
    <w:name w:val="页眉 字符"/>
    <w:basedOn w:val="43"/>
    <w:link w:val="28"/>
    <w:autoRedefine/>
    <w:qFormat/>
    <w:uiPriority w:val="0"/>
    <w:rPr>
      <w:sz w:val="18"/>
      <w:szCs w:val="18"/>
    </w:rPr>
  </w:style>
  <w:style w:type="character" w:customStyle="1" w:styleId="69">
    <w:name w:val="页脚 字符"/>
    <w:basedOn w:val="43"/>
    <w:link w:val="26"/>
    <w:autoRedefine/>
    <w:qFormat/>
    <w:uiPriority w:val="0"/>
    <w:rPr>
      <w:sz w:val="18"/>
      <w:szCs w:val="18"/>
    </w:rPr>
  </w:style>
  <w:style w:type="character" w:customStyle="1" w:styleId="70">
    <w:name w:val="批注框文本 字符"/>
    <w:basedOn w:val="43"/>
    <w:link w:val="25"/>
    <w:autoRedefine/>
    <w:semiHidden/>
    <w:qFormat/>
    <w:uiPriority w:val="99"/>
    <w:rPr>
      <w:sz w:val="18"/>
      <w:szCs w:val="18"/>
    </w:rPr>
  </w:style>
  <w:style w:type="character" w:customStyle="1" w:styleId="71">
    <w:name w:val="正文文本缩进 字符"/>
    <w:basedOn w:val="43"/>
    <w:link w:val="17"/>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3"/>
    <w:link w:val="15"/>
    <w:autoRedefine/>
    <w:semiHidden/>
    <w:qFormat/>
    <w:uiPriority w:val="99"/>
    <w:rPr>
      <w:rFonts w:ascii="Times New Roman" w:hAnsi="Times New Roman" w:eastAsia="宋体" w:cs="Times New Roman"/>
      <w:kern w:val="0"/>
      <w:sz w:val="16"/>
      <w:szCs w:val="16"/>
    </w:rPr>
  </w:style>
  <w:style w:type="character" w:customStyle="1" w:styleId="82">
    <w:name w:val="fontstyle01"/>
    <w:basedOn w:val="43"/>
    <w:autoRedefine/>
    <w:qFormat/>
    <w:uiPriority w:val="0"/>
    <w:rPr>
      <w:rFonts w:hint="eastAsia" w:ascii="宋体" w:hAnsi="宋体" w:eastAsia="宋体"/>
      <w:color w:val="000000"/>
      <w:sz w:val="44"/>
      <w:szCs w:val="44"/>
    </w:rPr>
  </w:style>
  <w:style w:type="character" w:customStyle="1" w:styleId="83">
    <w:name w:val="fontstyle21"/>
    <w:basedOn w:val="43"/>
    <w:autoRedefine/>
    <w:qFormat/>
    <w:uiPriority w:val="0"/>
    <w:rPr>
      <w:rFonts w:hint="default" w:ascii="Wingdings-Regular" w:hAnsi="Wingdings-Regular"/>
      <w:color w:val="000000"/>
      <w:sz w:val="22"/>
      <w:szCs w:val="22"/>
    </w:rPr>
  </w:style>
  <w:style w:type="character" w:customStyle="1" w:styleId="84">
    <w:name w:val="正文文本缩进 2 字符"/>
    <w:basedOn w:val="43"/>
    <w:link w:val="24"/>
    <w:autoRedefine/>
    <w:qFormat/>
    <w:uiPriority w:val="99"/>
    <w:rPr>
      <w:rFonts w:ascii="Times New Roman" w:hAnsi="Times New Roman" w:eastAsia="宋体" w:cs="Times New Roman"/>
      <w:kern w:val="0"/>
      <w:szCs w:val="20"/>
    </w:rPr>
  </w:style>
  <w:style w:type="character" w:customStyle="1" w:styleId="85">
    <w:name w:val="Unresolved Mention"/>
    <w:basedOn w:val="43"/>
    <w:autoRedefine/>
    <w:semiHidden/>
    <w:unhideWhenUsed/>
    <w:qFormat/>
    <w:uiPriority w:val="99"/>
    <w:rPr>
      <w:color w:val="605E5C"/>
      <w:shd w:val="clear" w:color="auto" w:fill="E1DFDD"/>
    </w:rPr>
  </w:style>
  <w:style w:type="character" w:customStyle="1" w:styleId="86">
    <w:name w:val="日期 字符"/>
    <w:basedOn w:val="43"/>
    <w:link w:val="23"/>
    <w:autoRedefine/>
    <w:semiHidden/>
    <w:qFormat/>
    <w:uiPriority w:val="99"/>
    <w:rPr>
      <w:rFonts w:ascii="Times New Roman" w:hAnsi="Times New Roman" w:eastAsia="宋体" w:cs="Times New Roman"/>
      <w:kern w:val="0"/>
      <w:szCs w:val="20"/>
    </w:rPr>
  </w:style>
  <w:style w:type="character" w:customStyle="1" w:styleId="87">
    <w:name w:val="正文缩进 字符"/>
    <w:link w:val="13"/>
    <w:autoRedefine/>
    <w:qFormat/>
    <w:uiPriority w:val="0"/>
    <w:rPr>
      <w:rFonts w:ascii="宋体"/>
      <w:sz w:val="24"/>
    </w:rPr>
  </w:style>
  <w:style w:type="character" w:customStyle="1" w:styleId="88">
    <w:name w:val="正文文本 字符"/>
    <w:basedOn w:val="43"/>
    <w:link w:val="16"/>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40"/>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39"/>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3"/>
    <w:link w:val="14"/>
    <w:autoRedefine/>
    <w:qFormat/>
    <w:uiPriority w:val="0"/>
    <w:rPr>
      <w:rFonts w:ascii="Times New Roman" w:hAnsi="Times New Roman" w:eastAsia="宋体" w:cs="Times New Roman"/>
      <w:kern w:val="0"/>
      <w:sz w:val="20"/>
      <w:szCs w:val="20"/>
    </w:rPr>
  </w:style>
  <w:style w:type="character" w:customStyle="1" w:styleId="126">
    <w:name w:val="纯文本 字符"/>
    <w:basedOn w:val="43"/>
    <w:link w:val="21"/>
    <w:autoRedefine/>
    <w:qFormat/>
    <w:uiPriority w:val="0"/>
    <w:rPr>
      <w:rFonts w:ascii="宋体" w:hAnsi="Courier New" w:eastAsia="宋体" w:cs="Times New Roman"/>
      <w:kern w:val="0"/>
      <w:szCs w:val="20"/>
    </w:rPr>
  </w:style>
  <w:style w:type="character" w:customStyle="1" w:styleId="127">
    <w:name w:val="信息标题 字符"/>
    <w:basedOn w:val="43"/>
    <w:link w:val="36"/>
    <w:autoRedefine/>
    <w:qFormat/>
    <w:uiPriority w:val="0"/>
    <w:rPr>
      <w:rFonts w:ascii="Cambria" w:hAnsi="Cambria" w:eastAsia="宋体" w:cs="Times New Roman"/>
      <w:sz w:val="24"/>
      <w:szCs w:val="20"/>
      <w:shd w:val="pct20" w:color="auto" w:fill="auto"/>
    </w:rPr>
  </w:style>
  <w:style w:type="character" w:customStyle="1" w:styleId="128">
    <w:name w:val="font41"/>
    <w:basedOn w:val="43"/>
    <w:autoRedefine/>
    <w:qFormat/>
    <w:uiPriority w:val="0"/>
    <w:rPr>
      <w:rFonts w:hint="eastAsia" w:ascii="黑体" w:eastAsia="黑体" w:cs="黑体"/>
      <w:color w:val="000000"/>
      <w:sz w:val="18"/>
      <w:szCs w:val="18"/>
      <w:u w:val="none"/>
    </w:rPr>
  </w:style>
  <w:style w:type="character" w:customStyle="1" w:styleId="129">
    <w:name w:val="font31"/>
    <w:basedOn w:val="43"/>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3"/>
    <w:autoRedefine/>
    <w:qFormat/>
    <w:uiPriority w:val="0"/>
    <w:rPr>
      <w:rFonts w:hint="eastAsia" w:ascii="宋体" w:hAnsi="宋体" w:eastAsia="宋体"/>
      <w:b/>
      <w:color w:val="000000"/>
      <w:kern w:val="2"/>
      <w:sz w:val="18"/>
      <w:u w:val="none"/>
    </w:rPr>
  </w:style>
  <w:style w:type="paragraph" w:customStyle="1" w:styleId="132">
    <w:name w:val="模板普通正文"/>
    <w:basedOn w:val="17"/>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3"/>
    <w:link w:val="32"/>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纯文本1"/>
    <w:basedOn w:val="1"/>
    <w:autoRedefine/>
    <w:qFormat/>
    <w:uiPriority w:val="0"/>
    <w:pPr>
      <w:adjustRightInd w:val="0"/>
      <w:textAlignment w:val="baseline"/>
    </w:pPr>
    <w:rPr>
      <w:rFonts w:ascii="宋体" w:hAnsi="宋体" w:eastAsia="楷体_GB2312" w:cs="宋体"/>
      <w:sz w:val="28"/>
    </w:rPr>
  </w:style>
  <w:style w:type="paragraph" w:customStyle="1" w:styleId="1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7">
    <w:name w:val="列出段落1"/>
    <w:basedOn w:val="1"/>
    <w:autoRedefine/>
    <w:qFormat/>
    <w:uiPriority w:val="0"/>
    <w:pPr>
      <w:ind w:firstLine="420" w:firstLineChars="200"/>
    </w:pPr>
    <w:rPr>
      <w:szCs w:val="21"/>
    </w:rPr>
  </w:style>
  <w:style w:type="character" w:customStyle="1" w:styleId="148">
    <w:name w:val="font21"/>
    <w:basedOn w:val="43"/>
    <w:qFormat/>
    <w:uiPriority w:val="0"/>
    <w:rPr>
      <w:rFonts w:hint="eastAsia" w:ascii="微软雅黑" w:hAnsi="微软雅黑" w:eastAsia="微软雅黑" w:cs="微软雅黑"/>
      <w:b/>
      <w:bCs/>
      <w:color w:val="000000"/>
      <w:sz w:val="20"/>
      <w:szCs w:val="20"/>
      <w:u w:val="none"/>
    </w:rPr>
  </w:style>
  <w:style w:type="character" w:customStyle="1" w:styleId="149">
    <w:name w:val="font61"/>
    <w:basedOn w:val="43"/>
    <w:qFormat/>
    <w:uiPriority w:val="0"/>
    <w:rPr>
      <w:rFonts w:hint="eastAsia" w:ascii="宋体" w:hAnsi="宋体" w:eastAsia="宋体" w:cs="宋体"/>
      <w:color w:val="000000"/>
      <w:sz w:val="20"/>
      <w:szCs w:val="20"/>
      <w:u w:val="none"/>
    </w:rPr>
  </w:style>
  <w:style w:type="character" w:customStyle="1" w:styleId="150">
    <w:name w:val="first-child"/>
    <w:basedOn w:val="43"/>
    <w:qFormat/>
    <w:uiPriority w:val="0"/>
  </w:style>
  <w:style w:type="character" w:customStyle="1" w:styleId="151">
    <w:name w:val="layui-layer-tabnow"/>
    <w:basedOn w:val="4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62</Pages>
  <Words>11790</Words>
  <Characters>12925</Characters>
  <Lines>29</Lines>
  <Paragraphs>8</Paragraphs>
  <TotalTime>13</TotalTime>
  <ScaleCrop>false</ScaleCrop>
  <LinksUpToDate>false</LinksUpToDate>
  <CharactersWithSpaces>13140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2026-05-09T01:01:13Z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C81DC5EFFF5D4F38978E6F2F3D372DB7_13</vt:lpwstr>
  </property>
  <property fmtid="{D5CDD505-2E9C-101B-9397-08002B2CF9AE}" pid="4" name="KSOTemplateDocerSaveRecord">
    <vt:lpwstr>eyJoZGlkIjoiNDFjNjc4MzM2NGNhOTY1ZjQ2ZmNmMWE4MmVlYzQxYjkiLCJ1c2VySWQiOiIzMDI1ODcyMjYifQ==</vt:lpwstr>
  </property>
</Properties>
</file>