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ind w:left="0" w:leftChars="0" w:firstLine="0" w:firstLineChars="0"/>
      </w:pPr>
    </w:p>
    <w:p w14:paraId="624C935E">
      <w:pPr>
        <w:spacing w:line="360" w:lineRule="auto"/>
        <w:ind w:firstLine="442" w:firstLineChars="100"/>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桐城师范高等专科学校消防维保服务</w:t>
      </w: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采购项目</w:t>
      </w:r>
    </w:p>
    <w:p w14:paraId="012F5E32">
      <w:pPr>
        <w:pStyle w:val="49"/>
        <w:rPr>
          <w:rFonts w:hint="eastAsia"/>
          <w:color w:val="auto"/>
          <w:highlight w:val="none"/>
        </w:rPr>
      </w:pPr>
    </w:p>
    <w:p w14:paraId="16BD5BFA">
      <w:pPr>
        <w:spacing w:line="480" w:lineRule="exact"/>
        <w:rPr>
          <w:rFonts w:ascii="宋体"/>
          <w:color w:val="auto"/>
          <w:sz w:val="44"/>
          <w:szCs w:val="44"/>
          <w:highlight w:val="none"/>
        </w:rPr>
      </w:pPr>
    </w:p>
    <w:p w14:paraId="2E845CB9">
      <w:pPr>
        <w:pStyle w:val="49"/>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007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6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50"/>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9"/>
        <w:rPr>
          <w:color w:val="auto"/>
          <w:highlight w:val="none"/>
          <w:lang w:val="zh-CN"/>
        </w:rPr>
      </w:pPr>
    </w:p>
    <w:p w14:paraId="6F456B90">
      <w:pPr>
        <w:pStyle w:val="28"/>
        <w:tabs>
          <w:tab w:val="right" w:leader="dot" w:pos="9070"/>
        </w:tabs>
        <w:spacing w:line="360" w:lineRule="auto"/>
        <w:rPr>
          <w:color w:val="auto"/>
          <w:sz w:val="28"/>
          <w:szCs w:val="24"/>
          <w:highlight w:val="none"/>
        </w:rPr>
      </w:pPr>
      <w:bookmarkStart w:id="0" w:name="_Toc54941328"/>
      <w:bookmarkStart w:id="1" w:name="_Toc23467"/>
      <w:bookmarkStart w:id="2" w:name="_Toc21464"/>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28"/>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28"/>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28"/>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28"/>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28"/>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28"/>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19"/>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19"/>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桐城师范高等专科学校消防维保服务采购项目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桐城师范高等专科学校消防维保服务采购项目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 6月29日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ind w:firstLine="560" w:firstLineChars="200"/>
        <w:textAlignment w:val="auto"/>
        <w:rPr>
          <w:rFonts w:ascii="黑体" w:hAnsi="黑体" w:eastAsia="黑体" w:cs="宋体"/>
          <w:bCs/>
          <w:color w:val="auto"/>
          <w:sz w:val="28"/>
          <w:szCs w:val="28"/>
          <w:highlight w:val="none"/>
        </w:rPr>
      </w:pPr>
      <w:bookmarkStart w:id="9" w:name="_Toc35393629"/>
      <w:bookmarkStart w:id="10" w:name="_Toc28359012"/>
      <w:bookmarkStart w:id="11" w:name="_Toc28359089"/>
      <w:bookmarkStart w:id="12" w:name="_Toc35393798"/>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007</w:t>
      </w:r>
      <w:r>
        <w:rPr>
          <w:rFonts w:hint="eastAsia" w:ascii="仿宋" w:hAnsi="仿宋" w:eastAsia="仿宋" w:cs="Times New Roman"/>
          <w:color w:val="auto"/>
          <w:sz w:val="28"/>
          <w:szCs w:val="28"/>
          <w:highlight w:val="none"/>
          <w:lang w:eastAsia="zh-CN"/>
        </w:rPr>
        <w:t>号</w:t>
      </w:r>
    </w:p>
    <w:p w14:paraId="191DAD1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桐城师范高等专科学校消防维保服务采购项目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50000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桐城师范高等专科学校消防维保服务采购项目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3年。</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630"/>
      <w:bookmarkStart w:id="14" w:name="_Toc28359090"/>
      <w:bookmarkStart w:id="15" w:name="_Toc28359013"/>
      <w:bookmarkStart w:id="16" w:name="_Toc35393799"/>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800"/>
      <w:bookmarkStart w:id="18" w:name="_Toc28359091"/>
      <w:bookmarkStart w:id="19" w:name="_Toc28359014"/>
      <w:bookmarkStart w:id="20" w:name="_Toc3539363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3E815088">
      <w:pPr>
        <w:pStyle w:val="48"/>
        <w:rPr>
          <w:rFonts w:hint="eastAsia" w:ascii="仿宋" w:hAnsi="仿宋" w:eastAsia="仿宋"/>
          <w:color w:val="auto"/>
          <w:sz w:val="28"/>
          <w:szCs w:val="28"/>
          <w:highlight w:val="none"/>
          <w:lang w:val="en-US" w:eastAsia="zh-CN"/>
        </w:rPr>
      </w:pPr>
    </w:p>
    <w:p w14:paraId="19FAEBD6">
      <w:pPr>
        <w:pStyle w:val="48"/>
        <w:rPr>
          <w:rFonts w:hint="eastAsia" w:ascii="仿宋" w:hAnsi="仿宋" w:eastAsia="仿宋"/>
          <w:color w:val="auto"/>
          <w:sz w:val="28"/>
          <w:szCs w:val="28"/>
          <w:highlight w:val="none"/>
          <w:lang w:val="en-US" w:eastAsia="zh-CN"/>
        </w:rPr>
      </w:pPr>
    </w:p>
    <w:p w14:paraId="7A255EA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w:t>
      </w:r>
    </w:p>
    <w:p w14:paraId="5DD95948">
      <w:pPr>
        <w:pStyle w:val="48"/>
        <w:ind w:firstLine="546" w:firstLineChars="195"/>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（1）供应商需满足《社会消防技术服务管理规定》（应急管理部令第7号），具备消防技术服务机构从业资格并提供社会消防技术服务信息系统备案查询截图；</w:t>
      </w:r>
    </w:p>
    <w:p w14:paraId="2AF7D3BC">
      <w:pPr>
        <w:pStyle w:val="48"/>
        <w:ind w:firstLine="546" w:firstLineChars="195"/>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（2）供应商近三年（自2023年1月1日起至今）具备至少一项类似项目业绩；</w:t>
      </w:r>
    </w:p>
    <w:p w14:paraId="3AD070AF">
      <w:pPr>
        <w:pStyle w:val="48"/>
        <w:ind w:firstLine="546" w:firstLineChars="195"/>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（3）供应商拟派本项目项目负责人需具备二级及以上注册消防工程师证书，投标文件中提供证书影印件以及自2026年1月1日起供应商为其购买的至今任意一个月的社保证明材料影印件。</w:t>
      </w:r>
    </w:p>
    <w:p w14:paraId="3F75422C">
      <w:pPr>
        <w:pStyle w:val="48"/>
        <w:rPr>
          <w:rFonts w:hint="default"/>
          <w:lang w:val="en-US" w:eastAsia="zh-CN"/>
        </w:rPr>
      </w:pP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6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29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35393801"/>
      <w:bookmarkStart w:id="22" w:name="_Toc35393632"/>
      <w:bookmarkStart w:id="23" w:name="_Toc28359015"/>
      <w:bookmarkStart w:id="24" w:name="_Toc2835909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28359016"/>
      <w:bookmarkStart w:id="26" w:name="_Toc28359093"/>
      <w:bookmarkStart w:id="27" w:name="_Toc35393802"/>
      <w:bookmarkStart w:id="28" w:name="_Toc35393633"/>
      <w:r>
        <w:rPr>
          <w:rFonts w:hint="eastAsia" w:ascii="仿宋" w:hAnsi="仿宋" w:eastAsia="仿宋" w:cs="仿宋"/>
          <w:b w:val="0"/>
          <w:bCs/>
          <w:color w:val="auto"/>
          <w:sz w:val="28"/>
          <w:szCs w:val="28"/>
          <w:highlight w:val="none"/>
        </w:rPr>
        <w:t>截止时间：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6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29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eastAsia="zh-CN"/>
        </w:rPr>
        <w:t>桐城市龙眠东路261号</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35393634"/>
      <w:bookmarkStart w:id="30" w:name="_Toc28359017"/>
      <w:bookmarkStart w:id="31" w:name="_Toc35393803"/>
      <w:bookmarkStart w:id="32" w:name="_Toc28359094"/>
      <w:r>
        <w:rPr>
          <w:rFonts w:hint="eastAsia" w:ascii="仿宋" w:hAnsi="仿宋" w:eastAsia="仿宋"/>
          <w:color w:val="auto"/>
          <w:sz w:val="28"/>
          <w:szCs w:val="28"/>
          <w:highlight w:val="none"/>
          <w:lang w:val="en-US" w:eastAsia="zh-CN"/>
        </w:rPr>
        <w:t>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6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29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eastAsia="zh-CN"/>
        </w:rPr>
        <w:t>桐城市龙眠东路261号</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0"/>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 xml:space="preserve">    八、凡对本次采购提出询问，请按以下方式联系。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联系人：汪老师           联系方式：0556-6181009</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联系人：唐先生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26069"/>
      <w:bookmarkStart w:id="36" w:name="_Toc11266"/>
      <w:bookmarkStart w:id="37" w:name="_Toc5494132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3"/>
        <w:rPr>
          <w:rFonts w:hint="eastAsia" w:eastAsia="宋体" w:cs="Tahoma"/>
          <w:bCs/>
          <w:color w:val="auto"/>
          <w:kern w:val="0"/>
          <w:sz w:val="32"/>
          <w:szCs w:val="32"/>
          <w:highlight w:val="none"/>
          <w:lang w:eastAsia="zh-CN"/>
        </w:rPr>
      </w:pPr>
      <w:bookmarkStart w:id="41" w:name="_Toc439316871"/>
      <w:bookmarkStart w:id="42" w:name="_Toc54941330"/>
      <w:bookmarkStart w:id="43" w:name="_Toc17862"/>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0556-6181009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39"/>
        <w:rPr>
          <w:rFonts w:hint="eastAsia" w:cs="Tahoma"/>
          <w:bCs/>
          <w:color w:val="auto"/>
          <w:kern w:val="0"/>
          <w:sz w:val="32"/>
          <w:szCs w:val="32"/>
          <w:highlight w:val="none"/>
          <w:lang w:val="en-US" w:eastAsia="zh-CN"/>
        </w:rPr>
      </w:pPr>
    </w:p>
    <w:p w14:paraId="2136D265">
      <w:pPr>
        <w:pStyle w:val="39"/>
        <w:rPr>
          <w:rFonts w:hint="eastAsia" w:cs="Tahoma"/>
          <w:bCs/>
          <w:color w:val="auto"/>
          <w:kern w:val="0"/>
          <w:sz w:val="32"/>
          <w:szCs w:val="32"/>
          <w:highlight w:val="none"/>
          <w:lang w:val="en-US" w:eastAsia="zh-CN"/>
        </w:rPr>
      </w:pPr>
    </w:p>
    <w:p w14:paraId="62EEFFFA">
      <w:pPr>
        <w:pStyle w:val="3"/>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10523"/>
      <w:bookmarkStart w:id="45" w:name="_Toc439316873"/>
      <w:bookmarkStart w:id="46" w:name="_Toc7325"/>
      <w:bookmarkStart w:id="47" w:name="_Toc439316919"/>
      <w:bookmarkStart w:id="48" w:name="_Toc21078"/>
      <w:bookmarkStart w:id="49" w:name="_Toc25270"/>
      <w:bookmarkStart w:id="50" w:name="_Toc15055"/>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439316874"/>
      <w:bookmarkStart w:id="52" w:name="_Toc439316920"/>
      <w:bookmarkStart w:id="53" w:name="_Toc1704"/>
      <w:bookmarkStart w:id="54" w:name="_Toc10933"/>
      <w:bookmarkStart w:id="55" w:name="_Toc27113"/>
      <w:bookmarkStart w:id="56" w:name="_Toc24643"/>
      <w:bookmarkStart w:id="57" w:name="_Toc8228"/>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4"/>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4"/>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w:t>
      </w:r>
      <w:bookmarkStart w:id="105" w:name="_GoBack"/>
      <w:bookmarkEnd w:id="105"/>
      <w:r>
        <w:rPr>
          <w:rFonts w:hint="eastAsia" w:asciiTheme="minorEastAsia" w:hAnsiTheme="minorEastAsia" w:eastAsiaTheme="minorEastAsia" w:cstheme="minorEastAsia"/>
          <w:b w:val="0"/>
          <w:bCs/>
          <w:color w:val="auto"/>
          <w:sz w:val="24"/>
          <w:szCs w:val="24"/>
          <w:highlight w:val="none"/>
          <w:lang w:val="en-US" w:eastAsia="zh-CN"/>
        </w:rPr>
        <w:t>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9"/>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2"/>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0"/>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0"/>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0"/>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 1、完成本项目所有服务内容并验收合格后支付当年度合同款项；</w:t>
            </w:r>
          </w:p>
          <w:p w14:paraId="4BD2A12B">
            <w:pPr>
              <w:pStyle w:val="48"/>
              <w:rPr>
                <w:rFonts w:hint="default"/>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若因成交供应商自身原因或上级主管部门政策调整等不可归责于采购方的因素，导致服务未能按合同约定实际交付的，采购方有权不予支付对应未交付部分的服务费用</w:t>
            </w:r>
            <w:r>
              <w:rPr>
                <w:rFonts w:hint="eastAsia" w:cs="宋体"/>
                <w:sz w:val="24"/>
                <w:szCs w:val="24"/>
                <w:lang w:val="en-US" w:eastAsia="zh-CN"/>
              </w:rPr>
              <w:t>。</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桐城师范高等专科学校内</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3年</w:t>
            </w:r>
          </w:p>
        </w:tc>
      </w:tr>
      <w:tr w14:paraId="48D8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5F3BA4A6">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108" w:type="dxa"/>
            <w:vAlign w:val="center"/>
          </w:tcPr>
          <w:p w14:paraId="4BDA42A0">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商务报价</w:t>
            </w:r>
          </w:p>
        </w:tc>
        <w:tc>
          <w:tcPr>
            <w:tcW w:w="6646" w:type="dxa"/>
            <w:vAlign w:val="center"/>
          </w:tcPr>
          <w:p w14:paraId="21B6C73C">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报价按年度报价，最高控制价为5万元/年</w:t>
            </w:r>
          </w:p>
        </w:tc>
      </w:tr>
    </w:tbl>
    <w:p w14:paraId="5EE72C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4"/>
          <w:szCs w:val="24"/>
          <w:highlight w:val="none"/>
          <w:lang w:eastAsia="zh-CN"/>
        </w:rPr>
      </w:pPr>
    </w:p>
    <w:p w14:paraId="5CD3C8E3">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二、维保范围及要求：</w:t>
      </w:r>
    </w:p>
    <w:p w14:paraId="720C5AC1">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1、火灾自动报警及消防联动系统 </w:t>
      </w:r>
    </w:p>
    <w:p w14:paraId="30FCE9C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对火灾自动报警控制器自检功能、消音复位功能、故障报警功能、火灾优先功能、楼层显示功能、联动控制器功能、报警记忆功能、火灾广播功能、打印功能和主备电源自动转化功能进行检查，保证处于正常良好状态。 </w:t>
      </w:r>
    </w:p>
    <w:p w14:paraId="16DE618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（2）每季度按总量的 30%采用专用检测设备对火灾探测器、手动报警器按钮、警铃、声光报警器进行模拟火灾响应实验和故障报警实验。 </w:t>
      </w:r>
    </w:p>
    <w:p w14:paraId="067487F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（3）每月进行报警及控制线路维修检查；每季度对消防系统进行一次全面检查；对烟感探测器进行吹烟模拟实验，抽检率不得低于 50%。 </w:t>
      </w:r>
    </w:p>
    <w:p w14:paraId="423C3C0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（4）每季度对联动控制设备进行手动和自动试验，保证控制器应有控制和显示功能，打印、显示部位编号应一致。每季度进行备泵切换功能实验。 </w:t>
      </w:r>
    </w:p>
    <w:p w14:paraId="64BC037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（5）每月检查试验湿式报警阀、水力警铃动作是否灵敏，喷淋泵是否启动，消防中心显示是否准确。 </w:t>
      </w:r>
    </w:p>
    <w:p w14:paraId="36DE597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（6）每月定期对消防栓系统管网进行全面检查，对腐蚀严重的管道予与更换，对油漆脱落的管道及时除锈刷防锈漆和标志漆。 </w:t>
      </w:r>
    </w:p>
    <w:p w14:paraId="5E17ACBE">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（7）每季度实验测试消防控制联动功能，检查信号反馈是否正常。 </w:t>
      </w:r>
    </w:p>
    <w:p w14:paraId="34D286CC">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2、消火栓灭火系统 </w:t>
      </w:r>
    </w:p>
    <w:p w14:paraId="0EA2312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（1）每月对消防泵房的工作环境、消防泵、电源控制柜、管网、阀门、喷淋头、水泵接合器、储水设备等进行检查，保证其处于完好状态。 </w:t>
      </w:r>
    </w:p>
    <w:p w14:paraId="48524F9F">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（2）每季度检查室内消火栓、灭火器、消防水带、水枪等是否完好；每季度对屋顶消火栓或最不利点消火栓进行出水试验和压力检测。</w:t>
      </w:r>
    </w:p>
    <w:p w14:paraId="1A83C654">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（3）每季度按总量的 30%对消火栓远程启动按钮进行启泵抽查试验，检查自动启泵功能和信号显示是否正常；每月模拟自动控制条件下进行自动启动消防泵和主、备泵切换试验。 </w:t>
      </w:r>
    </w:p>
    <w:p w14:paraId="538CBE3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（4）每月对室外消火栓系统进行放水试验，保持消防水源的清洁。对不能使用或损坏的阀门进行维修、更换。 </w:t>
      </w:r>
    </w:p>
    <w:p w14:paraId="41DD798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3、气体灭火系统 </w:t>
      </w:r>
    </w:p>
    <w:p w14:paraId="4503701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（1）每季度检查储气瓶间及防护区工作环境、储气瓶、阀驱动装置、管网、喷嘴、紧急启动按钮、放气灯、声光报警装置等是否正常。 </w:t>
      </w:r>
    </w:p>
    <w:p w14:paraId="5BA5329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（2）每季度检查保养各台气体灭火控制器，测试其功能是否正常。 </w:t>
      </w:r>
    </w:p>
    <w:p w14:paraId="7DD9C0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（3）每月检查启动瓶药剂贮瓶的压力是否符合出厂充装压力和设计要求（压力表指针是否在绿区），有无泄漏现象。 </w:t>
      </w:r>
    </w:p>
    <w:p w14:paraId="6A0A2ED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（4）每月检查试验手动、自动紧急启、停放气装置功能是否正常。 </w:t>
      </w:r>
    </w:p>
    <w:p w14:paraId="2758CD2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（5）每季度对电磁阀、瓶头阀解体清洗，加硅油润滑。 </w:t>
      </w:r>
    </w:p>
    <w:p w14:paraId="603EE50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每季度模拟自动报警系统中的烟、温感探测器同时动作，通风设施是否停止，防火阀是否关闭，检查气瓶的电磁阀是否在规定的时间内动作，控制屏是否有放气信号，消防中心是否有信号，警铃、蜂鸣器是否动作。 </w:t>
      </w:r>
    </w:p>
    <w:p w14:paraId="784BEDAE">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（7）每季度检查气体灭火系统启动瓶、药剂瓶有无变形，有无腐蚀、脱漆。 </w:t>
      </w:r>
    </w:p>
    <w:p w14:paraId="3681786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（8）每季度检查控制气管有无变形或松脱，检查高压软管有无变形、生锈或老化。 </w:t>
      </w:r>
    </w:p>
    <w:p w14:paraId="561D632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（9）每月检查气体保护区域（防护区）内的围护结构、开口等是否符合要求。 </w:t>
      </w:r>
    </w:p>
    <w:p w14:paraId="4664F2B1">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（10）每季度对灭火剂储存容器进行承重检查，灭火剂净重不得少于设计量的 5%。</w:t>
      </w:r>
    </w:p>
    <w:p w14:paraId="10E25CA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（11）每半年对每个防护区进行一次模拟自动启动试验。 </w:t>
      </w:r>
    </w:p>
    <w:p w14:paraId="5D28BDA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4、机械防排烟系统 </w:t>
      </w:r>
    </w:p>
    <w:p w14:paraId="6459811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（1）每月检查送风、排烟风机机房的工作环境，送风、排烟风机的电源控制箱、送风口、排风口，防火阀、排烟阀等是否处于正常完好状态。 </w:t>
      </w:r>
    </w:p>
    <w:p w14:paraId="2B9542CC">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（2）每季度按安装总量的 20%和 30%，分别试验手动方式和自动方式启动排烟阀，检查动作及反馈信号是否正常。 </w:t>
      </w:r>
    </w:p>
    <w:p w14:paraId="2B9C58F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（3）每季度与火灾报警控制器和消防控制室进行联动试验，检查送风机、排烟机、防火阀等动作及反馈信号是否正常（包括远程启停送、排风一次）。 </w:t>
      </w:r>
    </w:p>
    <w:p w14:paraId="2B5A7FF7">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（4）每季度定期对正压送风机（排烟风机和电机）、正压送风阀（排烟阀）进行保养，对转动部位加润滑油并调整风机皮带松紧度等。 </w:t>
      </w:r>
    </w:p>
    <w:p w14:paraId="3DB568AF">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（5）每季度按安装总量的 30%试验自动方式打开排烟口，启动送风机、排烟机；每季度按安装总量的 25%试验手动方式关闭防火阀；每季度试验自动方式关闭电动防火阀。 </w:t>
      </w:r>
    </w:p>
    <w:p w14:paraId="6CF0CE5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5、防火分隔系统 </w:t>
      </w:r>
    </w:p>
    <w:p w14:paraId="79B1EC44">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（1）每季度试验手动按钮启动防火卷帘门能否正常升降。 </w:t>
      </w:r>
    </w:p>
    <w:p w14:paraId="7FE65E64">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（2）每季度按总量的 30%进行抽检防火门的启闭功能，检查闭门器及顺序器是否完好。 </w:t>
      </w:r>
    </w:p>
    <w:p w14:paraId="43834F9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（3）每季度通过消防控制室进行联动试验，检查防火卷帘门联动功能和反馈信号是否正常。 </w:t>
      </w:r>
    </w:p>
    <w:p w14:paraId="7C198A0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6、应急照明及疏散指示系统 </w:t>
      </w:r>
    </w:p>
    <w:p w14:paraId="63F44E3D">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（1）每季度检查应急照明灯和疏散指示标志是否处于正常完好状态（维护保养，如需更换，应与采购人保卫处联系）。 </w:t>
      </w:r>
    </w:p>
    <w:p w14:paraId="6904C74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（2）每季度按总量的 30%试验应急照明和疏散指示灯的工作、照度和疏散照度是否正常和达到要求。 </w:t>
      </w:r>
    </w:p>
    <w:p w14:paraId="7C121B1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（3）每季度检查应急照明系统和 EPS 系统电源工作是否正常，对电池组放电时间进行检查。 </w:t>
      </w:r>
    </w:p>
    <w:p w14:paraId="4EB9C69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（4）每季度检查防火门的密封性是否良好，钢质防火门有无生锈、脱漆现象防火门的开启力度是否适中，闭门器有无漏油或松动。 </w:t>
      </w:r>
    </w:p>
    <w:p w14:paraId="21E84B27">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7、消防通讯及广播系统 </w:t>
      </w:r>
    </w:p>
    <w:p w14:paraId="2B36418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（1）每月检查电话插孔、电梯对讲电话、播音设备、扬声器等是否正常。 </w:t>
      </w:r>
    </w:p>
    <w:p w14:paraId="684C8FE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（2）每季度定期对消防广播主机进行一次检测维护保养。 </w:t>
      </w:r>
    </w:p>
    <w:p w14:paraId="116CBCBD">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8、自动喷水灭火系统 </w:t>
      </w:r>
    </w:p>
    <w:p w14:paraId="4F4435CC">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（1）每月对喷淋泵房的工作环境、喷淋泵、电源控制柜、湿式报警阀、管网、阀门、喷头、水泵接合器、储水设备等进行检查，保证处于完好状态。 </w:t>
      </w:r>
    </w:p>
    <w:p w14:paraId="765019CD">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（2）每月利用报警阀上的放水实验阀进行放水，试验系统供水情况；测试水力警铃工作是否正常，压力开关电信号是否正确。</w:t>
      </w:r>
    </w:p>
    <w:p w14:paraId="425A6FB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（3）每月利用末端放水装置进行放水实验，检查水流指示器和压力开关报警功能、自动启泵功能和信号显示是否正常。 </w:t>
      </w:r>
    </w:p>
    <w:p w14:paraId="2D3C8DF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（4）每月手动启动喷淋泵，模拟自动控制条件下进行自动启动喷淋泵，进行主、备泵切换功能实验。 </w:t>
      </w:r>
    </w:p>
    <w:p w14:paraId="17CA723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（5）每月检查试验湿式报警阀、水力警铃动作是否灵敏，喷淋泵是否启动，消防中心显示是否准确。 </w:t>
      </w:r>
    </w:p>
    <w:p w14:paraId="7D066C1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（6）每月定期对消防栓系统管网进行全面检查，对腐蚀严重的管道予与更换，对油漆脱落的管道及时除锈刷防锈漆和标志漆。 </w:t>
      </w:r>
    </w:p>
    <w:p w14:paraId="4DE20A54">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（7）每月实验测试消防控制联动功能，检查信号反馈是否正常。 </w:t>
      </w:r>
    </w:p>
    <w:p w14:paraId="0F9EE7C1">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9、水泵、恒压泵、控制柜、联动柜 </w:t>
      </w:r>
    </w:p>
    <w:p w14:paraId="4254871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（1）每月检查试验自动和手动启动消防水泵，观察流量、压力、运行电流是否正常，并做好记录存档。 </w:t>
      </w:r>
    </w:p>
    <w:p w14:paraId="31D23131">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（2）每月检查各控制柜到消防中心信号是否正常，控制柜各指示灯各功能是否正常。 </w:t>
      </w:r>
    </w:p>
    <w:p w14:paraId="3AC689F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（3）每月检查联动柜内部电路，测试其功能是否正常，并进行吸尘、紧固接线保养工作。 </w:t>
      </w:r>
    </w:p>
    <w:p w14:paraId="1C20B9A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（4）每月检查消防水泵主备电源自动切换装置是否正常。打开水泵出水管上的放水试验阀，用主电源启动消防水泵，消防水泵启动应正常；关掉主电源，主、备电源切换正常，试验 1～3 次。 </w:t>
      </w:r>
    </w:p>
    <w:p w14:paraId="35FBBB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（5）每月测试水泵的相间及对地电阻是否符合要求，并做好记录。 </w:t>
      </w:r>
    </w:p>
    <w:p w14:paraId="1A4B8252">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（6）每月测试消防水泵的故障自投功能是否正常。 </w:t>
      </w:r>
    </w:p>
    <w:p w14:paraId="2D12607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（7）定期添加或更换水泵的润滑油。 </w:t>
      </w:r>
    </w:p>
    <w:p w14:paraId="212CE5D7">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10、其它消防设备设施 </w:t>
      </w:r>
    </w:p>
    <w:p w14:paraId="49389EEF">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（1）每月检查安全出口、疏散通道是否畅通。 </w:t>
      </w:r>
    </w:p>
    <w:p w14:paraId="54E95E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（2）每月系统检查消防水池、消防水箱能否满足正常工作需要，技术参数是否在正常范围内。并检查消防补水泵工作情况。满足正常补水要求。 </w:t>
      </w:r>
    </w:p>
    <w:p w14:paraId="45197A6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（3）每季度检查并试验消防电梯的迫降功能是否正常；检查并试验消防电源的末端切换功能是否正常；检查并试验切断非消防电源功能是否正常。 </w:t>
      </w:r>
    </w:p>
    <w:p w14:paraId="1C72E08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（4）自动跟踪定位射流灭火系统每月对信号阀、水流指示器、电磁阀、阀、探测器和联动控制柜的测试。 </w:t>
      </w:r>
    </w:p>
    <w:p w14:paraId="6B592CAC">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（5）电气火灾监控设备每天对电气火灾监控设备的查看；每月的电气火灾监控设备的主要组件进行测试和对线路的查看。 </w:t>
      </w:r>
    </w:p>
    <w:p w14:paraId="701C9C32">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三、其他要求</w:t>
      </w:r>
    </w:p>
    <w:p w14:paraId="1861A17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（1）成交供应商提供 24 小时的随传随到的紧急维修服务，接到采购人设备故障抢修的通知后，立即做好故障抢修的一切准备工作，2小时内派有经验的工程师到采购人指定的故障现场进行维修，并保证在 24 小时内修复故障（设备本身损坏原因除外），遇有特殊情况不能按时修复的，成交供应商应立即向采购人报告故障原因和存在的困难。如由于成交供应商工作延误导致人身、财产损失，由成交供应商承担全部责任。 </w:t>
      </w:r>
    </w:p>
    <w:p w14:paraId="56A9292D">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（2）消防自动报警系统在运行期间如出现故障，成交供应商在接到采购人通知后，必须安排技术人员在 1 个小时内到达现场进行故障排除。 </w:t>
      </w:r>
    </w:p>
    <w:p w14:paraId="343C679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维保内容严格按维保方案进行，不得有任何减少项目的行为。成交供应商严格贯彻执行维保行业质量标准，维护采购人利益。严格按照消防维护操作规程和作业规范，精心维护、保养采购人的消防系统，并且诚心接受采购人及采购人委派的专业人员的检查。维保质量须达到国家有关质量检查评定标准。 </w:t>
      </w:r>
    </w:p>
    <w:p w14:paraId="2B42CE9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成交供应商按计划对消防系统定期进行检查、维保。进行自检测，出具检查报告。定期系统检查，对系统进行抽查，并提供维保报告。每次检查完毕，出示检查报告，成交供应商与采购人双方签字认可，一式二份，双方各执一份，建立年度维保档案。</w:t>
      </w:r>
    </w:p>
    <w:p w14:paraId="31EDCD0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 （5）如遇重大活动、事件、重要节假日，成交供应商将根据采购人要求增加人员和巡查次数，确保消防系统安全可靠运行。消防（年度）检测中，成交供应商做好消防年底考核迎检工作及各种消防工作及安全检查，并保证采购人能够顺利通过考核。考核无法通过或收到罚款单的，成交供应商需加倍赔偿采购人。 </w:t>
      </w:r>
    </w:p>
    <w:p w14:paraId="2275ADDD">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6）在冬季，尤其是极寒低温天气，成交供应商要提前对消防系统和设施设备进行全面检查、集中保养，做好防护措施，确保所有的设施设备都能顺利地工作。如因检查防护不到位，造成的所有损失由成交供应商负责。 </w:t>
      </w:r>
    </w:p>
    <w:p w14:paraId="46EA14AE">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7）成交供应商在维保过程中，严格遵守学校各项规章制度和安全管理规范，并郑重承诺本单位从事维保的人员在学校的行为均由成交供应商承担相应的法律责任。维保人员因任何违反安全操作规程所造成的事故，均由成交供应商承担责任。合同签订后，成交供应商首先对维修保养的建筑消防设备进行一次全面检查，采购人将系统全部移交于成交供应商，自合同签订之日起，由成交供应商负责维护、保养及损坏设施的更换。  </w:t>
      </w:r>
    </w:p>
    <w:p w14:paraId="3FB0CE04">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（8）合同履约期内，成交供应商免费为采购人操作人员提供以上消防的相关技术咨询与培训，每半年不少于一次，确保其能正常操作及使用相关消防设施设备。 </w:t>
      </w:r>
    </w:p>
    <w:p w14:paraId="1114ABD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（9）每年至少针对不同区域做 2次系统全面的消防演练。 </w:t>
      </w:r>
    </w:p>
    <w:p w14:paraId="5548C0E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（10）每年至少针对不同对象做 2次系统全面的消防安全教育</w:t>
      </w:r>
      <w:r>
        <w:rPr>
          <w:rFonts w:hint="eastAsia" w:ascii="宋体" w:hAnsi="宋体" w:eastAsia="宋体" w:cs="宋体"/>
          <w:color w:val="auto"/>
          <w:sz w:val="24"/>
          <w:szCs w:val="24"/>
          <w:highlight w:val="none"/>
          <w:lang w:val="en-US" w:eastAsia="zh-CN"/>
        </w:rPr>
        <w:t>。</w:t>
      </w:r>
    </w:p>
    <w:p w14:paraId="11CE4B0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在服务期间，若因成交供应商自身原因或上级主管部门政策调整等不可归责于采购方的因素，导致服务未能按合同约定实际交付的，采购方有权不予支付对应未交付部分的服务费用。</w:t>
      </w:r>
    </w:p>
    <w:p w14:paraId="7B5CED0C">
      <w:pPr>
        <w:pStyle w:val="48"/>
        <w:numPr>
          <w:ilvl w:val="0"/>
          <w:numId w:val="0"/>
        </w:numPr>
        <w:rPr>
          <w:rFonts w:hint="default"/>
          <w:lang w:val="en-US" w:eastAsia="zh-CN"/>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39"/>
        <w:rPr>
          <w:rFonts w:hint="eastAsia" w:ascii="Arial" w:hAnsi="Arial"/>
          <w:color w:val="auto"/>
          <w:kern w:val="2"/>
          <w:sz w:val="32"/>
          <w:szCs w:val="32"/>
          <w:highlight w:val="none"/>
          <w:lang w:val="en-US" w:eastAsia="zh-CN"/>
        </w:rPr>
      </w:pPr>
    </w:p>
    <w:p w14:paraId="66B07C57">
      <w:pPr>
        <w:pStyle w:val="39"/>
        <w:ind w:left="0" w:leftChars="0" w:firstLine="0" w:firstLineChars="0"/>
        <w:rPr>
          <w:rFonts w:hint="eastAsia" w:ascii="Arial" w:hAnsi="Arial"/>
          <w:color w:val="auto"/>
          <w:kern w:val="2"/>
          <w:sz w:val="32"/>
          <w:szCs w:val="32"/>
          <w:highlight w:val="none"/>
          <w:lang w:val="en-US" w:eastAsia="zh-CN"/>
        </w:rPr>
      </w:pPr>
    </w:p>
    <w:p w14:paraId="21087EDD">
      <w:pPr>
        <w:rPr>
          <w:rFonts w:hint="eastAsia" w:ascii="Arial" w:hAnsi="Arial"/>
          <w:color w:val="auto"/>
          <w:kern w:val="2"/>
          <w:sz w:val="32"/>
          <w:szCs w:val="32"/>
          <w:highlight w:val="none"/>
          <w:lang w:val="en-US" w:eastAsia="zh-CN"/>
        </w:rPr>
      </w:pPr>
    </w:p>
    <w:p w14:paraId="25A3D5CF">
      <w:pPr>
        <w:rPr>
          <w:rFonts w:hint="eastAsia" w:ascii="Arial" w:hAnsi="Arial"/>
          <w:color w:val="auto"/>
          <w:kern w:val="2"/>
          <w:sz w:val="32"/>
          <w:szCs w:val="32"/>
          <w:highlight w:val="none"/>
          <w:lang w:val="en-US" w:eastAsia="zh-CN"/>
        </w:rPr>
      </w:pPr>
    </w:p>
    <w:p w14:paraId="01F6DFA5">
      <w:pPr>
        <w:rPr>
          <w:rFonts w:hint="eastAsia" w:ascii="Arial" w:hAnsi="Arial"/>
          <w:color w:val="auto"/>
          <w:kern w:val="2"/>
          <w:sz w:val="32"/>
          <w:szCs w:val="32"/>
          <w:highlight w:val="none"/>
          <w:lang w:val="en-US" w:eastAsia="zh-CN"/>
        </w:rPr>
      </w:pPr>
    </w:p>
    <w:p w14:paraId="02AEC6B9">
      <w:pPr>
        <w:rPr>
          <w:rFonts w:hint="eastAsia" w:ascii="Arial" w:hAnsi="Arial"/>
          <w:color w:val="auto"/>
          <w:kern w:val="2"/>
          <w:sz w:val="32"/>
          <w:szCs w:val="32"/>
          <w:highlight w:val="none"/>
          <w:lang w:val="en-US" w:eastAsia="zh-CN"/>
        </w:rPr>
      </w:pPr>
    </w:p>
    <w:p w14:paraId="73403C8D">
      <w:pPr>
        <w:rPr>
          <w:rFonts w:hint="eastAsia" w:ascii="Arial" w:hAnsi="Arial"/>
          <w:color w:val="auto"/>
          <w:kern w:val="2"/>
          <w:sz w:val="32"/>
          <w:szCs w:val="32"/>
          <w:highlight w:val="none"/>
          <w:lang w:val="en-US" w:eastAsia="zh-CN"/>
        </w:rPr>
      </w:pPr>
    </w:p>
    <w:p w14:paraId="58F86E94">
      <w:pPr>
        <w:rPr>
          <w:rFonts w:hint="eastAsia" w:ascii="Arial" w:hAnsi="Arial"/>
          <w:color w:val="auto"/>
          <w:kern w:val="2"/>
          <w:sz w:val="32"/>
          <w:szCs w:val="32"/>
          <w:highlight w:val="none"/>
          <w:lang w:val="en-US" w:eastAsia="zh-CN"/>
        </w:rPr>
      </w:pPr>
    </w:p>
    <w:p w14:paraId="28D4ED91">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3"/>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4"/>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69" w:name="_Toc28300"/>
      <w:bookmarkStart w:id="70" w:name="_Toc3977"/>
      <w:bookmarkStart w:id="71" w:name="_Toc7241"/>
      <w:bookmarkStart w:id="72" w:name="_Toc27586"/>
      <w:bookmarkStart w:id="73" w:name="_Toc431"/>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69"/>
    <w:bookmarkEnd w:id="70"/>
    <w:bookmarkEnd w:id="71"/>
    <w:bookmarkEnd w:id="72"/>
    <w:bookmarkEnd w:id="73"/>
    <w:p w14:paraId="620E3760">
      <w:pPr>
        <w:pStyle w:val="2"/>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39"/>
        <w:rPr>
          <w:rFonts w:hint="eastAsia"/>
          <w:color w:val="auto"/>
          <w:highlight w:val="none"/>
          <w:lang w:val="en-US" w:eastAsia="zh-CN"/>
        </w:rPr>
      </w:pPr>
    </w:p>
    <w:p w14:paraId="46BEDF36">
      <w:pPr>
        <w:pStyle w:val="39"/>
        <w:ind w:left="0" w:leftChars="0" w:firstLine="0" w:firstLineChars="0"/>
        <w:rPr>
          <w:rFonts w:hint="eastAsia"/>
          <w:color w:val="auto"/>
          <w:highlight w:val="none"/>
          <w:lang w:val="en-US" w:eastAsia="zh-CN"/>
        </w:rPr>
      </w:pPr>
    </w:p>
    <w:p w14:paraId="335A0B27">
      <w:pPr>
        <w:pStyle w:val="39"/>
        <w:rPr>
          <w:rFonts w:hint="eastAsia"/>
          <w:color w:val="auto"/>
          <w:highlight w:val="none"/>
          <w:lang w:val="en-US" w:eastAsia="zh-CN"/>
        </w:rPr>
      </w:pPr>
    </w:p>
    <w:p w14:paraId="4F07A0B1">
      <w:pPr>
        <w:pStyle w:val="39"/>
        <w:rPr>
          <w:rFonts w:hint="eastAsia"/>
          <w:color w:val="auto"/>
          <w:highlight w:val="none"/>
          <w:lang w:val="en-US" w:eastAsia="zh-CN"/>
        </w:rPr>
      </w:pPr>
    </w:p>
    <w:p w14:paraId="08DDD893">
      <w:pPr>
        <w:pStyle w:val="2"/>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合 同</w:t>
      </w:r>
    </w:p>
    <w:p w14:paraId="1C818252">
      <w:pPr>
        <w:pStyle w:val="15"/>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D8E6547">
      <w:pPr>
        <w:pStyle w:val="15"/>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15"/>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15"/>
        <w:rPr>
          <w:rFonts w:hint="eastAsia" w:ascii="宋体" w:hAnsi="宋体" w:eastAsia="宋体" w:cs="宋体"/>
          <w:b/>
          <w:bCs/>
          <w:spacing w:val="-20"/>
          <w:kern w:val="44"/>
          <w:sz w:val="24"/>
          <w:szCs w:val="24"/>
          <w:highlight w:val="none"/>
        </w:rPr>
      </w:pPr>
    </w:p>
    <w:p w14:paraId="2B08A30A">
      <w:pPr>
        <w:pStyle w:val="15"/>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08B3F7FC">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74"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合同协议书</w:t>
      </w:r>
      <w:bookmarkEnd w:id="74"/>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3D2B1E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38"/>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6E9C6BB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58711E28">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lang w:val="en-US" w:eastAsia="zh-CN"/>
        </w:rPr>
        <w:t xml:space="preserve">                                         </w:t>
      </w:r>
    </w:p>
    <w:p w14:paraId="616B3AC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（3）履约验收方式：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3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18256E5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6.违约责任</w:t>
      </w:r>
    </w:p>
    <w:p w14:paraId="6F07CD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；迟延履行的违约金计算数额达到前述最高限额之日起，甲方有权在要求乙方支付违约金的同时，书面通知乙方解除本合同；</w:t>
      </w:r>
    </w:p>
    <w:p w14:paraId="1954978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6.2除不可抗力外，如果甲方没有按照本合同约定的付款方式付款，那么乙方可要求甲方支付违约金，违约金按每迟延付款一日的应付而未付款的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；迟延付款的违约金计算数额达到前述最高限额之日起，乙方有权在要求甲方支付违约金的同时，书面通知甲方解除本合同；</w:t>
      </w:r>
    </w:p>
    <w:p w14:paraId="5D4595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及要求违约方向守约方支付合同结算金额的30%的违约金；</w:t>
      </w:r>
    </w:p>
    <w:p w14:paraId="51971D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5628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8187B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6.6因任何一方违约引发诉讼的，违约方应承担守约方为维护自身权益而产生的合理成本支出，包括但不限于律师费、诉讼费、保全费、差旅费、公证费、鉴定费等。</w:t>
      </w:r>
    </w:p>
    <w:p w14:paraId="753F8968">
      <w:pPr>
        <w:snapToGrid w:val="0"/>
        <w:spacing w:line="360" w:lineRule="auto"/>
        <w:ind w:firstLine="482" w:firstLineChars="200"/>
        <w:rPr>
          <w:rFonts w:hint="eastAsia" w:ascii="宋体" w:hAnsi="宋体" w:cs="宋体"/>
          <w:b/>
          <w:bCs/>
          <w:sz w:val="24"/>
          <w:szCs w:val="24"/>
        </w:rPr>
      </w:pPr>
      <w:bookmarkStart w:id="75" w:name="_Toc15583"/>
      <w:bookmarkStart w:id="76" w:name="_Toc16021"/>
      <w:bookmarkStart w:id="77" w:name="_Toc28375"/>
      <w:r>
        <w:rPr>
          <w:rFonts w:hint="eastAsia" w:ascii="宋体" w:hAnsi="宋体" w:cs="宋体"/>
          <w:b/>
          <w:bCs/>
          <w:sz w:val="24"/>
          <w:szCs w:val="24"/>
        </w:rPr>
        <w:t>7.合同争议的解决</w:t>
      </w:r>
      <w:bookmarkEnd w:id="75"/>
      <w:bookmarkEnd w:id="76"/>
      <w:bookmarkEnd w:id="77"/>
    </w:p>
    <w:p w14:paraId="61B45C1E">
      <w:pPr>
        <w:snapToGrid w:val="0"/>
        <w:spacing w:line="360" w:lineRule="auto"/>
        <w:ind w:firstLine="720" w:firstLineChars="300"/>
      </w:pPr>
      <w:r>
        <w:rPr>
          <w:rFonts w:hint="eastAsia" w:ascii="宋体" w:hAnsi="宋体" w:cs="宋体"/>
          <w:sz w:val="24"/>
          <w:szCs w:val="24"/>
        </w:rPr>
        <w:t>本合同如发生争议，买卖双方应当及时协商解决，协商不成时，按以下方式处理：向</w:t>
      </w:r>
      <w:r>
        <w:rPr>
          <w:rFonts w:hint="eastAsia" w:ascii="宋体" w:hAnsi="宋体" w:cs="宋体"/>
          <w:sz w:val="24"/>
          <w:szCs w:val="24"/>
          <w:u w:val="single"/>
        </w:rPr>
        <w:t xml:space="preserve">  桐城市 </w:t>
      </w:r>
      <w:r>
        <w:rPr>
          <w:rFonts w:hint="eastAsia" w:ascii="宋体" w:hAnsi="宋体" w:cs="宋体"/>
          <w:sz w:val="24"/>
          <w:szCs w:val="24"/>
        </w:rPr>
        <w:t>人民法院起诉。</w:t>
      </w:r>
    </w:p>
    <w:p w14:paraId="5F3EC4F6">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8.合同生效</w:t>
      </w:r>
    </w:p>
    <w:p w14:paraId="0616F7F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签字盖章之日起 </w:t>
      </w:r>
      <w:r>
        <w:rPr>
          <w:rFonts w:hint="eastAsia" w:ascii="宋体" w:hAnsi="宋体" w:cs="宋体"/>
          <w:sz w:val="24"/>
          <w:szCs w:val="24"/>
        </w:rPr>
        <w:t>生效。</w:t>
      </w:r>
    </w:p>
    <w:p w14:paraId="3A32CBF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9.合同份数</w:t>
      </w:r>
    </w:p>
    <w:p w14:paraId="49C6ABE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叁 </w:t>
      </w:r>
      <w:r>
        <w:rPr>
          <w:rFonts w:hint="eastAsia" w:ascii="宋体" w:hAnsi="宋体" w:cs="宋体"/>
          <w:sz w:val="24"/>
          <w:szCs w:val="24"/>
        </w:rPr>
        <w:t>份，甲方执</w:t>
      </w:r>
      <w:r>
        <w:rPr>
          <w:rFonts w:hint="eastAsia" w:ascii="宋体" w:hAnsi="宋体" w:cs="宋体"/>
          <w:sz w:val="24"/>
          <w:szCs w:val="24"/>
          <w:u w:val="single"/>
        </w:rPr>
        <w:t xml:space="preserve"> 贰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份，均具有同等法律效力。</w:t>
      </w:r>
    </w:p>
    <w:p w14:paraId="65BD7E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19BACB3">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桐城师范高等专科学校 </w:t>
      </w:r>
    </w:p>
    <w:p w14:paraId="3C3D0F2B">
      <w:pPr>
        <w:pStyle w:val="15"/>
      </w:pPr>
    </w:p>
    <w:p w14:paraId="0066D489">
      <w:pPr>
        <w:pStyle w:val="15"/>
      </w:pPr>
    </w:p>
    <w:p w14:paraId="3D1A9681">
      <w:pPr>
        <w:pStyle w:val="15"/>
      </w:pPr>
    </w:p>
    <w:p w14:paraId="23790388">
      <w:pPr>
        <w:pStyle w:val="15"/>
      </w:pPr>
    </w:p>
    <w:p w14:paraId="7E5FD5C4">
      <w:pPr>
        <w:pStyle w:val="15"/>
      </w:pPr>
    </w:p>
    <w:p w14:paraId="46961BC4">
      <w:pPr>
        <w:pStyle w:val="15"/>
      </w:pPr>
    </w:p>
    <w:p w14:paraId="66EA178F">
      <w:pPr>
        <w:pStyle w:val="15"/>
      </w:pPr>
    </w:p>
    <w:p w14:paraId="68943FBE">
      <w:pPr>
        <w:pStyle w:val="15"/>
      </w:pPr>
    </w:p>
    <w:p w14:paraId="7F7D50D4">
      <w:pPr>
        <w:pStyle w:val="15"/>
      </w:pPr>
    </w:p>
    <w:tbl>
      <w:tblPr>
        <w:tblStyle w:val="40"/>
        <w:tblW w:w="508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721"/>
        <w:gridCol w:w="2093"/>
        <w:gridCol w:w="2417"/>
        <w:gridCol w:w="2204"/>
      </w:tblGrid>
      <w:tr w14:paraId="77070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51" w:type="pct"/>
            <w:gridSpan w:val="2"/>
            <w:tcBorders>
              <w:bottom w:val="single" w:color="auto" w:sz="2" w:space="0"/>
              <w:right w:val="single" w:color="auto" w:sz="2" w:space="0"/>
            </w:tcBorders>
            <w:vAlign w:val="center"/>
          </w:tcPr>
          <w:p w14:paraId="0D7BAAAF">
            <w:pPr>
              <w:snapToGrid w:val="0"/>
              <w:spacing w:line="360" w:lineRule="auto"/>
              <w:jc w:val="center"/>
              <w:rPr>
                <w:rFonts w:hint="eastAsia" w:ascii="宋体" w:hAnsi="宋体" w:cs="宋体"/>
                <w:sz w:val="24"/>
                <w:szCs w:val="24"/>
              </w:rPr>
            </w:pPr>
            <w:r>
              <w:rPr>
                <w:rFonts w:hint="eastAsia" w:ascii="宋体" w:hAnsi="宋体" w:cs="宋体"/>
                <w:sz w:val="24"/>
                <w:szCs w:val="24"/>
              </w:rPr>
              <w:t>甲方（采购人、受采购人委托签订合同的单位或采购文件约定的合同甲方）</w:t>
            </w:r>
          </w:p>
        </w:tc>
        <w:tc>
          <w:tcPr>
            <w:tcW w:w="2448" w:type="pct"/>
            <w:gridSpan w:val="2"/>
            <w:tcBorders>
              <w:left w:val="single" w:color="auto" w:sz="2" w:space="0"/>
              <w:bottom w:val="single" w:color="auto" w:sz="2" w:space="0"/>
            </w:tcBorders>
            <w:vAlign w:val="center"/>
          </w:tcPr>
          <w:p w14:paraId="5C4FA8AE">
            <w:pPr>
              <w:snapToGrid w:val="0"/>
              <w:spacing w:line="360" w:lineRule="auto"/>
              <w:jc w:val="center"/>
              <w:rPr>
                <w:rFonts w:hint="eastAsia" w:ascii="宋体" w:hAnsi="宋体" w:cs="宋体"/>
                <w:sz w:val="24"/>
                <w:szCs w:val="24"/>
              </w:rPr>
            </w:pPr>
            <w:r>
              <w:rPr>
                <w:rFonts w:hint="eastAsia" w:ascii="宋体" w:hAnsi="宋体" w:cs="宋体"/>
                <w:sz w:val="24"/>
                <w:szCs w:val="24"/>
              </w:rPr>
              <w:t>乙方（供应商）</w:t>
            </w:r>
          </w:p>
        </w:tc>
      </w:tr>
      <w:tr w14:paraId="7DCDF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2F36E5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2FDE2D9F">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09" w:type="pct"/>
            <w:tcBorders>
              <w:top w:val="single" w:color="auto" w:sz="2" w:space="0"/>
              <w:left w:val="single" w:color="auto" w:sz="2" w:space="0"/>
              <w:bottom w:val="single" w:color="auto" w:sz="2" w:space="0"/>
              <w:right w:val="single" w:color="auto" w:sz="2" w:space="0"/>
            </w:tcBorders>
            <w:vAlign w:val="center"/>
          </w:tcPr>
          <w:p w14:paraId="7988F0F1">
            <w:pPr>
              <w:snapToGrid w:val="0"/>
              <w:spacing w:line="360" w:lineRule="auto"/>
              <w:jc w:val="center"/>
              <w:rPr>
                <w:rFonts w:hint="eastAsia" w:ascii="宋体" w:hAnsi="宋体" w:cs="宋体"/>
                <w:sz w:val="24"/>
                <w:szCs w:val="24"/>
              </w:rPr>
            </w:pPr>
            <w:r>
              <w:rPr>
                <w:rFonts w:hint="eastAsia" w:ascii="宋体" w:hAnsi="宋体" w:cs="宋体"/>
                <w:sz w:val="24"/>
                <w:szCs w:val="24"/>
              </w:rPr>
              <w:t>桐城师范高等专科学校</w:t>
            </w:r>
          </w:p>
        </w:tc>
        <w:tc>
          <w:tcPr>
            <w:tcW w:w="1281" w:type="pct"/>
            <w:tcBorders>
              <w:top w:val="single" w:color="auto" w:sz="2" w:space="0"/>
              <w:left w:val="single" w:color="auto" w:sz="2" w:space="0"/>
              <w:bottom w:val="single" w:color="auto" w:sz="2" w:space="0"/>
              <w:right w:val="single" w:color="auto" w:sz="2" w:space="0"/>
            </w:tcBorders>
            <w:vAlign w:val="center"/>
          </w:tcPr>
          <w:p w14:paraId="159058F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5DB2E376">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66" w:type="pct"/>
            <w:tcBorders>
              <w:top w:val="single" w:color="auto" w:sz="2" w:space="0"/>
              <w:left w:val="single" w:color="auto" w:sz="2" w:space="0"/>
              <w:bottom w:val="single" w:color="auto" w:sz="2" w:space="0"/>
            </w:tcBorders>
            <w:vAlign w:val="center"/>
          </w:tcPr>
          <w:p w14:paraId="32CD01E1">
            <w:pPr>
              <w:snapToGrid w:val="0"/>
              <w:spacing w:line="360" w:lineRule="auto"/>
              <w:jc w:val="center"/>
              <w:rPr>
                <w:rFonts w:hint="eastAsia" w:ascii="宋体" w:hAnsi="宋体" w:cs="宋体"/>
                <w:spacing w:val="20"/>
                <w:sz w:val="24"/>
                <w:szCs w:val="24"/>
              </w:rPr>
            </w:pPr>
          </w:p>
        </w:tc>
      </w:tr>
      <w:tr w14:paraId="06D96A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restart"/>
            <w:tcBorders>
              <w:top w:val="single" w:color="auto" w:sz="2" w:space="0"/>
              <w:right w:val="single" w:color="auto" w:sz="2" w:space="0"/>
            </w:tcBorders>
            <w:vAlign w:val="center"/>
          </w:tcPr>
          <w:p w14:paraId="6096F1D1">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19C7B82B">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或其委托代理人</w:t>
            </w:r>
          </w:p>
          <w:p w14:paraId="1DF109E9">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（签章）</w:t>
            </w:r>
          </w:p>
        </w:tc>
        <w:tc>
          <w:tcPr>
            <w:tcW w:w="1109" w:type="pct"/>
            <w:vMerge w:val="restart"/>
            <w:tcBorders>
              <w:top w:val="single" w:color="auto" w:sz="2" w:space="0"/>
              <w:left w:val="single" w:color="auto" w:sz="2" w:space="0"/>
              <w:right w:val="single" w:color="auto" w:sz="2" w:space="0"/>
            </w:tcBorders>
            <w:vAlign w:val="center"/>
          </w:tcPr>
          <w:p w14:paraId="431603A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right w:val="single" w:color="auto" w:sz="2" w:space="0"/>
            </w:tcBorders>
            <w:vAlign w:val="center"/>
          </w:tcPr>
          <w:p w14:paraId="3E9675CE">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2D3247C3">
            <w:pPr>
              <w:snapToGrid w:val="0"/>
              <w:spacing w:line="360" w:lineRule="auto"/>
              <w:jc w:val="center"/>
              <w:rPr>
                <w:rFonts w:hint="eastAsia" w:ascii="宋体" w:hAnsi="宋体" w:cs="宋体"/>
                <w:sz w:val="24"/>
                <w:szCs w:val="24"/>
              </w:rPr>
            </w:pPr>
            <w:r>
              <w:rPr>
                <w:rFonts w:hint="eastAsia" w:ascii="宋体" w:hAnsi="宋体" w:cs="宋体"/>
                <w:sz w:val="24"/>
                <w:szCs w:val="24"/>
              </w:rPr>
              <w:t>或其委托代理人</w:t>
            </w:r>
          </w:p>
          <w:p w14:paraId="7CF7DB34">
            <w:pPr>
              <w:snapToGrid w:val="0"/>
              <w:spacing w:line="360" w:lineRule="auto"/>
              <w:jc w:val="center"/>
              <w:rPr>
                <w:rFonts w:hint="eastAsia" w:ascii="宋体" w:hAnsi="宋体" w:cs="宋体"/>
                <w:sz w:val="24"/>
                <w:szCs w:val="24"/>
              </w:rPr>
            </w:pPr>
            <w:r>
              <w:rPr>
                <w:rFonts w:hint="eastAsia" w:ascii="宋体" w:hAnsi="宋体" w:cs="宋体"/>
                <w:sz w:val="24"/>
                <w:szCs w:val="24"/>
              </w:rPr>
              <w:t>（签章）</w:t>
            </w:r>
          </w:p>
        </w:tc>
        <w:tc>
          <w:tcPr>
            <w:tcW w:w="1166" w:type="pct"/>
            <w:tcBorders>
              <w:top w:val="single" w:color="auto" w:sz="2" w:space="0"/>
              <w:left w:val="single" w:color="auto" w:sz="2" w:space="0"/>
              <w:bottom w:val="single" w:color="auto" w:sz="2" w:space="0"/>
            </w:tcBorders>
            <w:vAlign w:val="center"/>
          </w:tcPr>
          <w:p w14:paraId="4BA15226">
            <w:pPr>
              <w:snapToGrid w:val="0"/>
              <w:spacing w:line="360" w:lineRule="auto"/>
              <w:jc w:val="center"/>
              <w:rPr>
                <w:rFonts w:hint="eastAsia" w:ascii="宋体" w:hAnsi="宋体" w:cs="宋体"/>
                <w:sz w:val="24"/>
                <w:szCs w:val="24"/>
              </w:rPr>
            </w:pPr>
          </w:p>
        </w:tc>
      </w:tr>
      <w:tr w14:paraId="680F07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continue"/>
            <w:tcBorders>
              <w:bottom w:val="single" w:color="auto" w:sz="2" w:space="0"/>
              <w:right w:val="single" w:color="auto" w:sz="2" w:space="0"/>
            </w:tcBorders>
            <w:vAlign w:val="center"/>
          </w:tcPr>
          <w:p w14:paraId="5DCB092D">
            <w:pPr>
              <w:snapToGrid w:val="0"/>
              <w:spacing w:line="360" w:lineRule="auto"/>
              <w:jc w:val="center"/>
              <w:rPr>
                <w:rFonts w:hint="eastAsia" w:ascii="宋体" w:hAnsi="宋体" w:cs="宋体"/>
                <w:sz w:val="24"/>
                <w:szCs w:val="24"/>
              </w:rPr>
            </w:pPr>
          </w:p>
        </w:tc>
        <w:tc>
          <w:tcPr>
            <w:tcW w:w="1109" w:type="pct"/>
            <w:vMerge w:val="continue"/>
            <w:tcBorders>
              <w:left w:val="single" w:color="auto" w:sz="2" w:space="0"/>
              <w:bottom w:val="single" w:color="auto" w:sz="2" w:space="0"/>
              <w:right w:val="single" w:color="auto" w:sz="2" w:space="0"/>
            </w:tcBorders>
            <w:vAlign w:val="center"/>
          </w:tcPr>
          <w:p w14:paraId="512BF277">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E01A762">
            <w:pPr>
              <w:snapToGrid w:val="0"/>
              <w:spacing w:line="360" w:lineRule="auto"/>
              <w:jc w:val="center"/>
              <w:rPr>
                <w:rFonts w:hint="eastAsia" w:ascii="宋体" w:hAnsi="宋体" w:cs="宋体"/>
                <w:sz w:val="24"/>
                <w:szCs w:val="24"/>
              </w:rPr>
            </w:pPr>
            <w:r>
              <w:rPr>
                <w:rFonts w:hint="eastAsia" w:ascii="宋体" w:hAnsi="宋体" w:cs="宋体"/>
                <w:sz w:val="24"/>
                <w:szCs w:val="24"/>
              </w:rPr>
              <w:t>拥有者性别</w:t>
            </w:r>
          </w:p>
        </w:tc>
        <w:tc>
          <w:tcPr>
            <w:tcW w:w="1166" w:type="pct"/>
            <w:tcBorders>
              <w:top w:val="single" w:color="auto" w:sz="2" w:space="0"/>
              <w:left w:val="single" w:color="auto" w:sz="2" w:space="0"/>
              <w:bottom w:val="single" w:color="auto" w:sz="2" w:space="0"/>
            </w:tcBorders>
            <w:vAlign w:val="center"/>
          </w:tcPr>
          <w:p w14:paraId="407F2083">
            <w:pPr>
              <w:snapToGrid w:val="0"/>
              <w:spacing w:line="360" w:lineRule="auto"/>
              <w:jc w:val="center"/>
              <w:rPr>
                <w:rFonts w:hint="eastAsia" w:ascii="宋体" w:hAnsi="宋体" w:cs="宋体"/>
                <w:spacing w:val="20"/>
                <w:sz w:val="24"/>
                <w:szCs w:val="24"/>
              </w:rPr>
            </w:pPr>
          </w:p>
        </w:tc>
      </w:tr>
      <w:tr w14:paraId="3A004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23911FAF">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09" w:type="pct"/>
            <w:tcBorders>
              <w:top w:val="single" w:color="auto" w:sz="2" w:space="0"/>
              <w:left w:val="single" w:color="auto" w:sz="2" w:space="0"/>
              <w:bottom w:val="single" w:color="auto" w:sz="2" w:space="0"/>
              <w:right w:val="single" w:color="auto" w:sz="2" w:space="0"/>
            </w:tcBorders>
            <w:vAlign w:val="center"/>
          </w:tcPr>
          <w:p w14:paraId="117933E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1C7CDCC">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66" w:type="pct"/>
            <w:tcBorders>
              <w:top w:val="single" w:color="auto" w:sz="2" w:space="0"/>
              <w:left w:val="single" w:color="auto" w:sz="2" w:space="0"/>
              <w:bottom w:val="single" w:color="auto" w:sz="2" w:space="0"/>
            </w:tcBorders>
            <w:vAlign w:val="center"/>
          </w:tcPr>
          <w:p w14:paraId="192EF882">
            <w:pPr>
              <w:snapToGrid w:val="0"/>
              <w:spacing w:line="360" w:lineRule="auto"/>
              <w:jc w:val="center"/>
              <w:rPr>
                <w:rFonts w:hint="eastAsia" w:ascii="宋体" w:hAnsi="宋体" w:cs="宋体"/>
                <w:spacing w:val="20"/>
                <w:sz w:val="24"/>
                <w:szCs w:val="24"/>
              </w:rPr>
            </w:pPr>
          </w:p>
        </w:tc>
      </w:tr>
      <w:tr w14:paraId="4DD3BC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8C4AC21">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09" w:type="pct"/>
            <w:tcBorders>
              <w:top w:val="single" w:color="auto" w:sz="2" w:space="0"/>
              <w:left w:val="single" w:color="auto" w:sz="2" w:space="0"/>
              <w:bottom w:val="single" w:color="auto" w:sz="2" w:space="0"/>
              <w:right w:val="single" w:color="auto" w:sz="2" w:space="0"/>
            </w:tcBorders>
            <w:vAlign w:val="center"/>
          </w:tcPr>
          <w:p w14:paraId="6C0C51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2F969165">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66" w:type="pct"/>
            <w:tcBorders>
              <w:top w:val="single" w:color="auto" w:sz="2" w:space="0"/>
              <w:left w:val="single" w:color="auto" w:sz="2" w:space="0"/>
              <w:bottom w:val="single" w:color="auto" w:sz="2" w:space="0"/>
            </w:tcBorders>
            <w:vAlign w:val="center"/>
          </w:tcPr>
          <w:p w14:paraId="3E54948D">
            <w:pPr>
              <w:snapToGrid w:val="0"/>
              <w:spacing w:line="360" w:lineRule="auto"/>
              <w:jc w:val="center"/>
              <w:rPr>
                <w:rFonts w:hint="eastAsia" w:ascii="宋体" w:hAnsi="宋体" w:cs="宋体"/>
                <w:spacing w:val="20"/>
                <w:sz w:val="24"/>
                <w:szCs w:val="24"/>
              </w:rPr>
            </w:pPr>
          </w:p>
        </w:tc>
      </w:tr>
      <w:tr w14:paraId="60CBEB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4EEB3F45">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09" w:type="pct"/>
            <w:tcBorders>
              <w:top w:val="single" w:color="auto" w:sz="2" w:space="0"/>
              <w:left w:val="single" w:color="auto" w:sz="2" w:space="0"/>
              <w:bottom w:val="single" w:color="auto" w:sz="2" w:space="0"/>
              <w:right w:val="single" w:color="auto" w:sz="2" w:space="0"/>
            </w:tcBorders>
            <w:vAlign w:val="center"/>
          </w:tcPr>
          <w:p w14:paraId="31E7127C">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08BCDF6A">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66" w:type="pct"/>
            <w:tcBorders>
              <w:top w:val="single" w:color="auto" w:sz="2" w:space="0"/>
              <w:left w:val="single" w:color="auto" w:sz="2" w:space="0"/>
              <w:bottom w:val="single" w:color="auto" w:sz="2" w:space="0"/>
            </w:tcBorders>
            <w:vAlign w:val="center"/>
          </w:tcPr>
          <w:p w14:paraId="50D39A1B">
            <w:pPr>
              <w:snapToGrid w:val="0"/>
              <w:spacing w:line="360" w:lineRule="auto"/>
              <w:jc w:val="center"/>
              <w:rPr>
                <w:rFonts w:hint="eastAsia" w:ascii="宋体" w:hAnsi="宋体" w:cs="宋体"/>
                <w:spacing w:val="20"/>
                <w:sz w:val="24"/>
                <w:szCs w:val="24"/>
              </w:rPr>
            </w:pPr>
          </w:p>
        </w:tc>
      </w:tr>
      <w:tr w14:paraId="7DECFB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A0DEB19">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09" w:type="pct"/>
            <w:tcBorders>
              <w:top w:val="single" w:color="auto" w:sz="2" w:space="0"/>
              <w:left w:val="single" w:color="auto" w:sz="2" w:space="0"/>
              <w:bottom w:val="single" w:color="auto" w:sz="2" w:space="0"/>
              <w:right w:val="single" w:color="auto" w:sz="2" w:space="0"/>
            </w:tcBorders>
            <w:vAlign w:val="center"/>
          </w:tcPr>
          <w:p w14:paraId="5300CB9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608E36F7">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66" w:type="pct"/>
            <w:tcBorders>
              <w:top w:val="single" w:color="auto" w:sz="2" w:space="0"/>
              <w:left w:val="single" w:color="auto" w:sz="2" w:space="0"/>
              <w:bottom w:val="single" w:color="auto" w:sz="2" w:space="0"/>
            </w:tcBorders>
            <w:vAlign w:val="center"/>
          </w:tcPr>
          <w:p w14:paraId="4ADF91E6">
            <w:pPr>
              <w:snapToGrid w:val="0"/>
              <w:spacing w:line="360" w:lineRule="auto"/>
              <w:jc w:val="center"/>
              <w:rPr>
                <w:rFonts w:hint="eastAsia" w:ascii="宋体" w:hAnsi="宋体" w:cs="宋体"/>
                <w:spacing w:val="20"/>
                <w:sz w:val="24"/>
                <w:szCs w:val="24"/>
              </w:rPr>
            </w:pPr>
          </w:p>
        </w:tc>
      </w:tr>
      <w:tr w14:paraId="646077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76C9FEE">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09" w:type="pct"/>
            <w:tcBorders>
              <w:top w:val="single" w:color="auto" w:sz="2" w:space="0"/>
              <w:left w:val="single" w:color="auto" w:sz="2" w:space="0"/>
              <w:bottom w:val="single" w:color="auto" w:sz="2" w:space="0"/>
              <w:right w:val="single" w:color="auto" w:sz="2" w:space="0"/>
            </w:tcBorders>
            <w:vAlign w:val="center"/>
          </w:tcPr>
          <w:p w14:paraId="6D4011F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4DFD82B9">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66" w:type="pct"/>
            <w:tcBorders>
              <w:top w:val="single" w:color="auto" w:sz="2" w:space="0"/>
              <w:left w:val="single" w:color="auto" w:sz="2" w:space="0"/>
              <w:bottom w:val="single" w:color="auto" w:sz="2" w:space="0"/>
            </w:tcBorders>
            <w:vAlign w:val="center"/>
          </w:tcPr>
          <w:p w14:paraId="118CDF55">
            <w:pPr>
              <w:snapToGrid w:val="0"/>
              <w:spacing w:line="360" w:lineRule="auto"/>
              <w:jc w:val="center"/>
              <w:rPr>
                <w:rFonts w:hint="eastAsia" w:ascii="宋体" w:hAnsi="宋体" w:cs="宋体"/>
                <w:spacing w:val="20"/>
                <w:sz w:val="24"/>
                <w:szCs w:val="24"/>
              </w:rPr>
            </w:pPr>
          </w:p>
        </w:tc>
      </w:tr>
      <w:tr w14:paraId="302FF4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3D4549E">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09" w:type="pct"/>
            <w:tcBorders>
              <w:top w:val="single" w:color="auto" w:sz="2" w:space="0"/>
              <w:left w:val="single" w:color="auto" w:sz="2" w:space="0"/>
              <w:bottom w:val="single" w:color="auto" w:sz="2" w:space="0"/>
              <w:right w:val="single" w:color="auto" w:sz="2" w:space="0"/>
            </w:tcBorders>
            <w:vAlign w:val="center"/>
          </w:tcPr>
          <w:p w14:paraId="63BF0E4F">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394CF88">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66" w:type="pct"/>
            <w:tcBorders>
              <w:top w:val="single" w:color="auto" w:sz="2" w:space="0"/>
              <w:left w:val="single" w:color="auto" w:sz="2" w:space="0"/>
              <w:bottom w:val="single" w:color="auto" w:sz="2" w:space="0"/>
            </w:tcBorders>
            <w:vAlign w:val="center"/>
          </w:tcPr>
          <w:p w14:paraId="6EEA5E48">
            <w:pPr>
              <w:snapToGrid w:val="0"/>
              <w:spacing w:line="360" w:lineRule="auto"/>
              <w:jc w:val="center"/>
              <w:rPr>
                <w:rFonts w:hint="eastAsia" w:ascii="宋体" w:hAnsi="宋体" w:cs="宋体"/>
                <w:spacing w:val="20"/>
                <w:sz w:val="24"/>
                <w:szCs w:val="24"/>
              </w:rPr>
            </w:pPr>
          </w:p>
        </w:tc>
      </w:tr>
      <w:tr w14:paraId="1362F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AB484B4">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09" w:type="pct"/>
            <w:tcBorders>
              <w:top w:val="single" w:color="auto" w:sz="2" w:space="0"/>
              <w:left w:val="single" w:color="auto" w:sz="2" w:space="0"/>
              <w:bottom w:val="single" w:color="auto" w:sz="2" w:space="0"/>
              <w:right w:val="single" w:color="auto" w:sz="2" w:space="0"/>
            </w:tcBorders>
            <w:vAlign w:val="center"/>
          </w:tcPr>
          <w:p w14:paraId="3A53BF8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9E6E16D">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66" w:type="pct"/>
            <w:tcBorders>
              <w:top w:val="single" w:color="auto" w:sz="2" w:space="0"/>
              <w:left w:val="single" w:color="auto" w:sz="2" w:space="0"/>
              <w:bottom w:val="single" w:color="auto" w:sz="2" w:space="0"/>
            </w:tcBorders>
            <w:vAlign w:val="center"/>
          </w:tcPr>
          <w:p w14:paraId="6962EE75">
            <w:pPr>
              <w:snapToGrid w:val="0"/>
              <w:spacing w:line="360" w:lineRule="auto"/>
              <w:jc w:val="center"/>
              <w:rPr>
                <w:rFonts w:hint="eastAsia" w:ascii="宋体" w:hAnsi="宋体" w:cs="宋体"/>
                <w:spacing w:val="20"/>
                <w:sz w:val="24"/>
                <w:szCs w:val="24"/>
              </w:rPr>
            </w:pPr>
          </w:p>
        </w:tc>
      </w:tr>
      <w:tr w14:paraId="67F763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560C0BDC">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272FCF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02F1D18">
            <w:pPr>
              <w:snapToGrid w:val="0"/>
              <w:spacing w:line="360" w:lineRule="auto"/>
              <w:jc w:val="center"/>
              <w:rPr>
                <w:rFonts w:hint="eastAsia" w:ascii="宋体" w:hAnsi="宋体" w:cs="宋体"/>
                <w:sz w:val="24"/>
                <w:szCs w:val="24"/>
              </w:rPr>
            </w:pPr>
            <w:r>
              <w:rPr>
                <w:rFonts w:hint="eastAsia" w:ascii="宋体" w:hAnsi="宋体" w:cs="宋体"/>
                <w:sz w:val="24"/>
                <w:szCs w:val="24"/>
              </w:rPr>
              <w:t>开户名称</w:t>
            </w:r>
          </w:p>
        </w:tc>
        <w:tc>
          <w:tcPr>
            <w:tcW w:w="1166" w:type="pct"/>
            <w:tcBorders>
              <w:top w:val="single" w:color="auto" w:sz="2" w:space="0"/>
              <w:left w:val="single" w:color="auto" w:sz="2" w:space="0"/>
              <w:bottom w:val="single" w:color="auto" w:sz="2" w:space="0"/>
            </w:tcBorders>
            <w:vAlign w:val="center"/>
          </w:tcPr>
          <w:p w14:paraId="5A7C272A">
            <w:pPr>
              <w:snapToGrid w:val="0"/>
              <w:spacing w:line="360" w:lineRule="auto"/>
              <w:jc w:val="center"/>
              <w:rPr>
                <w:rFonts w:hint="eastAsia" w:ascii="宋体" w:hAnsi="宋体" w:cs="宋体"/>
                <w:spacing w:val="20"/>
                <w:sz w:val="24"/>
                <w:szCs w:val="24"/>
              </w:rPr>
            </w:pPr>
          </w:p>
        </w:tc>
      </w:tr>
      <w:tr w14:paraId="7D36A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18AE3F64">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FC29D4B">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8192868">
            <w:pPr>
              <w:snapToGrid w:val="0"/>
              <w:spacing w:line="360" w:lineRule="auto"/>
              <w:jc w:val="center"/>
              <w:rPr>
                <w:rFonts w:hint="eastAsia" w:ascii="宋体" w:hAnsi="宋体" w:cs="宋体"/>
                <w:sz w:val="24"/>
                <w:szCs w:val="24"/>
              </w:rPr>
            </w:pPr>
            <w:r>
              <w:rPr>
                <w:rFonts w:hint="eastAsia" w:ascii="宋体" w:hAnsi="宋体" w:cs="宋体"/>
                <w:sz w:val="24"/>
                <w:szCs w:val="24"/>
              </w:rPr>
              <w:t>开户银行</w:t>
            </w:r>
          </w:p>
        </w:tc>
        <w:tc>
          <w:tcPr>
            <w:tcW w:w="1166" w:type="pct"/>
            <w:tcBorders>
              <w:top w:val="single" w:color="auto" w:sz="2" w:space="0"/>
              <w:left w:val="single" w:color="auto" w:sz="2" w:space="0"/>
              <w:bottom w:val="single" w:color="auto" w:sz="2" w:space="0"/>
            </w:tcBorders>
            <w:vAlign w:val="center"/>
          </w:tcPr>
          <w:p w14:paraId="182FCF76">
            <w:pPr>
              <w:snapToGrid w:val="0"/>
              <w:spacing w:line="360" w:lineRule="auto"/>
              <w:jc w:val="center"/>
              <w:rPr>
                <w:rFonts w:hint="eastAsia" w:ascii="宋体" w:hAnsi="宋体" w:cs="宋体"/>
                <w:spacing w:val="20"/>
                <w:sz w:val="24"/>
                <w:szCs w:val="24"/>
              </w:rPr>
            </w:pPr>
          </w:p>
        </w:tc>
      </w:tr>
      <w:tr w14:paraId="2B2864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481A652">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CD65D18">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6BE6298">
            <w:pPr>
              <w:snapToGrid w:val="0"/>
              <w:spacing w:line="360" w:lineRule="auto"/>
              <w:jc w:val="center"/>
              <w:rPr>
                <w:rFonts w:hint="eastAsia" w:ascii="宋体" w:hAnsi="宋体" w:cs="宋体"/>
                <w:sz w:val="24"/>
                <w:szCs w:val="24"/>
              </w:rPr>
            </w:pPr>
            <w:r>
              <w:rPr>
                <w:rFonts w:hint="eastAsia" w:ascii="宋体" w:hAnsi="宋体" w:cs="宋体"/>
                <w:sz w:val="24"/>
                <w:szCs w:val="24"/>
              </w:rPr>
              <w:t>银行账号</w:t>
            </w:r>
          </w:p>
        </w:tc>
        <w:tc>
          <w:tcPr>
            <w:tcW w:w="1166" w:type="pct"/>
            <w:tcBorders>
              <w:top w:val="single" w:color="auto" w:sz="2" w:space="0"/>
              <w:left w:val="single" w:color="auto" w:sz="2" w:space="0"/>
              <w:bottom w:val="single" w:color="auto" w:sz="2" w:space="0"/>
            </w:tcBorders>
            <w:vAlign w:val="center"/>
          </w:tcPr>
          <w:p w14:paraId="00D94B3F">
            <w:pPr>
              <w:snapToGrid w:val="0"/>
              <w:spacing w:line="360" w:lineRule="auto"/>
              <w:jc w:val="center"/>
              <w:rPr>
                <w:rFonts w:hint="eastAsia" w:ascii="宋体" w:hAnsi="宋体" w:cs="宋体"/>
                <w:spacing w:val="20"/>
                <w:sz w:val="24"/>
                <w:szCs w:val="24"/>
              </w:rPr>
            </w:pPr>
          </w:p>
        </w:tc>
      </w:tr>
      <w:tr w14:paraId="28963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000" w:type="pct"/>
            <w:gridSpan w:val="4"/>
            <w:tcBorders>
              <w:top w:val="single" w:color="auto" w:sz="2" w:space="0"/>
            </w:tcBorders>
            <w:vAlign w:val="center"/>
          </w:tcPr>
          <w:p w14:paraId="479B36E8">
            <w:pPr>
              <w:pStyle w:val="16"/>
              <w:snapToGrid w:val="0"/>
              <w:spacing w:before="156" w:beforeLines="50" w:line="360" w:lineRule="auto"/>
              <w:ind w:left="3276" w:hanging="3276"/>
              <w:rPr>
                <w:rFonts w:hint="eastAsia" w:ascii="宋体" w:hAnsi="宋体" w:cs="宋体"/>
                <w:spacing w:val="20"/>
                <w:sz w:val="24"/>
                <w:szCs w:val="24"/>
              </w:rPr>
            </w:pPr>
            <w:r>
              <w:rPr>
                <w:rFonts w:hint="eastAsia" w:ascii="宋体" w:hAnsi="宋体" w:cs="宋体"/>
                <w:sz w:val="24"/>
                <w:szCs w:val="24"/>
              </w:rPr>
              <w:t>注：涉及联合体或其他合同主体的信息应按上表格式加列。</w:t>
            </w:r>
          </w:p>
        </w:tc>
      </w:tr>
    </w:tbl>
    <w:p w14:paraId="1CC5080C">
      <w:pPr>
        <w:widowControl/>
        <w:spacing w:line="560" w:lineRule="exact"/>
        <w:jc w:val="left"/>
        <w:rPr>
          <w:rFonts w:hint="eastAsia" w:ascii="Arial" w:hAnsi="Arial"/>
          <w:color w:val="auto"/>
          <w:kern w:val="2"/>
          <w:sz w:val="36"/>
          <w:szCs w:val="36"/>
          <w:highlight w:val="none"/>
          <w:lang w:val="zh-CN"/>
        </w:rPr>
      </w:pPr>
      <w:r>
        <w:rPr>
          <w:rFonts w:hint="eastAsia" w:ascii="宋体" w:hAnsi="宋体" w:eastAsia="宋体" w:cs="宋体"/>
          <w:sz w:val="24"/>
          <w:szCs w:val="24"/>
          <w:highlight w:val="none"/>
          <w:u w:val="single"/>
        </w:rPr>
        <w:br w:type="page"/>
      </w:r>
      <w:bookmarkStart w:id="78" w:name="_Toc439316880"/>
      <w:bookmarkStart w:id="79" w:name="_Toc54941341"/>
      <w:bookmarkStart w:id="80" w:name="_Toc8981"/>
      <w:bookmarkStart w:id="81" w:name="_Toc1812"/>
    </w:p>
    <w:p w14:paraId="0B9BA553">
      <w:pPr>
        <w:rPr>
          <w:rFonts w:hint="eastAsia"/>
          <w:lang w:val="zh-CN"/>
        </w:rPr>
      </w:pPr>
    </w:p>
    <w:p w14:paraId="3AEC431B">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82" w:name="_Toc417656001"/>
      <w:r>
        <w:rPr>
          <w:rFonts w:hint="eastAsia" w:ascii="Arial" w:hAnsi="Arial"/>
          <w:color w:val="auto"/>
          <w:kern w:val="2"/>
          <w:sz w:val="36"/>
          <w:szCs w:val="36"/>
          <w:highlight w:val="none"/>
        </w:rPr>
        <w:t>响应文件格式</w:t>
      </w:r>
      <w:bookmarkEnd w:id="78"/>
      <w:bookmarkEnd w:id="79"/>
      <w:bookmarkEnd w:id="80"/>
      <w:bookmarkEnd w:id="81"/>
      <w:bookmarkEnd w:id="8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9"/>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9"/>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9"/>
        <w:rPr>
          <w:rFonts w:ascii="宋体" w:hAnsi="宋体" w:cs="宋体"/>
          <w:color w:val="auto"/>
          <w:sz w:val="24"/>
          <w:highlight w:val="none"/>
        </w:rPr>
      </w:pPr>
    </w:p>
    <w:p w14:paraId="43A49AC0">
      <w:pPr>
        <w:pStyle w:val="49"/>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4"/>
      </w:pPr>
    </w:p>
    <w:p w14:paraId="4C3254F9">
      <w:pPr>
        <w:widowControl/>
        <w:jc w:val="left"/>
        <w:rPr>
          <w:rFonts w:ascii="宋体" w:cs="宋体"/>
          <w:color w:val="auto"/>
          <w:sz w:val="24"/>
          <w:highlight w:val="none"/>
        </w:rPr>
      </w:pPr>
    </w:p>
    <w:p w14:paraId="526CB16E">
      <w:pPr>
        <w:pStyle w:val="4"/>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2"/>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3" w:name="_Hlk44287576"/>
      <w:r>
        <w:rPr>
          <w:rFonts w:hint="eastAsia" w:ascii="宋体" w:hAnsi="宋体" w:eastAsia="宋体"/>
          <w:color w:val="auto"/>
          <w:sz w:val="24"/>
          <w:highlight w:val="none"/>
        </w:rPr>
        <w:t>竞争性谈判公告</w:t>
      </w:r>
      <w:bookmarkEnd w:id="83"/>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9"/>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3823B4DF">
      <w:pPr>
        <w:pStyle w:val="20"/>
        <w:tabs>
          <w:tab w:val="left" w:pos="5580"/>
        </w:tabs>
        <w:spacing w:line="480" w:lineRule="auto"/>
        <w:rPr>
          <w:rFonts w:hint="eastAsia" w:hAnsi="宋体" w:cs="宋体"/>
          <w:color w:val="auto"/>
          <w:highlight w:val="none"/>
        </w:rPr>
      </w:pPr>
    </w:p>
    <w:p w14:paraId="74BD03EA">
      <w:pPr>
        <w:pStyle w:val="20"/>
        <w:tabs>
          <w:tab w:val="left" w:pos="5580"/>
        </w:tabs>
        <w:spacing w:line="480" w:lineRule="auto"/>
        <w:rPr>
          <w:rFonts w:hint="eastAsia" w:hAnsi="宋体" w:cs="宋体"/>
          <w:color w:val="auto"/>
          <w:highlight w:val="none"/>
        </w:rPr>
      </w:pPr>
    </w:p>
    <w:p w14:paraId="7277F434">
      <w:pPr>
        <w:pStyle w:val="20"/>
        <w:tabs>
          <w:tab w:val="left" w:pos="5580"/>
        </w:tabs>
        <w:spacing w:line="480" w:lineRule="auto"/>
        <w:rPr>
          <w:rFonts w:hint="eastAsia" w:hAnsi="宋体" w:cs="宋体"/>
          <w:color w:val="auto"/>
          <w:highlight w:val="none"/>
        </w:rPr>
      </w:pPr>
    </w:p>
    <w:p w14:paraId="21AEE617">
      <w:pPr>
        <w:pStyle w:val="20"/>
        <w:tabs>
          <w:tab w:val="left" w:pos="5580"/>
        </w:tabs>
        <w:spacing w:line="480" w:lineRule="auto"/>
        <w:rPr>
          <w:rFonts w:hint="eastAsia" w:hAnsi="宋体" w:cs="宋体"/>
          <w:color w:val="auto"/>
          <w:highlight w:val="none"/>
        </w:rPr>
      </w:pPr>
    </w:p>
    <w:p w14:paraId="791F8B48">
      <w:pPr>
        <w:pStyle w:val="4"/>
        <w:numPr>
          <w:ilvl w:val="0"/>
          <w:numId w:val="0"/>
        </w:numPr>
        <w:tabs>
          <w:tab w:val="left" w:pos="2730"/>
        </w:tabs>
        <w:jc w:val="center"/>
        <w:rPr>
          <w:rFonts w:cs="宋体"/>
          <w:color w:val="auto"/>
          <w:sz w:val="28"/>
          <w:szCs w:val="28"/>
          <w:highlight w:val="none"/>
        </w:rPr>
      </w:pPr>
      <w:bookmarkStart w:id="84" w:name="_Toc476584434"/>
      <w:bookmarkStart w:id="85" w:name="_Toc54941343"/>
      <w:bookmarkStart w:id="86" w:name="_Toc28034"/>
      <w:bookmarkStart w:id="87" w:name="_Toc32647"/>
      <w:bookmarkStart w:id="88" w:name="_Toc28153"/>
      <w:bookmarkStart w:id="89"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84"/>
      <w:bookmarkEnd w:id="85"/>
      <w:bookmarkEnd w:id="86"/>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6889E90F">
      <w:pPr>
        <w:spacing w:line="360" w:lineRule="auto"/>
        <w:jc w:val="both"/>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525EF4EE">
      <w:pPr>
        <w:spacing w:line="360" w:lineRule="auto"/>
        <w:jc w:val="right"/>
        <w:rPr>
          <w:rFonts w:hint="eastAsia" w:ascii="宋体" w:hAnsi="宋体" w:eastAsia="宋体"/>
          <w:b/>
          <w:color w:val="auto"/>
          <w:sz w:val="24"/>
          <w:szCs w:val="28"/>
          <w:highlight w:val="none"/>
          <w:u w:val="single"/>
        </w:rPr>
      </w:pPr>
      <w:r>
        <w:rPr>
          <w:rFonts w:hint="eastAsia" w:ascii="宋体" w:hAnsi="宋体"/>
          <w:color w:val="auto"/>
          <w:highlight w:val="none"/>
        </w:rPr>
        <w:t>单位：</w:t>
      </w:r>
      <w:r>
        <w:rPr>
          <w:rFonts w:hint="eastAsia" w:ascii="宋体" w:hAnsi="宋体"/>
          <w:color w:val="auto"/>
          <w:highlight w:val="none"/>
          <w:lang w:val="en-US" w:eastAsia="zh-CN"/>
        </w:rPr>
        <w:t>元</w:t>
      </w:r>
    </w:p>
    <w:tbl>
      <w:tblPr>
        <w:tblStyle w:val="40"/>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/年</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/年</w:t>
            </w:r>
            <w:r>
              <w:rPr>
                <w:rFonts w:hint="eastAsia" w:ascii="宋体" w:hAnsi="宋体" w:eastAsia="宋体" w:cs="宋体"/>
                <w:bCs/>
                <w:color w:val="auto"/>
                <w:szCs w:val="21"/>
                <w:highlight w:val="none"/>
                <w:u w:val="non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4"/>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90"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90"/>
    </w:p>
    <w:p w14:paraId="452A770A">
      <w:pPr>
        <w:ind w:firstLine="3600" w:firstLineChars="1500"/>
        <w:rPr>
          <w:rFonts w:hint="eastAsia" w:ascii="宋体" w:hAnsi="宋体" w:eastAsia="宋体"/>
          <w:color w:val="auto"/>
          <w:sz w:val="24"/>
          <w:highlight w:val="none"/>
          <w:u w:val="single"/>
        </w:rPr>
      </w:pPr>
    </w:p>
    <w:p w14:paraId="6D4DAC09">
      <w:pPr>
        <w:ind w:firstLine="3600" w:firstLineChars="1500"/>
        <w:rPr>
          <w:rFonts w:hint="eastAsia" w:ascii="宋体" w:hAnsi="宋体" w:eastAsia="宋体"/>
          <w:color w:val="auto"/>
          <w:sz w:val="24"/>
          <w:highlight w:val="none"/>
          <w:u w:val="single"/>
        </w:rPr>
      </w:pPr>
    </w:p>
    <w:p w14:paraId="28D14C52">
      <w:pPr>
        <w:ind w:firstLine="3600" w:firstLineChars="1500"/>
        <w:rPr>
          <w:rFonts w:hint="eastAsia" w:ascii="宋体" w:hAnsi="宋体" w:eastAsia="宋体"/>
          <w:color w:val="auto"/>
          <w:sz w:val="24"/>
          <w:highlight w:val="none"/>
          <w:u w:val="single"/>
        </w:rPr>
      </w:pPr>
    </w:p>
    <w:p w14:paraId="2DC682DD">
      <w:pPr>
        <w:ind w:firstLine="3600" w:firstLineChars="1500"/>
        <w:rPr>
          <w:rFonts w:hint="eastAsia" w:ascii="宋体" w:hAnsi="宋体" w:eastAsia="宋体"/>
          <w:color w:val="auto"/>
          <w:sz w:val="24"/>
          <w:highlight w:val="none"/>
          <w:u w:val="single"/>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40"/>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130"/>
        <w:gridCol w:w="1212"/>
        <w:gridCol w:w="1289"/>
        <w:gridCol w:w="1818"/>
        <w:gridCol w:w="184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043" w:type="dxa"/>
            <w:vAlign w:val="center"/>
          </w:tcPr>
          <w:p w14:paraId="1B6D3C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13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p>
        </w:tc>
        <w:tc>
          <w:tcPr>
            <w:tcW w:w="1212"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89"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818"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84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1</w:t>
            </w:r>
          </w:p>
        </w:tc>
        <w:tc>
          <w:tcPr>
            <w:tcW w:w="213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2FFA87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w:t>
            </w:r>
          </w:p>
        </w:tc>
        <w:tc>
          <w:tcPr>
            <w:tcW w:w="1289"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818" w:type="dxa"/>
            <w:vAlign w:val="center"/>
          </w:tcPr>
          <w:p w14:paraId="473ADD21">
            <w:pPr>
              <w:spacing w:line="360" w:lineRule="auto"/>
              <w:jc w:val="center"/>
              <w:rPr>
                <w:rFonts w:ascii="宋体" w:hAnsi="宋体" w:cs="宋体"/>
                <w:color w:val="auto"/>
                <w:sz w:val="24"/>
                <w:szCs w:val="24"/>
                <w:highlight w:val="none"/>
              </w:rPr>
            </w:pPr>
          </w:p>
        </w:tc>
        <w:tc>
          <w:tcPr>
            <w:tcW w:w="184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13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7D4B2F90">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3210A503">
            <w:pPr>
              <w:spacing w:line="360" w:lineRule="auto"/>
              <w:jc w:val="center"/>
              <w:rPr>
                <w:rFonts w:ascii="宋体" w:hAnsi="宋体" w:cs="宋体"/>
                <w:color w:val="auto"/>
                <w:sz w:val="24"/>
                <w:szCs w:val="24"/>
                <w:highlight w:val="none"/>
              </w:rPr>
            </w:pPr>
          </w:p>
        </w:tc>
        <w:tc>
          <w:tcPr>
            <w:tcW w:w="184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04EEF253">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7F50E29E">
            <w:pPr>
              <w:spacing w:line="360" w:lineRule="auto"/>
              <w:jc w:val="center"/>
              <w:rPr>
                <w:rFonts w:ascii="宋体" w:hAnsi="宋体" w:cs="宋体"/>
                <w:color w:val="auto"/>
                <w:sz w:val="24"/>
                <w:szCs w:val="24"/>
                <w:highlight w:val="none"/>
              </w:rPr>
            </w:pPr>
          </w:p>
        </w:tc>
        <w:tc>
          <w:tcPr>
            <w:tcW w:w="184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139B7227">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72B185A9">
            <w:pPr>
              <w:spacing w:line="360" w:lineRule="auto"/>
              <w:jc w:val="center"/>
              <w:rPr>
                <w:rFonts w:ascii="宋体" w:hAnsi="宋体" w:cs="宋体"/>
                <w:color w:val="auto"/>
                <w:sz w:val="24"/>
                <w:szCs w:val="24"/>
                <w:highlight w:val="none"/>
              </w:rPr>
            </w:pPr>
          </w:p>
        </w:tc>
        <w:tc>
          <w:tcPr>
            <w:tcW w:w="184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213092E4">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0497A9D8">
            <w:pPr>
              <w:spacing w:line="360" w:lineRule="auto"/>
              <w:jc w:val="center"/>
              <w:rPr>
                <w:rFonts w:ascii="宋体" w:hAnsi="宋体" w:cs="宋体"/>
                <w:color w:val="auto"/>
                <w:sz w:val="24"/>
                <w:szCs w:val="24"/>
                <w:highlight w:val="none"/>
              </w:rPr>
            </w:pPr>
          </w:p>
        </w:tc>
        <w:tc>
          <w:tcPr>
            <w:tcW w:w="1844" w:type="dxa"/>
            <w:vAlign w:val="center"/>
          </w:tcPr>
          <w:p w14:paraId="3F311D8A">
            <w:pPr>
              <w:spacing w:line="360" w:lineRule="auto"/>
              <w:jc w:val="center"/>
              <w:rPr>
                <w:rFonts w:ascii="宋体" w:hAnsi="宋体" w:cs="宋体"/>
                <w:color w:val="auto"/>
                <w:sz w:val="24"/>
                <w:szCs w:val="24"/>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492" w:type="dxa"/>
            <w:gridSpan w:val="5"/>
            <w:vAlign w:val="center"/>
          </w:tcPr>
          <w:p w14:paraId="7F7D35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总计金额</w:t>
            </w:r>
          </w:p>
        </w:tc>
        <w:tc>
          <w:tcPr>
            <w:tcW w:w="1844" w:type="dxa"/>
            <w:vAlign w:val="center"/>
          </w:tcPr>
          <w:p w14:paraId="6FCB2DF7">
            <w:pPr>
              <w:spacing w:line="360" w:lineRule="auto"/>
              <w:jc w:val="center"/>
              <w:rPr>
                <w:rFonts w:ascii="宋体" w:hAnsi="宋体" w:cs="宋体"/>
                <w:color w:val="auto"/>
                <w:sz w:val="24"/>
                <w:szCs w:val="24"/>
                <w:highlight w:val="none"/>
              </w:rPr>
            </w:pPr>
          </w:p>
        </w:tc>
      </w:tr>
    </w:tbl>
    <w:p w14:paraId="63BE6767">
      <w:pPr>
        <w:pStyle w:val="12"/>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2"/>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A47625D">
      <w:pPr>
        <w:ind w:firstLine="3600" w:firstLineChars="1500"/>
        <w:rPr>
          <w:rFonts w:hint="eastAsia" w:ascii="宋体" w:hAnsi="宋体" w:eastAsia="宋体"/>
          <w:color w:val="auto"/>
          <w:sz w:val="24"/>
          <w:highlight w:val="none"/>
          <w:u w:val="single"/>
          <w:lang w:val="en-US" w:eastAsia="zh-CN"/>
        </w:rPr>
      </w:pPr>
    </w:p>
    <w:p w14:paraId="1124C7DB">
      <w:pPr>
        <w:pStyle w:val="49"/>
        <w:rPr>
          <w:rFonts w:hint="eastAsia" w:ascii="宋体" w:hAnsi="宋体" w:eastAsia="宋体"/>
          <w:color w:val="auto"/>
          <w:sz w:val="24"/>
          <w:highlight w:val="none"/>
          <w:u w:val="single"/>
          <w:lang w:val="en-US" w:eastAsia="zh-CN"/>
        </w:rPr>
      </w:pPr>
    </w:p>
    <w:p w14:paraId="0195C5E6">
      <w:pPr>
        <w:pStyle w:val="49"/>
        <w:ind w:left="0" w:leftChars="0" w:firstLine="0" w:firstLineChars="0"/>
        <w:rPr>
          <w:rFonts w:hint="eastAsia" w:ascii="宋体" w:hAnsi="宋体" w:eastAsia="宋体"/>
          <w:color w:val="auto"/>
          <w:sz w:val="24"/>
          <w:highlight w:val="none"/>
          <w:u w:val="single"/>
          <w:lang w:val="en-US" w:eastAsia="zh-CN"/>
        </w:rPr>
      </w:pPr>
    </w:p>
    <w:bookmarkEnd w:id="87"/>
    <w:bookmarkEnd w:id="88"/>
    <w:p w14:paraId="032A22B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89"/>
    <w:p w14:paraId="7E1F6F17">
      <w:pPr>
        <w:spacing w:line="360" w:lineRule="auto"/>
        <w:ind w:firstLine="210" w:firstLineChars="100"/>
        <w:rPr>
          <w:rFonts w:ascii="宋体" w:hAnsi="宋体"/>
          <w:color w:val="auto"/>
          <w:szCs w:val="21"/>
          <w:highlight w:val="none"/>
        </w:rPr>
      </w:pPr>
      <w:bookmarkStart w:id="91" w:name="_Toc54941345"/>
      <w:bookmarkStart w:id="92" w:name="_Toc15038"/>
      <w:bookmarkStart w:id="93" w:name="_Toc476584436"/>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6"/>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0"/>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4"/>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4"/>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4"/>
        <w:tabs>
          <w:tab w:val="left" w:pos="2730"/>
        </w:tabs>
        <w:rPr>
          <w:rFonts w:hint="eastAsia" w:ascii="宋体" w:hAnsi="宋体" w:eastAsia="宋体"/>
          <w:color w:val="auto"/>
          <w:sz w:val="24"/>
          <w:highlight w:val="none"/>
          <w:u w:val="single"/>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4"/>
        <w:numPr>
          <w:ilvl w:val="0"/>
          <w:numId w:val="5"/>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91"/>
    </w:p>
    <w:p w14:paraId="63EF73C9">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元</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/年</w:t>
            </w:r>
            <w:r>
              <w:rPr>
                <w:rFonts w:hint="eastAsia" w:ascii="宋体" w:hAnsi="宋体" w:eastAsia="宋体" w:cs="宋体"/>
                <w:bCs/>
                <w:color w:val="auto"/>
                <w:szCs w:val="21"/>
                <w:highlight w:val="none"/>
                <w:u w:val="non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/年</w:t>
            </w:r>
            <w:r>
              <w:rPr>
                <w:rFonts w:hint="eastAsia" w:ascii="宋体" w:hAnsi="宋体" w:eastAsia="宋体" w:cs="宋体"/>
                <w:bCs/>
                <w:color w:val="auto"/>
                <w:szCs w:val="21"/>
                <w:highlight w:val="none"/>
                <w:u w:val="non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92"/>
    <w:bookmarkEnd w:id="93"/>
    <w:p w14:paraId="001B7A20">
      <w:pPr>
        <w:rPr>
          <w:rFonts w:hint="eastAsia" w:cs="宋体"/>
          <w:b/>
          <w:bCs/>
          <w:color w:val="auto"/>
          <w:sz w:val="28"/>
          <w:szCs w:val="28"/>
          <w:highlight w:val="none"/>
          <w:lang w:eastAsia="zh-CN"/>
        </w:rPr>
      </w:pPr>
      <w:bookmarkStart w:id="94" w:name="_Toc2920"/>
      <w:bookmarkStart w:id="95" w:name="_Toc20013"/>
    </w:p>
    <w:bookmarkEnd w:id="94"/>
    <w:bookmarkEnd w:id="95"/>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96" w:name="_Toc25547"/>
      <w:bookmarkStart w:id="97"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96"/>
      <w:bookmarkEnd w:id="97"/>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4"/>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98"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2"/>
        <w:spacing w:line="360" w:lineRule="auto"/>
        <w:ind w:left="0" w:leftChars="0" w:firstLine="0" w:firstLineChars="0"/>
        <w:rPr>
          <w:rFonts w:hint="eastAsia" w:ascii="宋体" w:hAnsi="宋体"/>
          <w:b/>
          <w:bCs/>
          <w:color w:val="auto"/>
          <w:sz w:val="24"/>
          <w:highlight w:val="none"/>
        </w:rPr>
      </w:pPr>
    </w:p>
    <w:p w14:paraId="74F2602E">
      <w:pPr>
        <w:pStyle w:val="22"/>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4"/>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4"/>
        <w:rPr>
          <w:rFonts w:hint="eastAsia" w:hAnsi="宋体"/>
          <w:color w:val="auto"/>
          <w:sz w:val="28"/>
          <w:szCs w:val="28"/>
          <w:highlight w:val="none"/>
          <w:lang w:val="en-US" w:eastAsia="zh-CN"/>
        </w:rPr>
      </w:pPr>
    </w:p>
    <w:p w14:paraId="450C3A82">
      <w:pPr>
        <w:rPr>
          <w:rFonts w:hint="eastAsia"/>
          <w:lang w:val="en-US" w:eastAsia="zh-CN"/>
        </w:rPr>
      </w:pPr>
    </w:p>
    <w:bookmarkEnd w:id="98"/>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99" w:name="_Toc26186"/>
      <w:bookmarkStart w:id="100" w:name="_Toc22272"/>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99"/>
      <w:bookmarkEnd w:id="100"/>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4"/>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1"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2"/>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01" w:name="_Toc2700"/>
      <w:bookmarkStart w:id="102" w:name="_Toc12703"/>
      <w:bookmarkStart w:id="103" w:name="_Toc32741"/>
      <w:bookmarkStart w:id="104" w:name="_Toc8573"/>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01"/>
      <w:bookmarkEnd w:id="102"/>
      <w:bookmarkEnd w:id="103"/>
      <w:bookmarkEnd w:id="104"/>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2"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5"/>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5"/>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5"/>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5"/>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FFEFC674"/>
    <w:multiLevelType w:val="singleLevel"/>
    <w:tmpl w:val="FFEFC674"/>
    <w:lvl w:ilvl="0" w:tentative="0">
      <w:start w:val="1"/>
      <w:numFmt w:val="decimal"/>
      <w:suff w:val="nothing"/>
      <w:lvlText w:val="（%1）"/>
      <w:lvlJc w:val="left"/>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7AAB2737"/>
    <w:multiLevelType w:val="singleLevel"/>
    <w:tmpl w:val="7AAB2737"/>
    <w:lvl w:ilvl="0" w:tentative="0">
      <w:start w:val="2"/>
      <w:numFmt w:val="chineseCounting"/>
      <w:suff w:val="nothing"/>
      <w:lvlText w:val="%1、"/>
      <w:lvlJc w:val="left"/>
      <w:rPr>
        <w:rFonts w:hint="eastAsia"/>
      </w:rPr>
    </w:lvl>
  </w:abstractNum>
  <w:abstractNum w:abstractNumId="4">
    <w:nsid w:val="7F8EED0D"/>
    <w:multiLevelType w:val="singleLevel"/>
    <w:tmpl w:val="7F8EED0D"/>
    <w:lvl w:ilvl="0" w:tentative="0">
      <w:start w:val="37"/>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AF95668"/>
    <w:rsid w:val="1CE22479"/>
    <w:rsid w:val="1E0104DD"/>
    <w:rsid w:val="1EA4741C"/>
    <w:rsid w:val="20344F28"/>
    <w:rsid w:val="206770AC"/>
    <w:rsid w:val="23241284"/>
    <w:rsid w:val="23530B29"/>
    <w:rsid w:val="27AC56F0"/>
    <w:rsid w:val="282F3B79"/>
    <w:rsid w:val="283C571B"/>
    <w:rsid w:val="291E2007"/>
    <w:rsid w:val="29CF3D8B"/>
    <w:rsid w:val="2CD32C5A"/>
    <w:rsid w:val="30C62676"/>
    <w:rsid w:val="30D37E45"/>
    <w:rsid w:val="31BF072E"/>
    <w:rsid w:val="340842AA"/>
    <w:rsid w:val="35DA59F3"/>
    <w:rsid w:val="37321D6A"/>
    <w:rsid w:val="37903539"/>
    <w:rsid w:val="388A16E7"/>
    <w:rsid w:val="38F3153C"/>
    <w:rsid w:val="39F03816"/>
    <w:rsid w:val="3CC75F2B"/>
    <w:rsid w:val="3CF814E4"/>
    <w:rsid w:val="3D874491"/>
    <w:rsid w:val="3F5D7BA0"/>
    <w:rsid w:val="41817B76"/>
    <w:rsid w:val="418A33DF"/>
    <w:rsid w:val="435C016E"/>
    <w:rsid w:val="43964717"/>
    <w:rsid w:val="43BE3353"/>
    <w:rsid w:val="443D4540"/>
    <w:rsid w:val="45553AE5"/>
    <w:rsid w:val="45974888"/>
    <w:rsid w:val="47470D57"/>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DFC5B86"/>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6764668"/>
    <w:rsid w:val="774C5829"/>
    <w:rsid w:val="77893908"/>
    <w:rsid w:val="77E56B80"/>
    <w:rsid w:val="78A3591C"/>
    <w:rsid w:val="790E7239"/>
    <w:rsid w:val="79FB4EC7"/>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1"/>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2"/>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3"/>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54"/>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55"/>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56"/>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57"/>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58"/>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59"/>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link w:val="79"/>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annotation text"/>
    <w:basedOn w:val="1"/>
    <w:link w:val="117"/>
    <w:unhideWhenUsed/>
    <w:qFormat/>
    <w:uiPriority w:val="0"/>
    <w:pPr>
      <w:adjustRightInd/>
      <w:spacing w:line="500" w:lineRule="exact"/>
      <w:jc w:val="left"/>
    </w:pPr>
    <w:rPr>
      <w:sz w:val="20"/>
    </w:rPr>
  </w:style>
  <w:style w:type="paragraph" w:styleId="14">
    <w:name w:val="Body Text 3"/>
    <w:basedOn w:val="1"/>
    <w:link w:val="73"/>
    <w:semiHidden/>
    <w:unhideWhenUsed/>
    <w:qFormat/>
    <w:uiPriority w:val="99"/>
    <w:pPr>
      <w:spacing w:after="120"/>
    </w:pPr>
    <w:rPr>
      <w:sz w:val="16"/>
      <w:szCs w:val="16"/>
    </w:rPr>
  </w:style>
  <w:style w:type="paragraph" w:styleId="15">
    <w:name w:val="Body Text"/>
    <w:basedOn w:val="1"/>
    <w:link w:val="80"/>
    <w:autoRedefine/>
    <w:unhideWhenUsed/>
    <w:qFormat/>
    <w:uiPriority w:val="0"/>
    <w:pPr>
      <w:spacing w:after="120"/>
    </w:pPr>
  </w:style>
  <w:style w:type="paragraph" w:styleId="16">
    <w:name w:val="Body Text Indent"/>
    <w:basedOn w:val="1"/>
    <w:link w:val="63"/>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18"/>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78"/>
    <w:autoRedefine/>
    <w:semiHidden/>
    <w:unhideWhenUsed/>
    <w:qFormat/>
    <w:uiPriority w:val="99"/>
    <w:pPr>
      <w:ind w:left="100" w:leftChars="2500"/>
    </w:pPr>
  </w:style>
  <w:style w:type="paragraph" w:styleId="23">
    <w:name w:val="Body Text Indent 2"/>
    <w:basedOn w:val="1"/>
    <w:link w:val="76"/>
    <w:autoRedefine/>
    <w:unhideWhenUsed/>
    <w:qFormat/>
    <w:uiPriority w:val="99"/>
    <w:pPr>
      <w:spacing w:after="120" w:line="480" w:lineRule="auto"/>
      <w:ind w:left="420" w:leftChars="200"/>
      <w:jc w:val="left"/>
    </w:pPr>
  </w:style>
  <w:style w:type="paragraph" w:styleId="24">
    <w:name w:val="Balloon Text"/>
    <w:basedOn w:val="1"/>
    <w:link w:val="62"/>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1"/>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0"/>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28"/>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19"/>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5"/>
    <w:link w:val="87"/>
    <w:autoRedefine/>
    <w:unhideWhenUsed/>
    <w:qFormat/>
    <w:uiPriority w:val="99"/>
    <w:pPr>
      <w:ind w:firstLine="420" w:firstLineChars="100"/>
    </w:pPr>
  </w:style>
  <w:style w:type="paragraph" w:styleId="39">
    <w:name w:val="Body Text First Indent 2"/>
    <w:basedOn w:val="16"/>
    <w:next w:val="1"/>
    <w:link w:val="86"/>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yperlink"/>
    <w:basedOn w:val="42"/>
    <w:autoRedefine/>
    <w:unhideWhenUsed/>
    <w:qFormat/>
    <w:uiPriority w:val="99"/>
    <w:rPr>
      <w:color w:val="0000FF" w:themeColor="hyperlink"/>
      <w:u w:val="single"/>
      <w14:textFill>
        <w14:solidFill>
          <w14:schemeClr w14:val="hlink"/>
        </w14:solidFill>
      </w14:textFill>
    </w:rPr>
  </w:style>
  <w:style w:type="character" w:styleId="46">
    <w:name w:val="annotation reference"/>
    <w:autoRedefine/>
    <w:semiHidden/>
    <w:qFormat/>
    <w:uiPriority w:val="0"/>
    <w:rPr>
      <w:sz w:val="21"/>
      <w:szCs w:val="21"/>
    </w:rPr>
  </w:style>
  <w:style w:type="character" w:styleId="47">
    <w:name w:val="footnote reference"/>
    <w:autoRedefine/>
    <w:qFormat/>
    <w:uiPriority w:val="0"/>
    <w:rPr>
      <w:vertAlign w:val="superscript"/>
    </w:rPr>
  </w:style>
  <w:style w:type="paragraph" w:customStyle="1" w:styleId="48">
    <w:name w:val="*正文"/>
    <w:basedOn w:val="12"/>
    <w:qFormat/>
    <w:uiPriority w:val="0"/>
    <w:pPr>
      <w:ind w:firstLine="200"/>
    </w:pPr>
    <w:rPr>
      <w:rFonts w:ascii="宋体" w:hAnsi="宋体" w:eastAsia="宋体" w:cs="Times New Roman"/>
      <w:color w:val="000000"/>
    </w:rPr>
  </w:style>
  <w:style w:type="paragraph" w:customStyle="1" w:styleId="4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0">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1">
    <w:name w:val="标题 1 字符"/>
    <w:basedOn w:val="42"/>
    <w:link w:val="2"/>
    <w:autoRedefine/>
    <w:qFormat/>
    <w:uiPriority w:val="9"/>
    <w:rPr>
      <w:rFonts w:ascii="Times New Roman" w:hAnsi="Times New Roman" w:eastAsia="微软雅黑" w:cs="Times New Roman"/>
      <w:b/>
      <w:bCs/>
      <w:kern w:val="44"/>
      <w:sz w:val="32"/>
      <w:szCs w:val="44"/>
    </w:rPr>
  </w:style>
  <w:style w:type="character" w:customStyle="1" w:styleId="52">
    <w:name w:val="标题 2 字符"/>
    <w:basedOn w:val="42"/>
    <w:link w:val="3"/>
    <w:autoRedefine/>
    <w:qFormat/>
    <w:uiPriority w:val="9"/>
    <w:rPr>
      <w:rFonts w:eastAsia="微软雅黑" w:asciiTheme="majorHAnsi" w:hAnsiTheme="majorHAnsi" w:cstheme="majorBidi"/>
      <w:b/>
      <w:bCs/>
      <w:kern w:val="0"/>
      <w:sz w:val="30"/>
      <w:szCs w:val="32"/>
    </w:rPr>
  </w:style>
  <w:style w:type="character" w:customStyle="1" w:styleId="53">
    <w:name w:val="标题 3 字符"/>
    <w:basedOn w:val="42"/>
    <w:link w:val="4"/>
    <w:autoRedefine/>
    <w:qFormat/>
    <w:uiPriority w:val="0"/>
    <w:rPr>
      <w:rFonts w:ascii="Times New Roman" w:hAnsi="Times New Roman" w:eastAsia="微软雅黑" w:cs="Times New Roman"/>
      <w:b/>
      <w:bCs/>
      <w:kern w:val="0"/>
      <w:sz w:val="28"/>
      <w:szCs w:val="32"/>
    </w:rPr>
  </w:style>
  <w:style w:type="character" w:customStyle="1" w:styleId="54">
    <w:name w:val="标题 4 字符"/>
    <w:basedOn w:val="42"/>
    <w:link w:val="5"/>
    <w:autoRedefine/>
    <w:qFormat/>
    <w:uiPriority w:val="9"/>
    <w:rPr>
      <w:rFonts w:eastAsia="微软雅黑" w:asciiTheme="majorHAnsi" w:hAnsiTheme="majorHAnsi" w:cstheme="majorBidi"/>
      <w:b/>
      <w:bCs/>
      <w:kern w:val="0"/>
      <w:sz w:val="24"/>
      <w:szCs w:val="28"/>
    </w:rPr>
  </w:style>
  <w:style w:type="character" w:customStyle="1" w:styleId="55">
    <w:name w:val="标题 5 字符"/>
    <w:basedOn w:val="42"/>
    <w:link w:val="6"/>
    <w:autoRedefine/>
    <w:qFormat/>
    <w:uiPriority w:val="9"/>
    <w:rPr>
      <w:rFonts w:ascii="Times New Roman" w:hAnsi="Times New Roman" w:eastAsia="宋体" w:cs="Times New Roman"/>
      <w:b/>
      <w:bCs/>
      <w:sz w:val="28"/>
      <w:szCs w:val="28"/>
    </w:rPr>
  </w:style>
  <w:style w:type="character" w:customStyle="1" w:styleId="56">
    <w:name w:val="标题 6 字符"/>
    <w:basedOn w:val="42"/>
    <w:link w:val="7"/>
    <w:autoRedefine/>
    <w:qFormat/>
    <w:uiPriority w:val="9"/>
    <w:rPr>
      <w:rFonts w:ascii="Arial" w:hAnsi="Arial" w:eastAsia="黑体" w:cs="Times New Roman"/>
      <w:b/>
      <w:bCs/>
      <w:sz w:val="24"/>
      <w:szCs w:val="24"/>
    </w:rPr>
  </w:style>
  <w:style w:type="character" w:customStyle="1" w:styleId="57">
    <w:name w:val="标题 7 字符"/>
    <w:basedOn w:val="42"/>
    <w:link w:val="8"/>
    <w:autoRedefine/>
    <w:qFormat/>
    <w:uiPriority w:val="0"/>
    <w:rPr>
      <w:rFonts w:ascii="Times New Roman" w:hAnsi="Times New Roman" w:eastAsia="宋体" w:cs="Times New Roman"/>
      <w:b/>
      <w:bCs/>
      <w:sz w:val="24"/>
      <w:szCs w:val="24"/>
    </w:rPr>
  </w:style>
  <w:style w:type="character" w:customStyle="1" w:styleId="58">
    <w:name w:val="标题 8 字符"/>
    <w:basedOn w:val="42"/>
    <w:link w:val="9"/>
    <w:autoRedefine/>
    <w:qFormat/>
    <w:uiPriority w:val="0"/>
    <w:rPr>
      <w:rFonts w:ascii="Arial" w:hAnsi="Arial" w:eastAsia="黑体" w:cs="Times New Roman"/>
      <w:sz w:val="24"/>
      <w:szCs w:val="24"/>
    </w:rPr>
  </w:style>
  <w:style w:type="character" w:customStyle="1" w:styleId="59">
    <w:name w:val="标题 9 字符"/>
    <w:basedOn w:val="42"/>
    <w:link w:val="10"/>
    <w:autoRedefine/>
    <w:qFormat/>
    <w:uiPriority w:val="9"/>
    <w:rPr>
      <w:rFonts w:ascii="Arial" w:hAnsi="Arial" w:eastAsia="黑体" w:cs="Times New Roman"/>
      <w:szCs w:val="21"/>
    </w:rPr>
  </w:style>
  <w:style w:type="character" w:customStyle="1" w:styleId="60">
    <w:name w:val="页眉 字符"/>
    <w:basedOn w:val="42"/>
    <w:link w:val="27"/>
    <w:autoRedefine/>
    <w:qFormat/>
    <w:uiPriority w:val="0"/>
    <w:rPr>
      <w:sz w:val="18"/>
      <w:szCs w:val="18"/>
    </w:rPr>
  </w:style>
  <w:style w:type="character" w:customStyle="1" w:styleId="61">
    <w:name w:val="页脚 字符"/>
    <w:basedOn w:val="42"/>
    <w:link w:val="25"/>
    <w:autoRedefine/>
    <w:qFormat/>
    <w:uiPriority w:val="0"/>
    <w:rPr>
      <w:sz w:val="18"/>
      <w:szCs w:val="18"/>
    </w:rPr>
  </w:style>
  <w:style w:type="character" w:customStyle="1" w:styleId="62">
    <w:name w:val="批注框文本 字符"/>
    <w:basedOn w:val="42"/>
    <w:link w:val="24"/>
    <w:autoRedefine/>
    <w:semiHidden/>
    <w:qFormat/>
    <w:uiPriority w:val="99"/>
    <w:rPr>
      <w:sz w:val="18"/>
      <w:szCs w:val="18"/>
    </w:rPr>
  </w:style>
  <w:style w:type="character" w:customStyle="1" w:styleId="63">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64">
    <w:name w:val="List Paragraph"/>
    <w:basedOn w:val="1"/>
    <w:link w:val="65"/>
    <w:autoRedefine/>
    <w:qFormat/>
    <w:uiPriority w:val="34"/>
    <w:pPr>
      <w:snapToGrid w:val="0"/>
      <w:spacing w:line="360" w:lineRule="auto"/>
      <w:jc w:val="left"/>
    </w:pPr>
    <w:rPr>
      <w:rFonts w:eastAsia="微软雅黑"/>
      <w:b/>
      <w:sz w:val="30"/>
    </w:rPr>
  </w:style>
  <w:style w:type="character" w:customStyle="1" w:styleId="65">
    <w:name w:val="列出段落 字符"/>
    <w:link w:val="64"/>
    <w:autoRedefine/>
    <w:qFormat/>
    <w:uiPriority w:val="34"/>
    <w:rPr>
      <w:rFonts w:ascii="Times New Roman" w:hAnsi="Times New Roman" w:eastAsia="微软雅黑" w:cs="Times New Roman"/>
      <w:b/>
      <w:kern w:val="0"/>
      <w:sz w:val="30"/>
      <w:szCs w:val="20"/>
    </w:rPr>
  </w:style>
  <w:style w:type="character" w:customStyle="1" w:styleId="66">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7">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8">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9">
    <w:name w:val="Body text|1_"/>
    <w:link w:val="70"/>
    <w:autoRedefine/>
    <w:qFormat/>
    <w:uiPriority w:val="0"/>
    <w:rPr>
      <w:rFonts w:ascii="宋体" w:hAnsi="宋体" w:cs="宋体"/>
      <w:sz w:val="28"/>
      <w:szCs w:val="28"/>
      <w:lang w:val="zh-TW" w:eastAsia="zh-TW" w:bidi="zh-TW"/>
    </w:rPr>
  </w:style>
  <w:style w:type="paragraph" w:customStyle="1" w:styleId="70">
    <w:name w:val="Body text|1"/>
    <w:basedOn w:val="1"/>
    <w:link w:val="69"/>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1">
    <w:name w:val="Header or footer|1_"/>
    <w:link w:val="72"/>
    <w:autoRedefine/>
    <w:qFormat/>
    <w:uiPriority w:val="0"/>
    <w:rPr>
      <w:sz w:val="22"/>
      <w:lang w:val="zh-TW" w:eastAsia="zh-TW" w:bidi="zh-TW"/>
    </w:rPr>
  </w:style>
  <w:style w:type="paragraph" w:customStyle="1" w:styleId="72">
    <w:name w:val="Header or footer|1"/>
    <w:basedOn w:val="1"/>
    <w:link w:val="71"/>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3">
    <w:name w:val="正文文本 3 字符"/>
    <w:basedOn w:val="42"/>
    <w:link w:val="14"/>
    <w:autoRedefine/>
    <w:semiHidden/>
    <w:qFormat/>
    <w:uiPriority w:val="99"/>
    <w:rPr>
      <w:rFonts w:ascii="Times New Roman" w:hAnsi="Times New Roman" w:eastAsia="宋体" w:cs="Times New Roman"/>
      <w:kern w:val="0"/>
      <w:sz w:val="16"/>
      <w:szCs w:val="16"/>
    </w:rPr>
  </w:style>
  <w:style w:type="character" w:customStyle="1" w:styleId="74">
    <w:name w:val="fontstyle01"/>
    <w:basedOn w:val="42"/>
    <w:autoRedefine/>
    <w:qFormat/>
    <w:uiPriority w:val="0"/>
    <w:rPr>
      <w:rFonts w:hint="eastAsia" w:ascii="宋体" w:hAnsi="宋体" w:eastAsia="宋体"/>
      <w:color w:val="000000"/>
      <w:sz w:val="44"/>
      <w:szCs w:val="44"/>
    </w:rPr>
  </w:style>
  <w:style w:type="character" w:customStyle="1" w:styleId="75">
    <w:name w:val="fontstyle21"/>
    <w:basedOn w:val="42"/>
    <w:autoRedefine/>
    <w:qFormat/>
    <w:uiPriority w:val="0"/>
    <w:rPr>
      <w:rFonts w:hint="default" w:ascii="Wingdings-Regular" w:hAnsi="Wingdings-Regular"/>
      <w:color w:val="000000"/>
      <w:sz w:val="22"/>
      <w:szCs w:val="22"/>
    </w:rPr>
  </w:style>
  <w:style w:type="character" w:customStyle="1" w:styleId="76">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77">
    <w:name w:val="Unresolved Mention"/>
    <w:basedOn w:val="42"/>
    <w:autoRedefine/>
    <w:semiHidden/>
    <w:unhideWhenUsed/>
    <w:qFormat/>
    <w:uiPriority w:val="99"/>
    <w:rPr>
      <w:color w:val="605E5C"/>
      <w:shd w:val="clear" w:color="auto" w:fill="E1DFDD"/>
    </w:rPr>
  </w:style>
  <w:style w:type="character" w:customStyle="1" w:styleId="78">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79">
    <w:name w:val="正文缩进 字符"/>
    <w:link w:val="12"/>
    <w:autoRedefine/>
    <w:qFormat/>
    <w:uiPriority w:val="0"/>
    <w:rPr>
      <w:rFonts w:ascii="宋体"/>
      <w:sz w:val="24"/>
    </w:rPr>
  </w:style>
  <w:style w:type="character" w:customStyle="1" w:styleId="80">
    <w:name w:val="正文文本 字符"/>
    <w:basedOn w:val="42"/>
    <w:link w:val="15"/>
    <w:autoRedefine/>
    <w:qFormat/>
    <w:uiPriority w:val="0"/>
    <w:rPr>
      <w:rFonts w:ascii="Times New Roman" w:hAnsi="Times New Roman" w:eastAsia="宋体" w:cs="Times New Roman"/>
      <w:kern w:val="0"/>
      <w:szCs w:val="20"/>
    </w:rPr>
  </w:style>
  <w:style w:type="paragraph" w:customStyle="1" w:styleId="81">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5">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6">
    <w:name w:val="正文首行缩进 2 字符"/>
    <w:basedOn w:val="63"/>
    <w:link w:val="39"/>
    <w:autoRedefine/>
    <w:qFormat/>
    <w:uiPriority w:val="0"/>
    <w:rPr>
      <w:rFonts w:ascii="Times New Roman" w:hAnsi="Times New Roman" w:eastAsia="宋体" w:cs="Times New Roman"/>
      <w:kern w:val="0"/>
      <w:sz w:val="20"/>
      <w:szCs w:val="24"/>
      <w:lang w:bidi="he-IL"/>
    </w:rPr>
  </w:style>
  <w:style w:type="character" w:customStyle="1" w:styleId="87">
    <w:name w:val="正文首行缩进 字符"/>
    <w:basedOn w:val="80"/>
    <w:link w:val="38"/>
    <w:autoRedefine/>
    <w:semiHidden/>
    <w:qFormat/>
    <w:uiPriority w:val="99"/>
    <w:rPr>
      <w:rFonts w:ascii="Times New Roman" w:hAnsi="Times New Roman" w:eastAsia="宋体" w:cs="Times New Roman"/>
      <w:kern w:val="0"/>
      <w:szCs w:val="20"/>
    </w:rPr>
  </w:style>
  <w:style w:type="paragraph" w:customStyle="1" w:styleId="88">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9">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0">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4">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1">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6">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8">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9">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2">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7">
    <w:name w:val="批注文字 字符"/>
    <w:basedOn w:val="42"/>
    <w:link w:val="13"/>
    <w:autoRedefine/>
    <w:qFormat/>
    <w:uiPriority w:val="0"/>
    <w:rPr>
      <w:rFonts w:ascii="Times New Roman" w:hAnsi="Times New Roman" w:eastAsia="宋体" w:cs="Times New Roman"/>
      <w:kern w:val="0"/>
      <w:sz w:val="20"/>
      <w:szCs w:val="20"/>
    </w:rPr>
  </w:style>
  <w:style w:type="character" w:customStyle="1" w:styleId="118">
    <w:name w:val="纯文本 字符"/>
    <w:basedOn w:val="42"/>
    <w:link w:val="20"/>
    <w:autoRedefine/>
    <w:qFormat/>
    <w:uiPriority w:val="0"/>
    <w:rPr>
      <w:rFonts w:ascii="宋体" w:hAnsi="Courier New" w:eastAsia="宋体" w:cs="Times New Roman"/>
      <w:kern w:val="0"/>
      <w:szCs w:val="20"/>
    </w:rPr>
  </w:style>
  <w:style w:type="character" w:customStyle="1" w:styleId="119">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0">
    <w:name w:val="font41"/>
    <w:basedOn w:val="42"/>
    <w:autoRedefine/>
    <w:qFormat/>
    <w:uiPriority w:val="0"/>
    <w:rPr>
      <w:rFonts w:hint="eastAsia" w:ascii="黑体" w:eastAsia="黑体" w:cs="黑体"/>
      <w:color w:val="000000"/>
      <w:sz w:val="18"/>
      <w:szCs w:val="18"/>
      <w:u w:val="none"/>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NormalCharacter"/>
    <w:autoRedefine/>
    <w:semiHidden/>
    <w:qFormat/>
    <w:uiPriority w:val="0"/>
    <w:rPr>
      <w:rFonts w:ascii="Calibri" w:hAnsi="Calibri" w:cs="新宋体"/>
      <w:b/>
      <w:bCs/>
      <w:kern w:val="2"/>
      <w:sz w:val="28"/>
      <w:szCs w:val="36"/>
      <w:lang w:val="en-US" w:eastAsia="zh-CN" w:bidi="ar-SA"/>
    </w:rPr>
  </w:style>
  <w:style w:type="character" w:customStyle="1" w:styleId="123">
    <w:name w:val="font11"/>
    <w:basedOn w:val="42"/>
    <w:autoRedefine/>
    <w:qFormat/>
    <w:uiPriority w:val="0"/>
    <w:rPr>
      <w:rFonts w:hint="eastAsia" w:ascii="宋体" w:hAnsi="宋体" w:eastAsia="宋体"/>
      <w:b/>
      <w:color w:val="000000"/>
      <w:kern w:val="2"/>
      <w:sz w:val="18"/>
      <w:u w:val="none"/>
    </w:rPr>
  </w:style>
  <w:style w:type="paragraph" w:customStyle="1" w:styleId="124">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7">
    <w:name w:val="无间隔1"/>
    <w:autoRedefine/>
    <w:qFormat/>
    <w:uiPriority w:val="1"/>
    <w:rPr>
      <w:rFonts w:ascii="Calibri" w:hAnsi="Calibri" w:eastAsia="宋体" w:cs="黑体"/>
      <w:sz w:val="22"/>
      <w:szCs w:val="22"/>
      <w:lang w:val="en-US" w:eastAsia="zh-CN" w:bidi="ar-SA"/>
    </w:rPr>
  </w:style>
  <w:style w:type="character" w:customStyle="1" w:styleId="128">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29">
    <w:name w:val="文本"/>
    <w:basedOn w:val="1"/>
    <w:link w:val="130"/>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0">
    <w:name w:val="文本 Char"/>
    <w:link w:val="129"/>
    <w:autoRedefine/>
    <w:qFormat/>
    <w:uiPriority w:val="0"/>
    <w:rPr>
      <w:rFonts w:ascii="仿宋_GB2312" w:hAnsi="Times New Roman" w:eastAsia="仿宋_GB2312" w:cs="Times New Roman"/>
      <w:sz w:val="24"/>
      <w:szCs w:val="24"/>
    </w:rPr>
  </w:style>
  <w:style w:type="paragraph" w:customStyle="1" w:styleId="131">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2">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3">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4">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纯文本1"/>
    <w:basedOn w:val="1"/>
    <w:autoRedefine/>
    <w:qFormat/>
    <w:uiPriority w:val="0"/>
    <w:pPr>
      <w:adjustRightInd w:val="0"/>
      <w:textAlignment w:val="baseline"/>
    </w:pPr>
    <w:rPr>
      <w:rFonts w:ascii="宋体" w:hAnsi="宋体" w:eastAsia="楷体_GB2312" w:cs="宋体"/>
      <w:sz w:val="28"/>
    </w:rPr>
  </w:style>
  <w:style w:type="paragraph" w:customStyle="1" w:styleId="1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8">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48</Pages>
  <Words>1057</Words>
  <Characters>1122</Characters>
  <Lines>29</Lines>
  <Paragraphs>8</Paragraphs>
  <TotalTime>2</TotalTime>
  <ScaleCrop>false</ScaleCrop>
  <LinksUpToDate>false</LinksUpToDate>
  <CharactersWithSpaces>1217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2026-06-22T06:53:13Z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4FE9DED9B42044B9A763ADFC55EC8580_13</vt:lpwstr>
  </property>
  <property fmtid="{D5CDD505-2E9C-101B-9397-08002B2CF9AE}" pid="4" name="KSOTemplateDocerSaveRecord">
    <vt:lpwstr>eyJoZGlkIjoiNDFjNjc4MzM2NGNhOTY1ZjQ2ZmNmMWE4MmVlYzQxYjkiLCJ1c2VySWQiOiIzMDI1ODcyMjYifQ==</vt:lpwstr>
  </property>
</Properties>
</file>