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14"/>
        <w:ind w:left="0" w:leftChars="0" w:firstLine="0" w:firstLineChars="0"/>
      </w:pPr>
    </w:p>
    <w:p w14:paraId="2734B27A">
      <w:pPr>
        <w:spacing w:line="360" w:lineRule="auto"/>
        <w:ind w:firstLine="442" w:firstLineChars="100"/>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桐城师范高等专科学校教科研管理信息系统</w:t>
      </w: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建设项目</w:t>
      </w:r>
    </w:p>
    <w:p w14:paraId="012F5E32">
      <w:pPr>
        <w:pStyle w:val="48"/>
        <w:rPr>
          <w:rFonts w:hint="eastAsia"/>
          <w:color w:val="auto"/>
          <w:highlight w:val="none"/>
        </w:rPr>
      </w:pPr>
    </w:p>
    <w:p w14:paraId="16BD5BFA">
      <w:pPr>
        <w:spacing w:line="480" w:lineRule="exact"/>
        <w:rPr>
          <w:rFonts w:ascii="宋体"/>
          <w:color w:val="auto"/>
          <w:sz w:val="44"/>
          <w:szCs w:val="44"/>
          <w:highlight w:val="none"/>
        </w:rPr>
      </w:pPr>
    </w:p>
    <w:p w14:paraId="2E845CB9">
      <w:pPr>
        <w:pStyle w:val="48"/>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竞争性磋商文件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6</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023</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hint="eastAsia" w:ascii="宋体" w:hAnsi="宋体" w:cs="仿宋_GB2312"/>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宏骏工程管理有限公司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10 </w:t>
      </w:r>
      <w:r>
        <w:rPr>
          <w:rFonts w:hint="eastAsia" w:ascii="宋体" w:hAnsi="宋体" w:cs="仿宋_GB2312"/>
          <w:color w:val="auto"/>
          <w:sz w:val="32"/>
          <w:szCs w:val="32"/>
          <w:highlight w:val="none"/>
        </w:rPr>
        <w:t>月</w:t>
      </w:r>
    </w:p>
    <w:p w14:paraId="0C2CB5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headerReference r:id="rId5" w:type="default"/>
          <w:footerReference r:id="rId6"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p>
    <w:p w14:paraId="31037FE9">
      <w:pPr>
        <w:widowControl/>
        <w:jc w:val="left"/>
        <w:rPr>
          <w:rFonts w:ascii="宋体" w:hAnsi="宋体" w:cs="宋体"/>
          <w:b/>
          <w:color w:val="auto"/>
          <w:sz w:val="36"/>
          <w:szCs w:val="36"/>
          <w:highlight w:val="none"/>
          <w:lang w:val="zh-CN"/>
        </w:r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48"/>
        <w:rPr>
          <w:color w:val="auto"/>
          <w:highlight w:val="none"/>
          <w:lang w:val="zh-CN"/>
        </w:rPr>
      </w:pPr>
    </w:p>
    <w:p w14:paraId="6F456B90">
      <w:pPr>
        <w:pStyle w:val="29"/>
        <w:tabs>
          <w:tab w:val="right" w:leader="dot" w:pos="9070"/>
        </w:tabs>
        <w:spacing w:line="360" w:lineRule="auto"/>
        <w:rPr>
          <w:color w:val="auto"/>
          <w:sz w:val="28"/>
          <w:szCs w:val="24"/>
          <w:highlight w:val="none"/>
        </w:rPr>
      </w:pPr>
      <w:bookmarkStart w:id="0" w:name="_Toc23467"/>
      <w:bookmarkStart w:id="1" w:name="_Toc54941328"/>
      <w:bookmarkStart w:id="2" w:name="_Toc21464"/>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磋商邀请</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p>
    <w:p w14:paraId="25820FA5">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rPr>
        <w:t>供应商</w:t>
      </w:r>
      <w:r>
        <w:rPr>
          <w:rFonts w:ascii="Arial" w:hAnsi="Arial"/>
          <w:color w:val="auto"/>
          <w:kern w:val="2"/>
          <w:sz w:val="28"/>
          <w:szCs w:val="44"/>
          <w:highlight w:val="none"/>
        </w:rPr>
        <w:t>须知</w:t>
      </w:r>
      <w:r>
        <w:rPr>
          <w:color w:val="auto"/>
          <w:sz w:val="28"/>
          <w:szCs w:val="24"/>
          <w:highlight w:val="none"/>
        </w:rPr>
        <w:tab/>
      </w:r>
      <w:r>
        <w:rPr>
          <w:rFonts w:hint="eastAsia"/>
          <w:color w:val="auto"/>
          <w:sz w:val="28"/>
          <w:szCs w:val="24"/>
          <w:highlight w:val="none"/>
          <w:lang w:val="en-US" w:eastAsia="zh-CN"/>
        </w:rPr>
        <w:t>4</w:t>
      </w:r>
      <w:r>
        <w:rPr>
          <w:color w:val="auto"/>
          <w:sz w:val="28"/>
          <w:szCs w:val="40"/>
          <w:highlight w:val="none"/>
        </w:rPr>
        <w:fldChar w:fldCharType="end"/>
      </w:r>
    </w:p>
    <w:p w14:paraId="4473F23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1</w:t>
      </w:r>
      <w:r>
        <w:rPr>
          <w:color w:val="auto"/>
          <w:sz w:val="28"/>
          <w:szCs w:val="40"/>
          <w:highlight w:val="none"/>
        </w:rPr>
        <w:fldChar w:fldCharType="end"/>
      </w:r>
      <w:r>
        <w:rPr>
          <w:rFonts w:hint="eastAsia"/>
          <w:color w:val="auto"/>
          <w:sz w:val="28"/>
          <w:szCs w:val="40"/>
          <w:highlight w:val="none"/>
          <w:lang w:val="en-US" w:eastAsia="zh-CN"/>
        </w:rPr>
        <w:t>4</w:t>
      </w:r>
    </w:p>
    <w:p w14:paraId="4DE78E20">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4</w:t>
      </w:r>
    </w:p>
    <w:p w14:paraId="7143EA37">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w:t>
      </w:r>
      <w:r>
        <w:rPr>
          <w:color w:val="auto"/>
          <w:sz w:val="28"/>
          <w:szCs w:val="24"/>
          <w:highlight w:val="none"/>
        </w:rPr>
        <w:tab/>
      </w:r>
      <w:r>
        <w:rPr>
          <w:rFonts w:hint="eastAsia"/>
          <w:color w:val="auto"/>
          <w:sz w:val="28"/>
          <w:szCs w:val="24"/>
          <w:highlight w:val="none"/>
          <w:lang w:val="en-US" w:eastAsia="zh-CN"/>
        </w:rPr>
        <w:t>3</w:t>
      </w:r>
      <w:r>
        <w:rPr>
          <w:color w:val="auto"/>
          <w:sz w:val="28"/>
          <w:szCs w:val="40"/>
          <w:highlight w:val="none"/>
        </w:rPr>
        <w:fldChar w:fldCharType="end"/>
      </w:r>
      <w:r>
        <w:rPr>
          <w:rFonts w:hint="eastAsia"/>
          <w:color w:val="auto"/>
          <w:sz w:val="28"/>
          <w:szCs w:val="40"/>
          <w:highlight w:val="none"/>
          <w:lang w:val="en-US" w:eastAsia="zh-CN"/>
        </w:rPr>
        <w:t>0</w:t>
      </w:r>
    </w:p>
    <w:p w14:paraId="1B92A2FD">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_Toc1812 \h </w:instrText>
      </w:r>
      <w:r>
        <w:rPr>
          <w:color w:val="auto"/>
          <w:sz w:val="28"/>
          <w:szCs w:val="24"/>
          <w:highlight w:val="none"/>
        </w:rPr>
        <w:fldChar w:fldCharType="separate"/>
      </w:r>
      <w:r>
        <w:rPr>
          <w:color w:val="auto"/>
          <w:sz w:val="28"/>
          <w:szCs w:val="24"/>
          <w:highlight w:val="none"/>
        </w:rPr>
        <w:t>30</w:t>
      </w:r>
      <w:r>
        <w:rPr>
          <w:color w:val="auto"/>
          <w:sz w:val="28"/>
          <w:szCs w:val="24"/>
          <w:highlight w:val="none"/>
        </w:rPr>
        <w:fldChar w:fldCharType="end"/>
      </w:r>
      <w:r>
        <w:rPr>
          <w:color w:val="auto"/>
          <w:sz w:val="28"/>
          <w:szCs w:val="40"/>
          <w:highlight w:val="none"/>
        </w:rPr>
        <w:fldChar w:fldCharType="end"/>
      </w:r>
    </w:p>
    <w:p w14:paraId="78B5310B">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第七章  政府采购供应商询问函和质疑函范本</w:t>
      </w:r>
      <w:r>
        <w:rPr>
          <w:color w:val="auto"/>
          <w:sz w:val="28"/>
          <w:szCs w:val="24"/>
          <w:highlight w:val="none"/>
        </w:rPr>
        <w:tab/>
      </w:r>
      <w:r>
        <w:rPr>
          <w:rFonts w:hint="eastAsia"/>
          <w:color w:val="auto"/>
          <w:sz w:val="28"/>
          <w:szCs w:val="24"/>
          <w:highlight w:val="none"/>
          <w:lang w:val="en-US" w:eastAsia="zh-CN"/>
        </w:rPr>
        <w:t>4</w:t>
      </w:r>
      <w:r>
        <w:rPr>
          <w:color w:val="auto"/>
          <w:sz w:val="28"/>
          <w:szCs w:val="40"/>
          <w:highlight w:val="none"/>
        </w:rPr>
        <w:fldChar w:fldCharType="end"/>
      </w:r>
      <w:r>
        <w:rPr>
          <w:rFonts w:hint="eastAsia"/>
          <w:color w:val="auto"/>
          <w:sz w:val="28"/>
          <w:szCs w:val="40"/>
          <w:highlight w:val="none"/>
          <w:lang w:val="en-US" w:eastAsia="zh-CN"/>
        </w:rPr>
        <w:t>5</w:t>
      </w:r>
    </w:p>
    <w:p w14:paraId="6989B8C6">
      <w:pPr>
        <w:pStyle w:val="20"/>
        <w:tabs>
          <w:tab w:val="right" w:leader="dot" w:pos="9060"/>
        </w:tabs>
        <w:spacing w:line="360" w:lineRule="auto"/>
        <w:rPr>
          <w:color w:val="auto"/>
          <w:szCs w:val="21"/>
          <w:highlight w:val="none"/>
        </w:rPr>
        <w:sectPr>
          <w:footerReference r:id="rId7"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color w:val="auto"/>
          <w:sz w:val="28"/>
          <w:szCs w:val="40"/>
          <w:highlight w:val="none"/>
        </w:rPr>
        <w:fldChar w:fldCharType="end"/>
      </w:r>
      <w:bookmarkStart w:id="4" w:name="_Toc7432"/>
    </w:p>
    <w:p w14:paraId="35D3DCA8">
      <w:pPr>
        <w:pStyle w:val="20"/>
        <w:tabs>
          <w:tab w:val="right" w:leader="dot" w:pos="9060"/>
        </w:tabs>
        <w:spacing w:line="360" w:lineRule="auto"/>
        <w:jc w:val="center"/>
        <w:rPr>
          <w:rFonts w:hint="eastAsia" w:ascii="Arial" w:hAnsi="Arial" w:eastAsia="宋体"/>
          <w:b/>
          <w:bCs/>
          <w:i w:val="0"/>
          <w:iCs/>
          <w:color w:val="auto"/>
          <w:sz w:val="32"/>
          <w:szCs w:val="32"/>
          <w:highlight w:val="none"/>
          <w:lang w:eastAsia="zh-CN"/>
        </w:rPr>
      </w:pPr>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eastAsia="zh-CN"/>
        </w:rPr>
        <w:t>磋商</w:t>
      </w:r>
      <w:r>
        <w:rPr>
          <w:rFonts w:hint="eastAsia"/>
          <w:b/>
          <w:bCs/>
          <w:i w:val="0"/>
          <w:iCs/>
          <w:color w:val="auto"/>
          <w:sz w:val="32"/>
          <w:szCs w:val="32"/>
          <w:highlight w:val="none"/>
        </w:rPr>
        <w:t>邀请</w:t>
      </w:r>
    </w:p>
    <w:p w14:paraId="2B113C03">
      <w:pPr>
        <w:spacing w:line="360" w:lineRule="auto"/>
        <w:ind w:firstLine="435"/>
        <w:outlineLvl w:val="1"/>
        <w:rPr>
          <w:rFonts w:ascii="宋体" w:hAnsi="宋体" w:eastAsia="宋体"/>
          <w:b/>
          <w:bCs/>
          <w:color w:val="auto"/>
          <w:sz w:val="24"/>
          <w:szCs w:val="18"/>
          <w:highlight w:val="none"/>
        </w:rPr>
      </w:pPr>
      <w:bookmarkStart w:id="5" w:name="_Toc7340"/>
      <w:bookmarkStart w:id="6" w:name="_Toc24610"/>
      <w:bookmarkStart w:id="7" w:name="_Toc21967"/>
      <w:r>
        <w:rPr>
          <w:rFonts w:hint="eastAsia" w:ascii="宋体" w:hAnsi="宋体" w:eastAsia="宋体"/>
          <w:b/>
          <w:bCs/>
          <w:color w:val="auto"/>
          <w:sz w:val="24"/>
          <w:szCs w:val="18"/>
          <w:highlight w:val="none"/>
        </w:rPr>
        <w:t>一、项目名称及内容</w:t>
      </w:r>
      <w:bookmarkEnd w:id="5"/>
      <w:bookmarkEnd w:id="6"/>
      <w:bookmarkEnd w:id="7"/>
    </w:p>
    <w:p w14:paraId="77A859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1.项目编号：</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eastAsia="zh-CN"/>
        </w:rPr>
        <w:t>TCSZCG(202</w:t>
      </w:r>
      <w:r>
        <w:rPr>
          <w:rFonts w:hint="eastAsia" w:ascii="宋体" w:hAnsi="宋体" w:eastAsia="宋体"/>
          <w:color w:val="auto"/>
          <w:sz w:val="24"/>
          <w:szCs w:val="18"/>
          <w:highlight w:val="none"/>
          <w:u w:val="single"/>
          <w:lang w:val="en-US" w:eastAsia="zh-CN"/>
        </w:rPr>
        <w:t>6</w:t>
      </w:r>
      <w:r>
        <w:rPr>
          <w:rFonts w:hint="eastAsia" w:ascii="宋体" w:hAnsi="宋体" w:eastAsia="宋体"/>
          <w:color w:val="auto"/>
          <w:sz w:val="24"/>
          <w:szCs w:val="18"/>
          <w:highlight w:val="none"/>
          <w:u w:val="single"/>
          <w:lang w:eastAsia="zh-CN"/>
        </w:rPr>
        <w:t xml:space="preserve">) </w:t>
      </w:r>
      <w:r>
        <w:rPr>
          <w:rFonts w:hint="eastAsia" w:ascii="宋体" w:hAnsi="宋体" w:eastAsia="宋体"/>
          <w:color w:val="auto"/>
          <w:sz w:val="24"/>
          <w:szCs w:val="18"/>
          <w:highlight w:val="none"/>
          <w:u w:val="single"/>
          <w:lang w:val="en-US" w:eastAsia="zh-CN"/>
        </w:rPr>
        <w:t>0</w:t>
      </w:r>
      <w:r>
        <w:rPr>
          <w:rFonts w:hint="eastAsia" w:ascii="宋体" w:hAnsi="宋体"/>
          <w:color w:val="auto"/>
          <w:sz w:val="24"/>
          <w:szCs w:val="18"/>
          <w:highlight w:val="none"/>
          <w:u w:val="single"/>
          <w:lang w:val="en-US" w:eastAsia="zh-CN"/>
        </w:rPr>
        <w:t>23</w:t>
      </w:r>
      <w:r>
        <w:rPr>
          <w:rFonts w:hint="eastAsia" w:ascii="宋体" w:hAnsi="宋体" w:eastAsia="宋体"/>
          <w:color w:val="auto"/>
          <w:sz w:val="24"/>
          <w:szCs w:val="18"/>
          <w:highlight w:val="none"/>
          <w:u w:val="single"/>
          <w:lang w:eastAsia="zh-CN"/>
        </w:rPr>
        <w:t>号</w:t>
      </w:r>
    </w:p>
    <w:p w14:paraId="7258789B">
      <w:pPr>
        <w:autoSpaceDE w:val="0"/>
        <w:autoSpaceDN w:val="0"/>
        <w:adjustRightInd w:val="0"/>
        <w:spacing w:line="360" w:lineRule="auto"/>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2.项目名称：</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val="en-US" w:eastAsia="zh-CN"/>
        </w:rPr>
        <w:t>桐城师范高等专科学校教科研管理信息系统</w:t>
      </w:r>
      <w:r>
        <w:rPr>
          <w:rFonts w:hint="eastAsia" w:ascii="宋体" w:hAnsi="宋体"/>
          <w:color w:val="auto"/>
          <w:sz w:val="24"/>
          <w:szCs w:val="18"/>
          <w:highlight w:val="none"/>
          <w:u w:val="single"/>
          <w:lang w:val="en-US" w:eastAsia="zh-CN"/>
        </w:rPr>
        <w:t>建设</w:t>
      </w:r>
      <w:r>
        <w:rPr>
          <w:rFonts w:hint="eastAsia" w:ascii="宋体" w:hAnsi="宋体" w:eastAsia="宋体"/>
          <w:color w:val="auto"/>
          <w:sz w:val="24"/>
          <w:szCs w:val="18"/>
          <w:highlight w:val="none"/>
          <w:u w:val="single"/>
          <w:lang w:val="en-US" w:eastAsia="zh-CN"/>
        </w:rPr>
        <w:t>项目</w:t>
      </w:r>
    </w:p>
    <w:p w14:paraId="17633DD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3.预算金额：</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val="en-US" w:eastAsia="zh-CN"/>
        </w:rPr>
        <w:t>320000</w:t>
      </w:r>
      <w:r>
        <w:rPr>
          <w:rFonts w:hint="eastAsia" w:ascii="宋体" w:hAnsi="宋体" w:eastAsia="宋体"/>
          <w:color w:val="auto"/>
          <w:sz w:val="24"/>
          <w:szCs w:val="18"/>
          <w:highlight w:val="none"/>
          <w:u w:val="single"/>
          <w:lang w:val="en-US" w:eastAsia="zh-CN"/>
        </w:rPr>
        <w:t>元</w:t>
      </w:r>
      <w:r>
        <w:rPr>
          <w:rFonts w:ascii="宋体" w:hAnsi="宋体" w:eastAsia="宋体"/>
          <w:color w:val="auto"/>
          <w:sz w:val="24"/>
          <w:szCs w:val="18"/>
          <w:highlight w:val="none"/>
          <w:u w:val="single"/>
        </w:rPr>
        <w:t xml:space="preserve"> </w:t>
      </w:r>
    </w:p>
    <w:p w14:paraId="6BA2AA9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4.最高限价：</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val="en-US" w:eastAsia="zh-CN"/>
        </w:rPr>
        <w:t>320000</w:t>
      </w:r>
      <w:r>
        <w:rPr>
          <w:rFonts w:hint="eastAsia" w:ascii="宋体" w:hAnsi="宋体" w:eastAsia="宋体"/>
          <w:color w:val="auto"/>
          <w:sz w:val="24"/>
          <w:szCs w:val="18"/>
          <w:highlight w:val="none"/>
          <w:u w:val="single"/>
          <w:lang w:val="en-US" w:eastAsia="zh-CN"/>
        </w:rPr>
        <w:t>元</w:t>
      </w:r>
      <w:r>
        <w:rPr>
          <w:rFonts w:ascii="宋体" w:hAnsi="宋体" w:eastAsia="宋体"/>
          <w:color w:val="auto"/>
          <w:sz w:val="24"/>
          <w:szCs w:val="18"/>
          <w:highlight w:val="none"/>
          <w:u w:val="single"/>
        </w:rPr>
        <w:t xml:space="preserve"> </w:t>
      </w:r>
    </w:p>
    <w:p w14:paraId="1D8C800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5.采购需求：</w:t>
      </w:r>
      <w:r>
        <w:rPr>
          <w:rFonts w:hint="eastAsia"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lang w:val="en-US" w:eastAsia="zh-CN"/>
        </w:rPr>
        <w:t>桐城师范高等专科学校教科研管理信息系统</w:t>
      </w:r>
      <w:r>
        <w:rPr>
          <w:rFonts w:hint="eastAsia" w:ascii="宋体" w:hAnsi="宋体"/>
          <w:color w:val="auto"/>
          <w:sz w:val="24"/>
          <w:szCs w:val="18"/>
          <w:highlight w:val="none"/>
          <w:u w:val="single"/>
          <w:lang w:val="en-US" w:eastAsia="zh-CN"/>
        </w:rPr>
        <w:t>建设</w:t>
      </w:r>
      <w:r>
        <w:rPr>
          <w:rFonts w:hint="eastAsia" w:ascii="宋体" w:hAnsi="宋体" w:eastAsia="宋体"/>
          <w:color w:val="auto"/>
          <w:sz w:val="24"/>
          <w:szCs w:val="18"/>
          <w:highlight w:val="none"/>
          <w:u w:val="single"/>
          <w:lang w:val="en-US" w:eastAsia="zh-CN"/>
        </w:rPr>
        <w:t>项目，详见采购需求</w:t>
      </w:r>
    </w:p>
    <w:p w14:paraId="7714AF65">
      <w:pPr>
        <w:spacing w:line="360" w:lineRule="auto"/>
        <w:ind w:firstLine="435"/>
        <w:rPr>
          <w:rFonts w:hint="default" w:eastAsia="宋体" w:asciiTheme="minorEastAsia" w:hAnsiTheme="minorEastAsia"/>
          <w:color w:val="auto"/>
          <w:sz w:val="24"/>
          <w:highlight w:val="none"/>
          <w:lang w:val="en-US" w:eastAsia="zh-CN"/>
        </w:rPr>
      </w:pPr>
      <w:r>
        <w:rPr>
          <w:rFonts w:hint="eastAsia" w:asciiTheme="minorEastAsia" w:hAnsiTheme="minorEastAsia" w:eastAsiaTheme="minorEastAsia"/>
          <w:color w:val="auto"/>
          <w:sz w:val="24"/>
          <w:highlight w:val="none"/>
        </w:rPr>
        <w:t>6.合同履行期限：</w:t>
      </w:r>
      <w:r>
        <w:rPr>
          <w:rFonts w:hint="eastAsia" w:ascii="宋体" w:hAnsi="宋体" w:eastAsia="宋体"/>
          <w:color w:val="auto"/>
          <w:sz w:val="24"/>
          <w:szCs w:val="18"/>
          <w:highlight w:val="none"/>
          <w:u w:val="single"/>
        </w:rPr>
        <w:t xml:space="preserve"> </w:t>
      </w:r>
      <w:r>
        <w:rPr>
          <w:rFonts w:hint="eastAsia" w:ascii="宋体" w:hAnsi="宋体"/>
          <w:color w:val="auto"/>
          <w:sz w:val="24"/>
          <w:szCs w:val="18"/>
          <w:highlight w:val="none"/>
          <w:u w:val="single"/>
          <w:lang w:val="en-US" w:eastAsia="zh-CN"/>
        </w:rPr>
        <w:t>60日历天</w:t>
      </w:r>
    </w:p>
    <w:p w14:paraId="42AE4A25">
      <w:pPr>
        <w:autoSpaceDE w:val="0"/>
        <w:autoSpaceDN w:val="0"/>
        <w:adjustRightInd w:val="0"/>
        <w:spacing w:line="360" w:lineRule="auto"/>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7.本项目</w:t>
      </w:r>
      <w:r>
        <w:rPr>
          <w:rFonts w:hint="eastAsia" w:asciiTheme="minorEastAsia" w:hAnsiTheme="minorEastAsia" w:eastAsiaTheme="minorEastAsia"/>
          <w:color w:val="auto"/>
          <w:sz w:val="24"/>
          <w:highlight w:val="none"/>
          <w:lang w:val="en-US" w:eastAsia="zh-CN"/>
        </w:rPr>
        <w:t>不</w:t>
      </w:r>
      <w:r>
        <w:rPr>
          <w:rFonts w:hint="eastAsia" w:asciiTheme="minorEastAsia" w:hAnsiTheme="minorEastAsia" w:eastAsiaTheme="minorEastAsia"/>
          <w:color w:val="auto"/>
          <w:sz w:val="24"/>
          <w:highlight w:val="none"/>
        </w:rPr>
        <w:t>接受联合体。</w:t>
      </w:r>
    </w:p>
    <w:p w14:paraId="75FF8771">
      <w:pPr>
        <w:spacing w:line="360" w:lineRule="auto"/>
        <w:ind w:firstLine="435"/>
        <w:outlineLvl w:val="1"/>
        <w:rPr>
          <w:rFonts w:ascii="宋体" w:hAnsi="宋体" w:eastAsia="宋体"/>
          <w:b/>
          <w:bCs/>
          <w:color w:val="auto"/>
          <w:sz w:val="24"/>
          <w:szCs w:val="18"/>
          <w:highlight w:val="none"/>
        </w:rPr>
      </w:pPr>
      <w:bookmarkStart w:id="8" w:name="_Toc10226"/>
      <w:bookmarkStart w:id="9" w:name="_Toc5862"/>
      <w:bookmarkStart w:id="10" w:name="_Toc9766"/>
      <w:r>
        <w:rPr>
          <w:rFonts w:hint="eastAsia" w:ascii="宋体" w:hAnsi="宋体" w:eastAsia="宋体"/>
          <w:b/>
          <w:bCs/>
          <w:color w:val="auto"/>
          <w:sz w:val="24"/>
          <w:szCs w:val="18"/>
          <w:highlight w:val="none"/>
        </w:rPr>
        <w:t>二</w:t>
      </w:r>
      <w:r>
        <w:rPr>
          <w:rFonts w:hint="eastAsia" w:asciiTheme="minorEastAsia" w:hAnsiTheme="minorEastAsia" w:eastAsiaTheme="minorEastAsia"/>
          <w:b/>
          <w:color w:val="auto"/>
          <w:sz w:val="24"/>
          <w:highlight w:val="none"/>
        </w:rPr>
        <w:t>、</w:t>
      </w:r>
      <w:bookmarkEnd w:id="8"/>
      <w:r>
        <w:rPr>
          <w:rFonts w:hint="eastAsia" w:ascii="宋体" w:hAnsi="宋体" w:eastAsia="宋体"/>
          <w:b/>
          <w:bCs/>
          <w:color w:val="auto"/>
          <w:sz w:val="24"/>
          <w:szCs w:val="18"/>
          <w:highlight w:val="none"/>
        </w:rPr>
        <w:t>申请人的资格要求</w:t>
      </w:r>
      <w:bookmarkEnd w:id="9"/>
      <w:bookmarkEnd w:id="10"/>
    </w:p>
    <w:p w14:paraId="481D89B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1.满足《中华人民共和国政府采购法》第二十二条规定；</w:t>
      </w:r>
    </w:p>
    <w:p w14:paraId="306D4AFE">
      <w:pPr>
        <w:spacing w:line="360" w:lineRule="auto"/>
        <w:ind w:firstLine="435"/>
        <w:outlineLvl w:val="9"/>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2.落实政府采购政策需满足的资格要求</w:t>
      </w:r>
      <w:r>
        <w:rPr>
          <w:rFonts w:hint="eastAsia" w:asciiTheme="minorEastAsia" w:hAnsiTheme="minorEastAsia" w:eastAsiaTheme="minorEastAsia"/>
          <w:color w:val="auto"/>
          <w:sz w:val="24"/>
          <w:highlight w:val="none"/>
          <w:lang w:eastAsia="zh-CN"/>
        </w:rPr>
        <w:t>：</w:t>
      </w:r>
    </w:p>
    <w:p w14:paraId="11D4A158">
      <w:pPr>
        <w:spacing w:line="360" w:lineRule="auto"/>
        <w:ind w:firstLine="435"/>
        <w:outlineLvl w:val="9"/>
        <w:rPr>
          <w:rFonts w:hint="eastAsia"/>
          <w:lang w:val="en-US" w:eastAsia="zh-CN"/>
        </w:rPr>
      </w:pPr>
      <w:r>
        <w:rPr>
          <w:rFonts w:hint="eastAsia" w:asciiTheme="minorEastAsia" w:hAnsiTheme="minorEastAsia" w:eastAsiaTheme="minorEastAsia"/>
          <w:color w:val="auto"/>
          <w:sz w:val="24"/>
          <w:highlight w:val="none"/>
          <w:lang w:val="en-US" w:eastAsia="zh-CN"/>
        </w:rPr>
        <w:t>2.1具有良好的商业信誉和健全的财务会计制度；资产运营良好，不存在因借贷、担保等可能影响投标人履行本招标项目的情况，具有良好的经营业绩，有提供优质服务的能力 （提供 2024年1月至今任一月份的资产负债表和利润表，或近两年度财务决算审计报告）；</w:t>
      </w:r>
    </w:p>
    <w:p w14:paraId="78FEB9DA">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2.2</w:t>
      </w:r>
      <w:r>
        <w:rPr>
          <w:rFonts w:hint="default" w:ascii="宋体" w:hAnsi="宋体" w:eastAsia="宋体" w:cs="宋体"/>
          <w:color w:val="auto"/>
          <w:sz w:val="24"/>
          <w:szCs w:val="24"/>
          <w:highlight w:val="none"/>
          <w:lang w:val="en-US" w:eastAsia="zh-CN"/>
        </w:rPr>
        <w:t>具有履行合同所必需的设备和专业技术能力 （根据项目需求提供履行合同所必需的专业技术能力承诺函）</w:t>
      </w:r>
      <w:r>
        <w:rPr>
          <w:rFonts w:hint="eastAsia" w:ascii="宋体" w:hAnsi="宋体" w:eastAsia="宋体" w:cs="宋体"/>
          <w:color w:val="auto"/>
          <w:sz w:val="24"/>
          <w:szCs w:val="24"/>
          <w:highlight w:val="none"/>
          <w:lang w:val="en-US" w:eastAsia="zh-CN"/>
        </w:rPr>
        <w:t>；</w:t>
      </w:r>
    </w:p>
    <w:p w14:paraId="0ED5DC6F">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lang w:val="en-US" w:eastAsia="zh-CN"/>
        </w:rPr>
        <w:t>2.3</w:t>
      </w:r>
      <w:r>
        <w:rPr>
          <w:rFonts w:hint="default" w:ascii="宋体" w:hAnsi="宋体" w:eastAsia="宋体" w:cs="宋体"/>
          <w:color w:val="auto"/>
          <w:sz w:val="24"/>
          <w:szCs w:val="24"/>
          <w:highlight w:val="none"/>
          <w:lang w:val="en-US" w:eastAsia="zh-CN"/>
        </w:rPr>
        <w:t>有依法缴纳税收和社会保障资金的良好记录 （提供 202</w:t>
      </w:r>
      <w:r>
        <w:rPr>
          <w:rFonts w:hint="eastAsia" w:ascii="宋体" w:hAnsi="宋体" w:eastAsia="宋体" w:cs="宋体"/>
          <w:color w:val="auto"/>
          <w:sz w:val="24"/>
          <w:szCs w:val="24"/>
          <w:highlight w:val="none"/>
          <w:lang w:val="en-US" w:eastAsia="zh-CN"/>
        </w:rPr>
        <w:t>4</w:t>
      </w:r>
      <w:r>
        <w:rPr>
          <w:rFonts w:hint="default"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lang w:val="en-US" w:eastAsia="zh-CN"/>
        </w:rPr>
        <w:t>1</w:t>
      </w:r>
      <w:r>
        <w:rPr>
          <w:rFonts w:hint="default" w:ascii="宋体" w:hAnsi="宋体" w:eastAsia="宋体" w:cs="宋体"/>
          <w:color w:val="auto"/>
          <w:sz w:val="24"/>
          <w:szCs w:val="24"/>
          <w:highlight w:val="none"/>
          <w:lang w:val="en-US" w:eastAsia="zh-CN"/>
        </w:rPr>
        <w:t>月至今任一月份依法缴纳税费的复印件，原件备查）</w:t>
      </w:r>
      <w:r>
        <w:rPr>
          <w:rFonts w:hint="eastAsia" w:asciiTheme="minorEastAsia" w:hAnsiTheme="minorEastAsia" w:eastAsiaTheme="minorEastAsia"/>
          <w:color w:val="auto"/>
          <w:sz w:val="24"/>
          <w:highlight w:val="none"/>
          <w:lang w:val="en-US" w:eastAsia="zh-CN"/>
        </w:rPr>
        <w:t>。</w:t>
      </w:r>
    </w:p>
    <w:p w14:paraId="3BA13CD6">
      <w:pPr>
        <w:spacing w:line="360" w:lineRule="auto"/>
        <w:ind w:firstLine="435"/>
        <w:outlineLvl w:val="1"/>
        <w:rPr>
          <w:rFonts w:ascii="宋体" w:hAnsi="宋体" w:eastAsia="宋体"/>
          <w:b/>
          <w:bCs/>
          <w:color w:val="auto"/>
          <w:sz w:val="24"/>
          <w:szCs w:val="18"/>
          <w:highlight w:val="none"/>
        </w:rPr>
      </w:pPr>
      <w:bookmarkStart w:id="11" w:name="_Toc4607"/>
      <w:bookmarkStart w:id="12" w:name="_Toc31469"/>
      <w:bookmarkStart w:id="13" w:name="_Toc31607"/>
      <w:r>
        <w:rPr>
          <w:rFonts w:hint="eastAsia" w:ascii="宋体" w:hAnsi="宋体" w:eastAsia="宋体"/>
          <w:b/>
          <w:bCs/>
          <w:color w:val="auto"/>
          <w:sz w:val="24"/>
          <w:szCs w:val="18"/>
          <w:highlight w:val="none"/>
        </w:rPr>
        <w:t>三</w:t>
      </w:r>
      <w:r>
        <w:rPr>
          <w:rFonts w:hint="eastAsia" w:asciiTheme="minorEastAsia" w:hAnsiTheme="minorEastAsia" w:eastAsiaTheme="minorEastAsia"/>
          <w:b/>
          <w:color w:val="auto"/>
          <w:sz w:val="24"/>
          <w:highlight w:val="none"/>
        </w:rPr>
        <w:t>、</w:t>
      </w:r>
      <w:bookmarkEnd w:id="11"/>
      <w:r>
        <w:rPr>
          <w:rFonts w:hint="eastAsia" w:asciiTheme="minorEastAsia" w:hAnsiTheme="minorEastAsia" w:eastAsiaTheme="minorEastAsia"/>
          <w:b/>
          <w:color w:val="auto"/>
          <w:sz w:val="24"/>
          <w:highlight w:val="none"/>
        </w:rPr>
        <w:t>获取采购文件</w:t>
      </w:r>
      <w:bookmarkEnd w:id="12"/>
      <w:bookmarkEnd w:id="13"/>
    </w:p>
    <w:p w14:paraId="3DE512F2">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i/>
          <w:iCs/>
          <w:sz w:val="24"/>
          <w:szCs w:val="24"/>
          <w:highlight w:val="none"/>
        </w:rPr>
      </w:pPr>
      <w:r>
        <w:rPr>
          <w:rFonts w:hint="eastAsia" w:asciiTheme="minorEastAsia" w:hAnsiTheme="minorEastAsia" w:eastAsiaTheme="minorEastAsia" w:cstheme="minorEastAsia"/>
          <w:sz w:val="24"/>
          <w:szCs w:val="24"/>
          <w:highlight w:val="none"/>
        </w:rPr>
        <w:t>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30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rPr>
        <w:t>分前（北京时间）</w:t>
      </w:r>
    </w:p>
    <w:p w14:paraId="63649A3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宋体" w:hAnsi="宋体" w:eastAsia="宋体"/>
          <w:color w:val="auto"/>
          <w:sz w:val="24"/>
          <w:szCs w:val="18"/>
          <w:highlight w:val="none"/>
          <w:u w:val="single"/>
        </w:rPr>
      </w:pPr>
      <w:r>
        <w:rPr>
          <w:rFonts w:hint="eastAsia" w:asciiTheme="minorEastAsia" w:hAnsiTheme="minorEastAsia" w:eastAsiaTheme="minorEastAsia" w:cstheme="minorEastAsia"/>
          <w:sz w:val="24"/>
          <w:szCs w:val="24"/>
          <w:highlight w:val="none"/>
        </w:rPr>
        <w:t>地点：</w:t>
      </w:r>
      <w:r>
        <w:rPr>
          <w:rFonts w:hint="eastAsia" w:asciiTheme="minorEastAsia" w:hAnsiTheme="minorEastAsia" w:eastAsiaTheme="minorEastAsia" w:cstheme="minorEastAsia"/>
          <w:sz w:val="24"/>
          <w:szCs w:val="24"/>
          <w:highlight w:val="none"/>
          <w:u w:val="single"/>
        </w:rPr>
        <w:t>桐城师范高等专科学校官网</w:t>
      </w:r>
    </w:p>
    <w:p w14:paraId="1DFE9CF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方式：</w:t>
      </w:r>
      <w:r>
        <w:rPr>
          <w:rFonts w:hint="eastAsia" w:ascii="宋体" w:hAnsi="宋体" w:eastAsia="宋体"/>
          <w:color w:val="auto"/>
          <w:sz w:val="24"/>
          <w:szCs w:val="18"/>
          <w:highlight w:val="none"/>
          <w:u w:val="single"/>
          <w:lang w:val="en-US" w:eastAsia="zh-CN"/>
        </w:rPr>
        <w:t>桐城师范高等专科学校官网和安庆市公共资源交易服务网“限额以下项目”自行下载</w:t>
      </w:r>
    </w:p>
    <w:p w14:paraId="25763F3E">
      <w:pPr>
        <w:spacing w:line="360" w:lineRule="auto"/>
        <w:ind w:firstLine="435"/>
        <w:outlineLvl w:val="1"/>
        <w:rPr>
          <w:rFonts w:ascii="宋体" w:hAnsi="宋体" w:eastAsia="宋体"/>
          <w:b/>
          <w:bCs/>
          <w:color w:val="auto"/>
          <w:sz w:val="24"/>
          <w:szCs w:val="18"/>
          <w:highlight w:val="none"/>
        </w:rPr>
      </w:pPr>
      <w:bookmarkStart w:id="14" w:name="_Toc19753"/>
      <w:bookmarkStart w:id="15" w:name="_Toc16674"/>
      <w:bookmarkStart w:id="16" w:name="_Toc346"/>
      <w:r>
        <w:rPr>
          <w:rFonts w:hint="eastAsia" w:ascii="宋体" w:hAnsi="宋体" w:eastAsia="宋体"/>
          <w:b/>
          <w:bCs/>
          <w:color w:val="auto"/>
          <w:sz w:val="24"/>
          <w:szCs w:val="18"/>
          <w:highlight w:val="none"/>
        </w:rPr>
        <w:t>四</w:t>
      </w:r>
      <w:r>
        <w:rPr>
          <w:rFonts w:hint="eastAsia" w:asciiTheme="minorEastAsia" w:hAnsiTheme="minorEastAsia" w:eastAsiaTheme="minorEastAsia"/>
          <w:b/>
          <w:color w:val="auto"/>
          <w:sz w:val="24"/>
          <w:highlight w:val="none"/>
        </w:rPr>
        <w:t>、</w:t>
      </w:r>
      <w:bookmarkEnd w:id="14"/>
      <w:r>
        <w:rPr>
          <w:rFonts w:hint="eastAsia" w:ascii="宋体" w:hAnsi="宋体" w:eastAsia="宋体"/>
          <w:b/>
          <w:bCs/>
          <w:color w:val="auto"/>
          <w:sz w:val="24"/>
          <w:highlight w:val="none"/>
        </w:rPr>
        <w:t>响应文件提交</w:t>
      </w:r>
      <w:bookmarkEnd w:id="15"/>
      <w:bookmarkEnd w:id="16"/>
    </w:p>
    <w:p w14:paraId="625C94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截止时间：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30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rPr>
        <w:t>分前</w:t>
      </w:r>
      <w:r>
        <w:rPr>
          <w:rFonts w:hint="eastAsia" w:asciiTheme="minorEastAsia" w:hAnsiTheme="minorEastAsia" w:eastAsiaTheme="minorEastAsia" w:cstheme="minorEastAsia"/>
          <w:bCs/>
          <w:sz w:val="24"/>
          <w:szCs w:val="24"/>
          <w:highlight w:val="none"/>
        </w:rPr>
        <w:t>（北京时间）</w:t>
      </w:r>
    </w:p>
    <w:p w14:paraId="5AC9A5E2">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stheme="minorEastAsia"/>
          <w:sz w:val="24"/>
          <w:szCs w:val="24"/>
          <w:highlight w:val="none"/>
        </w:rPr>
        <w:t>地点：</w:t>
      </w:r>
      <w:r>
        <w:rPr>
          <w:rFonts w:hint="eastAsia" w:ascii="宋体" w:hAnsi="宋体" w:eastAsia="宋体"/>
          <w:color w:val="auto"/>
          <w:sz w:val="24"/>
          <w:szCs w:val="18"/>
          <w:highlight w:val="none"/>
          <w:u w:val="single"/>
          <w:lang w:val="en-US" w:eastAsia="zh-CN"/>
        </w:rPr>
        <w:t>纸质响应文件提交至桐城市文昌街道徐庄安置点4期6幢114-115</w:t>
      </w:r>
    </w:p>
    <w:p w14:paraId="7DDE2D61">
      <w:pPr>
        <w:spacing w:line="360" w:lineRule="auto"/>
        <w:ind w:firstLine="435"/>
        <w:outlineLvl w:val="1"/>
        <w:rPr>
          <w:rFonts w:ascii="宋体" w:hAnsi="宋体" w:eastAsia="宋体"/>
          <w:b/>
          <w:bCs/>
          <w:color w:val="auto"/>
          <w:sz w:val="24"/>
          <w:szCs w:val="18"/>
          <w:highlight w:val="none"/>
        </w:rPr>
      </w:pPr>
      <w:bookmarkStart w:id="17" w:name="_Toc8953"/>
      <w:bookmarkStart w:id="18" w:name="_Toc10846"/>
      <w:bookmarkStart w:id="19" w:name="_Toc7959"/>
      <w:r>
        <w:rPr>
          <w:rFonts w:hint="eastAsia" w:ascii="宋体" w:hAnsi="宋体" w:eastAsia="宋体"/>
          <w:b/>
          <w:bCs/>
          <w:color w:val="auto"/>
          <w:sz w:val="24"/>
          <w:szCs w:val="18"/>
          <w:highlight w:val="none"/>
        </w:rPr>
        <w:t>五</w:t>
      </w:r>
      <w:r>
        <w:rPr>
          <w:rFonts w:hint="eastAsia" w:asciiTheme="minorEastAsia" w:hAnsiTheme="minorEastAsia" w:eastAsiaTheme="minorEastAsia"/>
          <w:b/>
          <w:color w:val="auto"/>
          <w:sz w:val="24"/>
          <w:highlight w:val="none"/>
        </w:rPr>
        <w:t>、</w:t>
      </w:r>
      <w:bookmarkEnd w:id="17"/>
      <w:r>
        <w:rPr>
          <w:rFonts w:hint="eastAsia" w:ascii="宋体" w:hAnsi="宋体" w:eastAsia="宋体"/>
          <w:b/>
          <w:bCs/>
          <w:color w:val="auto"/>
          <w:sz w:val="24"/>
          <w:highlight w:val="none"/>
        </w:rPr>
        <w:t>开启</w:t>
      </w:r>
      <w:bookmarkEnd w:id="18"/>
      <w:bookmarkEnd w:id="19"/>
    </w:p>
    <w:p w14:paraId="56F1EB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u w:val="none"/>
        </w:rPr>
        <w:t>时间：</w:t>
      </w:r>
      <w:r>
        <w:rPr>
          <w:rFonts w:hint="eastAsia" w:asciiTheme="minorEastAsia" w:hAnsiTheme="minorEastAsia" w:eastAsiaTheme="minorEastAsia" w:cstheme="minorEastAsia"/>
          <w:sz w:val="24"/>
          <w:szCs w:val="24"/>
          <w:highlight w:val="none"/>
          <w:u w:val="single"/>
        </w:rPr>
        <w:t>202</w:t>
      </w:r>
      <w:r>
        <w:rPr>
          <w:rFonts w:hint="eastAsia" w:asciiTheme="minorEastAsia" w:hAnsiTheme="minorEastAsia" w:eastAsiaTheme="minorEastAsia" w:cstheme="minorEastAsia"/>
          <w:sz w:val="24"/>
          <w:szCs w:val="24"/>
          <w:highlight w:val="none"/>
          <w:u w:val="singl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lang w:val="en-US" w:eastAsia="zh-CN"/>
        </w:rPr>
        <w:t xml:space="preserve"> 10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lang w:val="en-US" w:eastAsia="zh-CN"/>
        </w:rPr>
        <w:t xml:space="preserve"> 30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sz w:val="24"/>
          <w:szCs w:val="24"/>
          <w:highlight w:val="none"/>
          <w:u w:val="single"/>
          <w:lang w:val="en-US" w:eastAsia="zh-CN"/>
        </w:rPr>
        <w:t xml:space="preserve"> 09 </w:t>
      </w:r>
      <w:r>
        <w:rPr>
          <w:rFonts w:hint="eastAsia" w:asciiTheme="minorEastAsia" w:hAnsiTheme="minorEastAsia" w:eastAsiaTheme="minorEastAsia" w:cstheme="minorEastAsia"/>
          <w:sz w:val="24"/>
          <w:szCs w:val="24"/>
          <w:highlight w:val="none"/>
        </w:rPr>
        <w:t>时</w:t>
      </w:r>
      <w:r>
        <w:rPr>
          <w:rFonts w:hint="eastAsia" w:asciiTheme="minorEastAsia" w:hAnsiTheme="minorEastAsia" w:eastAsiaTheme="minorEastAsia" w:cstheme="minorEastAsia"/>
          <w:sz w:val="24"/>
          <w:szCs w:val="24"/>
          <w:highlight w:val="none"/>
          <w:u w:val="single"/>
          <w:lang w:val="en-US" w:eastAsia="zh-CN"/>
        </w:rPr>
        <w:t xml:space="preserve"> 0</w:t>
      </w:r>
      <w:r>
        <w:rPr>
          <w:rFonts w:hint="eastAsia" w:asciiTheme="minorEastAsia" w:hAnsiTheme="minorEastAsia" w:eastAsiaTheme="minorEastAsia" w:cstheme="minorEastAsia"/>
          <w:sz w:val="24"/>
          <w:szCs w:val="24"/>
          <w:highlight w:val="none"/>
          <w:u w:val="single"/>
        </w:rPr>
        <w:t>0</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rPr>
        <w:t>分</w:t>
      </w:r>
      <w:r>
        <w:rPr>
          <w:rFonts w:hint="eastAsia" w:asciiTheme="minorEastAsia" w:hAnsiTheme="minorEastAsia" w:eastAsiaTheme="minorEastAsia" w:cstheme="minorEastAsia"/>
          <w:bCs/>
          <w:sz w:val="24"/>
          <w:szCs w:val="24"/>
          <w:highlight w:val="none"/>
        </w:rPr>
        <w:t>（北京时间）</w:t>
      </w:r>
    </w:p>
    <w:p w14:paraId="5D701E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auto"/>
          <w:sz w:val="24"/>
          <w:szCs w:val="18"/>
          <w:highlight w:val="none"/>
          <w:u w:val="single"/>
        </w:rPr>
      </w:pPr>
      <w:r>
        <w:rPr>
          <w:rFonts w:hint="eastAsia" w:asciiTheme="minorEastAsia" w:hAnsiTheme="minorEastAsia" w:eastAsiaTheme="minorEastAsia" w:cstheme="minorEastAsia"/>
          <w:sz w:val="24"/>
          <w:szCs w:val="24"/>
          <w:highlight w:val="none"/>
        </w:rPr>
        <w:t>地点：</w:t>
      </w:r>
      <w:r>
        <w:rPr>
          <w:rFonts w:hint="eastAsia" w:asciiTheme="minorEastAsia" w:hAnsiTheme="minorEastAsia" w:eastAsiaTheme="minorEastAsia" w:cstheme="minorEastAsia"/>
          <w:sz w:val="24"/>
          <w:szCs w:val="24"/>
          <w:highlight w:val="none"/>
          <w:u w:val="single"/>
        </w:rPr>
        <w:t>桐城市文昌街道徐庄安置点4期6幢114-115</w:t>
      </w:r>
    </w:p>
    <w:p w14:paraId="20B1FAE1">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20" w:name="_Toc14575"/>
      <w:bookmarkStart w:id="21" w:name="_Toc16124"/>
      <w:bookmarkStart w:id="22" w:name="_Toc16203"/>
      <w:r>
        <w:rPr>
          <w:rFonts w:hint="eastAsia" w:ascii="宋体" w:hAnsi="宋体" w:eastAsia="宋体"/>
          <w:b/>
          <w:bCs/>
          <w:color w:val="auto"/>
          <w:sz w:val="24"/>
          <w:szCs w:val="18"/>
          <w:highlight w:val="none"/>
          <w:lang w:val="en-US" w:eastAsia="zh-CN"/>
        </w:rPr>
        <w:t>六</w:t>
      </w:r>
      <w:r>
        <w:rPr>
          <w:rFonts w:hint="eastAsia" w:ascii="宋体" w:hAnsi="宋体" w:eastAsia="宋体"/>
          <w:b/>
          <w:bCs/>
          <w:color w:val="auto"/>
          <w:sz w:val="24"/>
          <w:szCs w:val="18"/>
          <w:highlight w:val="none"/>
        </w:rPr>
        <w:t>、公告期限</w:t>
      </w:r>
      <w:bookmarkEnd w:id="20"/>
      <w:bookmarkEnd w:id="21"/>
    </w:p>
    <w:p w14:paraId="32F58A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自本公告发布之日起3个工作日。</w:t>
      </w:r>
    </w:p>
    <w:p w14:paraId="681463CF">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23" w:name="_Toc35393626"/>
      <w:bookmarkStart w:id="24" w:name="_Toc21264"/>
      <w:bookmarkStart w:id="25" w:name="_Toc16366"/>
      <w:bookmarkStart w:id="26" w:name="_Toc35393795"/>
      <w:r>
        <w:rPr>
          <w:rFonts w:hint="eastAsia" w:ascii="宋体" w:hAnsi="宋体" w:eastAsia="宋体"/>
          <w:b/>
          <w:bCs/>
          <w:color w:val="auto"/>
          <w:sz w:val="24"/>
          <w:szCs w:val="18"/>
          <w:highlight w:val="none"/>
          <w:lang w:val="en-US" w:eastAsia="zh-CN"/>
        </w:rPr>
        <w:t>七</w:t>
      </w:r>
      <w:r>
        <w:rPr>
          <w:rFonts w:hint="eastAsia" w:ascii="宋体" w:hAnsi="宋体" w:eastAsia="宋体"/>
          <w:b/>
          <w:bCs/>
          <w:color w:val="auto"/>
          <w:sz w:val="24"/>
          <w:szCs w:val="18"/>
          <w:highlight w:val="none"/>
        </w:rPr>
        <w:t>、其他补充事宜</w:t>
      </w:r>
      <w:bookmarkEnd w:id="23"/>
      <w:bookmarkEnd w:id="24"/>
      <w:bookmarkEnd w:id="25"/>
      <w:bookmarkEnd w:id="26"/>
    </w:p>
    <w:p w14:paraId="264F4CFD">
      <w:pPr>
        <w:spacing w:line="360" w:lineRule="auto"/>
        <w:ind w:firstLine="435"/>
        <w:outlineLvl w:val="1"/>
        <w:rPr>
          <w:rFonts w:hint="eastAsia" w:ascii="宋体" w:hAnsi="宋体" w:eastAsia="宋体"/>
          <w:b w:val="0"/>
          <w:bCs w:val="0"/>
          <w:color w:val="auto"/>
          <w:sz w:val="24"/>
          <w:szCs w:val="18"/>
          <w:highlight w:val="none"/>
          <w:lang w:val="en-US" w:eastAsia="zh-CN"/>
        </w:rPr>
      </w:pPr>
      <w:bookmarkStart w:id="27" w:name="_Toc7755"/>
      <w:bookmarkStart w:id="28" w:name="_Toc24122"/>
      <w:r>
        <w:rPr>
          <w:rFonts w:hint="eastAsia" w:ascii="宋体" w:hAnsi="宋体" w:eastAsia="宋体"/>
          <w:b w:val="0"/>
          <w:bCs w:val="0"/>
          <w:color w:val="auto"/>
          <w:sz w:val="24"/>
          <w:szCs w:val="1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61C7E2AF">
      <w:pPr>
        <w:spacing w:line="360" w:lineRule="auto"/>
        <w:ind w:firstLine="435"/>
        <w:outlineLvl w:val="1"/>
        <w:rPr>
          <w:rFonts w:hint="eastAsia" w:ascii="宋体" w:hAnsi="宋体" w:eastAsia="宋体"/>
          <w:b w:val="0"/>
          <w:bCs w:val="0"/>
          <w:color w:val="auto"/>
          <w:sz w:val="24"/>
          <w:szCs w:val="18"/>
          <w:highlight w:val="none"/>
          <w:lang w:val="en-US" w:eastAsia="zh-CN"/>
        </w:rPr>
      </w:pPr>
      <w:r>
        <w:rPr>
          <w:rFonts w:hint="eastAsia" w:ascii="宋体" w:hAnsi="宋体" w:eastAsia="宋体"/>
          <w:b w:val="0"/>
          <w:bCs w:val="0"/>
          <w:color w:val="auto"/>
          <w:sz w:val="24"/>
          <w:szCs w:val="18"/>
          <w:highlight w:val="none"/>
          <w:lang w:val="en-US" w:eastAsia="zh-CN"/>
        </w:rPr>
        <w:t>2.中标单位应按照中标通知书要求及时与采购人签订合同并完成备案，否则将记入不良行为记录，并予以披露。</w:t>
      </w:r>
    </w:p>
    <w:p w14:paraId="685F590A">
      <w:pPr>
        <w:spacing w:line="360" w:lineRule="auto"/>
        <w:ind w:firstLine="435"/>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lang w:val="en-US" w:eastAsia="zh-CN"/>
        </w:rPr>
        <w:t>八</w:t>
      </w:r>
      <w:r>
        <w:rPr>
          <w:rFonts w:hint="eastAsia" w:asciiTheme="minorEastAsia" w:hAnsiTheme="minorEastAsia" w:eastAsiaTheme="minorEastAsia"/>
          <w:b/>
          <w:color w:val="auto"/>
          <w:sz w:val="24"/>
          <w:highlight w:val="none"/>
        </w:rPr>
        <w:t>、</w:t>
      </w:r>
      <w:bookmarkEnd w:id="22"/>
      <w:r>
        <w:rPr>
          <w:rFonts w:hint="eastAsia" w:ascii="宋体" w:hAnsi="宋体" w:eastAsia="宋体"/>
          <w:b/>
          <w:bCs/>
          <w:color w:val="auto"/>
          <w:sz w:val="24"/>
          <w:szCs w:val="18"/>
          <w:highlight w:val="none"/>
        </w:rPr>
        <w:t>凡对本次采购提出询问，请按以下方式联系</w:t>
      </w:r>
      <w:bookmarkEnd w:id="27"/>
      <w:bookmarkEnd w:id="28"/>
    </w:p>
    <w:p w14:paraId="1060BC18">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1.采购人信息</w:t>
      </w:r>
    </w:p>
    <w:p w14:paraId="58CB20EC">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名称：桐城师范高等专科学校</w:t>
      </w:r>
    </w:p>
    <w:p w14:paraId="2B14A2B5">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地址：安徽省桐城市经开区学苑路199号</w:t>
      </w:r>
    </w:p>
    <w:p w14:paraId="7A1499A1">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w:t>
      </w:r>
      <w:r>
        <w:rPr>
          <w:rFonts w:hint="eastAsia" w:ascii="宋体" w:hAnsi="宋体"/>
          <w:color w:val="auto"/>
          <w:sz w:val="24"/>
          <w:szCs w:val="18"/>
          <w:highlight w:val="none"/>
          <w:lang w:val="en-US" w:eastAsia="zh-CN"/>
        </w:rPr>
        <w:t>汪</w:t>
      </w:r>
      <w:r>
        <w:rPr>
          <w:rFonts w:hint="eastAsia" w:ascii="宋体" w:hAnsi="宋体" w:eastAsia="宋体"/>
          <w:color w:val="auto"/>
          <w:sz w:val="24"/>
          <w:szCs w:val="18"/>
          <w:highlight w:val="none"/>
          <w:lang w:val="en-US" w:eastAsia="zh-CN"/>
        </w:rPr>
        <w:t>老师          联系方式：</w:t>
      </w:r>
      <w:r>
        <w:rPr>
          <w:rFonts w:hint="eastAsia" w:ascii="宋体" w:hAnsi="宋体"/>
          <w:color w:val="auto"/>
          <w:sz w:val="24"/>
          <w:szCs w:val="18"/>
          <w:highlight w:val="none"/>
          <w:lang w:val="en-US" w:eastAsia="zh-CN"/>
        </w:rPr>
        <w:t>13865191682</w:t>
      </w:r>
    </w:p>
    <w:p w14:paraId="7577A762">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2.采购代理机构信息</w:t>
      </w:r>
    </w:p>
    <w:p w14:paraId="2275BE02">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名称：宏骏工程管理有限公司</w:t>
      </w:r>
    </w:p>
    <w:p w14:paraId="2ADF2CD4">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地址：桐城市文昌街道徐庄安置点4期6幢114-115</w:t>
      </w:r>
    </w:p>
    <w:p w14:paraId="34E18E88">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联系人：齐女士           联系电话：13855669358</w:t>
      </w:r>
    </w:p>
    <w:p w14:paraId="00ED2FFC">
      <w:pPr>
        <w:spacing w:line="360" w:lineRule="auto"/>
        <w:ind w:firstLine="435"/>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29" w:name="_Toc11266"/>
      <w:bookmarkStart w:id="30" w:name="_Toc26069"/>
      <w:bookmarkStart w:id="31" w:name="_Toc54941329"/>
      <w:bookmarkStart w:id="32" w:name="_Toc2521"/>
      <w:bookmarkStart w:id="33" w:name="_Toc439316872"/>
      <w:bookmarkStart w:id="34" w:name="_Toc54941331"/>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bookmarkEnd w:id="29"/>
      <w:bookmarkEnd w:id="30"/>
      <w:bookmarkEnd w:id="31"/>
      <w:r>
        <w:rPr>
          <w:rFonts w:hint="eastAsia" w:ascii="Arial" w:hAnsi="Arial"/>
          <w:color w:val="auto"/>
          <w:kern w:val="2"/>
          <w:sz w:val="32"/>
          <w:szCs w:val="32"/>
          <w:highlight w:val="none"/>
        </w:rPr>
        <w:t>供应商</w:t>
      </w:r>
      <w:r>
        <w:rPr>
          <w:rFonts w:ascii="Arial" w:hAnsi="Arial"/>
          <w:color w:val="auto"/>
          <w:kern w:val="2"/>
          <w:sz w:val="32"/>
          <w:szCs w:val="32"/>
          <w:highlight w:val="none"/>
        </w:rPr>
        <w:t>须知</w:t>
      </w:r>
    </w:p>
    <w:p w14:paraId="62BB8DF9">
      <w:pPr>
        <w:pStyle w:val="4"/>
        <w:rPr>
          <w:rFonts w:hint="eastAsia" w:eastAsia="宋体" w:cs="Tahoma"/>
          <w:bCs/>
          <w:color w:val="auto"/>
          <w:kern w:val="0"/>
          <w:sz w:val="28"/>
          <w:szCs w:val="28"/>
          <w:highlight w:val="none"/>
          <w:lang w:eastAsia="zh-CN"/>
        </w:rPr>
      </w:pPr>
      <w:bookmarkStart w:id="35" w:name="_Toc439316871"/>
      <w:bookmarkStart w:id="36" w:name="_Toc54941330"/>
      <w:bookmarkStart w:id="37" w:name="_Toc17862"/>
      <w:r>
        <w:rPr>
          <w:rFonts w:hint="eastAsia" w:cs="Tahoma"/>
          <w:bCs/>
          <w:color w:val="auto"/>
          <w:kern w:val="0"/>
          <w:sz w:val="28"/>
          <w:szCs w:val="28"/>
          <w:highlight w:val="none"/>
        </w:rPr>
        <w:t>一</w:t>
      </w:r>
      <w:bookmarkEnd w:id="35"/>
      <w:bookmarkEnd w:id="36"/>
      <w:bookmarkEnd w:id="37"/>
      <w:r>
        <w:rPr>
          <w:rFonts w:hint="eastAsia" w:cs="Tahoma"/>
          <w:bCs/>
          <w:color w:val="auto"/>
          <w:kern w:val="0"/>
          <w:sz w:val="28"/>
          <w:szCs w:val="28"/>
          <w:highlight w:val="none"/>
          <w:lang w:eastAsia="zh-CN"/>
        </w:rPr>
        <w:t>、</w:t>
      </w:r>
      <w:r>
        <w:rPr>
          <w:rFonts w:hint="eastAsia" w:cs="Tahoma"/>
          <w:bCs/>
          <w:color w:val="auto"/>
          <w:kern w:val="0"/>
          <w:sz w:val="28"/>
          <w:szCs w:val="28"/>
          <w:highlight w:val="none"/>
        </w:rPr>
        <w:t>供应商</w:t>
      </w:r>
      <w:r>
        <w:rPr>
          <w:rFonts w:cs="Tahoma"/>
          <w:bCs/>
          <w:color w:val="auto"/>
          <w:kern w:val="0"/>
          <w:sz w:val="28"/>
          <w:szCs w:val="28"/>
          <w:highlight w:val="none"/>
        </w:rPr>
        <w:t>须知前附表</w:t>
      </w:r>
    </w:p>
    <w:tbl>
      <w:tblPr>
        <w:tblStyle w:val="40"/>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宏骏工程管理有限公司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详见竞争性磋商公告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无</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p w14:paraId="02432B6D">
            <w:pPr>
              <w:pStyle w:val="2"/>
              <w:rPr>
                <w:rFonts w:hint="eastAsia"/>
                <w:lang w:val="en-US" w:eastAsia="zh-CN"/>
              </w:rPr>
            </w:pPr>
            <w:r>
              <w:rPr>
                <w:rFonts w:hint="eastAsia"/>
                <w:lang w:val="en-US" w:eastAsia="zh-CN"/>
              </w:rPr>
              <w:t>2026年 10 月 30 日 09 时 00 分前（北京时间），此时间以前不得开封。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详见竞争性磋商公告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详见竞争性磋商公告（同响应文件提交截止时间）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综合评分法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磋商小组推荐成交候选供应商的数量：1家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确定成交供应商：采购人委托磋商小组确定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0556-6181009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val="en-US" w:eastAsia="zh-CN"/>
              </w:rPr>
              <w:t>磋商</w:t>
            </w:r>
            <w:r>
              <w:rPr>
                <w:rFonts w:hint="eastAsia" w:asciiTheme="minorEastAsia" w:hAnsiTheme="minorEastAsia" w:eastAsiaTheme="minorEastAsia" w:cstheme="minorEastAsia"/>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w:t>
            </w:r>
            <w:r>
              <w:rPr>
                <w:rFonts w:hint="eastAsia" w:asciiTheme="minorEastAsia" w:hAnsiTheme="minorEastAsia" w:eastAsiaTheme="minorEastAsia" w:cstheme="minorEastAsia"/>
                <w:lang w:eastAsia="zh-CN"/>
              </w:rPr>
              <w:t>。</w:t>
            </w:r>
          </w:p>
        </w:tc>
      </w:tr>
    </w:tbl>
    <w:p w14:paraId="4C8DA0C0">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BE0184C">
      <w:pPr>
        <w:rPr>
          <w:rFonts w:hint="eastAsia" w:cs="Tahoma"/>
          <w:bCs/>
          <w:color w:val="auto"/>
          <w:kern w:val="0"/>
          <w:sz w:val="32"/>
          <w:szCs w:val="32"/>
          <w:highlight w:val="none"/>
          <w:lang w:val="en-US" w:eastAsia="zh-CN"/>
        </w:rPr>
      </w:pPr>
    </w:p>
    <w:p w14:paraId="08ABD3A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31ED34D9">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r>
        <w:rPr>
          <w:rFonts w:hint="eastAsia" w:cs="Tahoma"/>
          <w:bCs/>
          <w:color w:val="auto"/>
          <w:kern w:val="0"/>
          <w:sz w:val="32"/>
          <w:szCs w:val="32"/>
          <w:highlight w:val="none"/>
          <w:lang w:val="en-US" w:eastAsia="zh-CN"/>
        </w:rPr>
        <w:t xml:space="preserve">                                                                                                 </w:t>
      </w:r>
    </w:p>
    <w:p w14:paraId="04F19C8D">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658365D1">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4617D84F">
      <w:pPr>
        <w:pStyle w:val="4"/>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5031C8D0">
      <w:pPr>
        <w:rPr>
          <w:rFonts w:hint="eastAsia" w:cs="Tahoma"/>
          <w:bCs/>
          <w:color w:val="auto"/>
          <w:kern w:val="0"/>
          <w:sz w:val="32"/>
          <w:szCs w:val="32"/>
          <w:highlight w:val="none"/>
          <w:lang w:val="en-US" w:eastAsia="zh-CN"/>
        </w:rPr>
      </w:pPr>
    </w:p>
    <w:p w14:paraId="20327E56">
      <w:pPr>
        <w:rPr>
          <w:rFonts w:hint="eastAsia" w:cs="Tahoma"/>
          <w:bCs/>
          <w:color w:val="auto"/>
          <w:kern w:val="0"/>
          <w:sz w:val="32"/>
          <w:szCs w:val="32"/>
          <w:highlight w:val="none"/>
          <w:lang w:val="en-US" w:eastAsia="zh-CN"/>
        </w:rPr>
      </w:pPr>
    </w:p>
    <w:p w14:paraId="49153585">
      <w:pPr>
        <w:pStyle w:val="14"/>
        <w:rPr>
          <w:rFonts w:hint="eastAsia" w:cs="Tahoma"/>
          <w:bCs/>
          <w:color w:val="auto"/>
          <w:kern w:val="0"/>
          <w:sz w:val="32"/>
          <w:szCs w:val="32"/>
          <w:highlight w:val="none"/>
          <w:lang w:val="en-US" w:eastAsia="zh-CN"/>
        </w:rPr>
      </w:pPr>
    </w:p>
    <w:p w14:paraId="2136D265">
      <w:pPr>
        <w:pStyle w:val="14"/>
        <w:rPr>
          <w:rFonts w:hint="eastAsia" w:cs="Tahoma"/>
          <w:bCs/>
          <w:color w:val="auto"/>
          <w:kern w:val="0"/>
          <w:sz w:val="32"/>
          <w:szCs w:val="32"/>
          <w:highlight w:val="none"/>
          <w:lang w:val="en-US" w:eastAsia="zh-CN"/>
        </w:rPr>
      </w:pPr>
    </w:p>
    <w:bookmarkEnd w:id="32"/>
    <w:bookmarkEnd w:id="33"/>
    <w:bookmarkEnd w:id="34"/>
    <w:p w14:paraId="1B0B2A3E">
      <w:pPr>
        <w:pStyle w:val="3"/>
        <w:tabs>
          <w:tab w:val="left" w:pos="1440"/>
          <w:tab w:val="left" w:pos="5670"/>
        </w:tabs>
        <w:spacing w:before="62" w:beforeLines="20" w:after="62" w:afterLines="20" w:line="480" w:lineRule="exact"/>
        <w:ind w:firstLine="0" w:firstLineChars="0"/>
        <w:jc w:val="center"/>
        <w:rPr>
          <w:rFonts w:hint="eastAsia" w:ascii="宋体" w:hAnsi="宋体" w:eastAsia="宋体" w:cs="宋体"/>
          <w:b/>
          <w:bCs/>
          <w:color w:val="auto"/>
          <w:kern w:val="2"/>
          <w:sz w:val="30"/>
          <w:szCs w:val="30"/>
          <w:highlight w:val="none"/>
          <w:lang w:val="en-US" w:eastAsia="zh-CN"/>
        </w:rPr>
      </w:pPr>
      <w:bookmarkStart w:id="38" w:name="_Toc12353"/>
      <w:r>
        <w:rPr>
          <w:rFonts w:hint="eastAsia" w:ascii="宋体" w:hAnsi="宋体" w:eastAsia="宋体" w:cs="宋体"/>
          <w:b/>
          <w:bCs/>
          <w:color w:val="auto"/>
          <w:kern w:val="2"/>
          <w:sz w:val="30"/>
          <w:szCs w:val="30"/>
          <w:highlight w:val="none"/>
          <w:lang w:val="zh-CN"/>
        </w:rPr>
        <w:t>二、</w:t>
      </w:r>
      <w:r>
        <w:rPr>
          <w:rFonts w:hint="eastAsia" w:ascii="宋体" w:hAnsi="宋体" w:eastAsia="宋体" w:cs="宋体"/>
          <w:b/>
          <w:bCs/>
          <w:color w:val="auto"/>
          <w:kern w:val="2"/>
          <w:sz w:val="30"/>
          <w:szCs w:val="30"/>
          <w:highlight w:val="none"/>
          <w:lang w:val="en-US" w:eastAsia="zh-CN"/>
        </w:rPr>
        <w:t>供应商</w:t>
      </w:r>
      <w:r>
        <w:rPr>
          <w:rFonts w:hint="eastAsia" w:ascii="宋体" w:hAnsi="宋体" w:eastAsia="宋体" w:cs="宋体"/>
          <w:b/>
          <w:bCs/>
          <w:color w:val="auto"/>
          <w:kern w:val="2"/>
          <w:sz w:val="30"/>
          <w:szCs w:val="30"/>
          <w:highlight w:val="none"/>
          <w:lang w:val="zh-CN"/>
        </w:rPr>
        <w:t>须知</w:t>
      </w:r>
      <w:r>
        <w:rPr>
          <w:rFonts w:hint="eastAsia" w:ascii="宋体" w:hAnsi="宋体" w:eastAsia="宋体" w:cs="宋体"/>
          <w:b/>
          <w:bCs/>
          <w:color w:val="auto"/>
          <w:kern w:val="2"/>
          <w:sz w:val="30"/>
          <w:szCs w:val="30"/>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39" w:name="_Toc7325"/>
      <w:bookmarkStart w:id="40" w:name="_Toc10523"/>
      <w:bookmarkStart w:id="41" w:name="_Toc25270"/>
      <w:bookmarkStart w:id="42" w:name="_Toc439316873"/>
      <w:bookmarkStart w:id="43" w:name="_Toc15055"/>
      <w:bookmarkStart w:id="44" w:name="_Toc21078"/>
      <w:bookmarkStart w:id="45" w:name="_Toc439316919"/>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6"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1.4.2以采购代理机构认可的方式获得了本项目的磋商文件。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6"/>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本项目的采购人已获得足以支付本次磋商后所签订的合同项下的资金。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3.磋商费用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不论磋商的结果如何，供应商应承担其所有与准备和参加磋商有关的费用。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5.磋商文件构成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5.1磋商文件包括下列内容：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第一章  磋商邀请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0EF941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58110B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6.磋商文件的澄清与修改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6.1供应商如对磋商文件内容有疑问，必须在供应商须知前附表规定的网上询问截止时间前以书面提问形式提交给采购代理机构。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磋商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6.4对于没有提出询问又参与了本项目磋商的供应商将被视为完全认同本磋商文件（含更正公告的内容）。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7.磋商范围及响应文件中标准和计量单位的使用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w:t>
      </w:r>
      <w:r>
        <w:rPr>
          <w:rFonts w:hint="eastAsia" w:ascii="宋体" w:hAnsi="宋体" w:cs="Times New Roman"/>
          <w:color w:val="auto"/>
          <w:sz w:val="24"/>
          <w:highlight w:val="none"/>
          <w:lang w:val="en-US" w:eastAsia="zh-CN"/>
        </w:rPr>
        <w:t>本</w:t>
      </w:r>
      <w:r>
        <w:rPr>
          <w:rFonts w:hint="eastAsia" w:ascii="宋体" w:hAnsi="宋体" w:eastAsia="宋体" w:cs="Times New Roman"/>
          <w:color w:val="auto"/>
          <w:sz w:val="24"/>
          <w:highlight w:val="none"/>
          <w:lang w:val="en-US" w:eastAsia="zh-CN"/>
        </w:rPr>
        <w:t>项目</w:t>
      </w:r>
      <w:r>
        <w:rPr>
          <w:rFonts w:hint="eastAsia" w:ascii="宋体" w:hAnsi="宋体" w:cs="Times New Roman"/>
          <w:color w:val="auto"/>
          <w:sz w:val="24"/>
          <w:highlight w:val="none"/>
          <w:lang w:val="en-US" w:eastAsia="zh-CN"/>
        </w:rPr>
        <w:t>无</w:t>
      </w:r>
      <w:r>
        <w:rPr>
          <w:rFonts w:hint="eastAsia" w:ascii="宋体" w:hAnsi="宋体" w:eastAsia="宋体" w:cs="Times New Roman"/>
          <w:color w:val="auto"/>
          <w:sz w:val="24"/>
          <w:highlight w:val="none"/>
          <w:lang w:val="en-US" w:eastAsia="zh-CN"/>
        </w:rPr>
        <w:t>分包。</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7.2供应商应当对所投分包磋商文件中“采购需求”所列的所有内容进行响应，如仅响应所投包别中的部分内容，其所投包别的响应将被认定为响应无效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7.3无论磋商文件中是否要求，供应商所投货物及伴随的服务和工程均应符合国家强制性标准。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磋商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7.5除磋商文件中有特殊要求外，响应文件中所使用的计量单位，应采用中华人民共和国法定计量单位。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8.1供应商应完整地按磋商文件提供的响应文件格式及要求编写响应文件，具体内容详见本项目响应文件格式的相关内容。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8.2供应商应提交磋商文件要求的证明文件，证明其响应内容符合磋商文件规定。该证明文件是响应文件的一部分。证明文件形式可以是文字资料、图纸和数据</w:t>
      </w:r>
      <w:bookmarkStart w:id="47" w:name="_Hlk11703583"/>
      <w:r>
        <w:rPr>
          <w:rFonts w:hint="eastAsia" w:ascii="宋体" w:hAnsi="宋体" w:eastAsia="宋体" w:cs="Times New Roman"/>
          <w:color w:val="auto"/>
          <w:sz w:val="24"/>
          <w:highlight w:val="none"/>
          <w:lang w:val="en-US" w:eastAsia="zh-CN"/>
        </w:rPr>
        <w:t>。</w:t>
      </w:r>
    </w:p>
    <w:bookmarkEnd w:id="47"/>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8.3为保证公平公正，除非另有规定或说明，供应商对同一项目磋商时，不得同时提供备选磋商方案。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052D033">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除磋商文件另有规定外，</w:t>
      </w:r>
      <w:r>
        <w:rPr>
          <w:rFonts w:hint="eastAsia" w:asciiTheme="minorEastAsia" w:hAnsiTheme="minorEastAsia" w:eastAsiaTheme="minorEastAsia"/>
          <w:color w:val="auto"/>
          <w:sz w:val="24"/>
          <w:highlight w:val="none"/>
        </w:rPr>
        <w:t>所有内容均应以人民币报价，供应商的</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报价应遵守《中华人民共和国价格法》。</w:t>
      </w:r>
    </w:p>
    <w:p w14:paraId="79B8B909">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.2除非</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文件另有规定或经采购人同意支付的，最后报价均不得高于</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AC3ED12">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lang w:eastAsia="zh-CN"/>
        </w:rPr>
        <w:t>磋商</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78F76B04">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10.磋商保证金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10.1本项目不收取磋商保证金。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11.磋商有效期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11.1磋商有效期为从响应文件提交截止之日算起的日历天数，磋商有效期详见</w:t>
      </w:r>
      <w:r>
        <w:rPr>
          <w:rFonts w:hint="eastAsia" w:ascii="宋体" w:hAnsi="宋体" w:eastAsia="宋体" w:cs="Times New Roman"/>
          <w:color w:val="auto"/>
          <w:sz w:val="24"/>
          <w:highlight w:val="none"/>
          <w:u w:val="single"/>
          <w:lang w:val="en-US" w:eastAsia="zh-CN"/>
        </w:rPr>
        <w:t>供应商须知前附表</w:t>
      </w:r>
      <w:r>
        <w:rPr>
          <w:rFonts w:hint="eastAsia" w:ascii="宋体" w:hAnsi="宋体" w:eastAsia="宋体" w:cs="Times New Roman"/>
          <w:color w:val="auto"/>
          <w:sz w:val="24"/>
          <w:highlight w:val="none"/>
          <w:lang w:val="en-US" w:eastAsia="zh-CN"/>
        </w:rPr>
        <w:t>。</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11.2在磋商有效期内，供应商的磋商保持有效，供应商不得要求撤销或修改其响应文件。磋商有效期不满足要求的响应，其响应文件将被认定为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12.1供应商应当在竞争性磋商公告规定的响应文件提交截止时间前，将密封完好的响应文件递交，逾期递交的响应文件将不予受理。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13.磋商小组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13.1本项目将依法组建磋商小组，磋商小组成员由3人以上（含）单数组成，磋商小组及其成员应当依照政府采购的有关规定履行相关职责和义务。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13.2磋商小组依法对响应文件进行评审，并根据磋商文件规定的程序、评定成交的标准等事项与实质性响应磋商文件要求的供应商进行磋商。</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13.3磋商小组应当从质量和服务均能满足磋商文件实质性响应要求的供应商中，按照评审办法和标准推荐成交候选人，并编写评审报告。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14.响应文件的评审与磋商</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14.1采购人和采购代理机构将在竞争性磋商公告规定的时间和地点组织磋商。</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14.2竞争性磋商采用</w:t>
      </w:r>
      <w:r>
        <w:rPr>
          <w:rFonts w:hint="eastAsia" w:ascii="宋体" w:hAnsi="宋体" w:cs="Times New Roman"/>
          <w:color w:val="auto"/>
          <w:sz w:val="24"/>
          <w:highlight w:val="none"/>
          <w:lang w:val="en-US" w:eastAsia="zh-CN"/>
        </w:rPr>
        <w:t>综合评分法</w:t>
      </w:r>
      <w:r>
        <w:rPr>
          <w:rFonts w:hint="eastAsia" w:ascii="宋体" w:hAnsi="宋体" w:eastAsia="宋体" w:cs="Times New Roman"/>
          <w:color w:val="auto"/>
          <w:sz w:val="24"/>
          <w:highlight w:val="none"/>
          <w:lang w:val="en-US" w:eastAsia="zh-CN"/>
        </w:rPr>
        <w:t>评审。</w:t>
      </w:r>
    </w:p>
    <w:p w14:paraId="5B071FF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综合评分法，是指响应文件满足磋商文件全部实质性要求且按评审因素的量化指标评审得分最高的供应商为成交候选供应商的评审方法。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14.3磋商小组将按照磋商文件规定的评审方法和标准对供应商独立进行评审。评审程序如下：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。磋商小组对供应商必须满足和实质性响应的内容进行评审，供应商未实质性响应磋商文件要求导致响应无效的，磋商小组将以书面询标的方式告知有关供应商。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eastAsia="宋体" w:cs="Times New Roman"/>
          <w:b/>
          <w:bCs/>
          <w:color w:val="auto"/>
          <w:sz w:val="24"/>
          <w:highlight w:val="none"/>
          <w:lang w:val="en-US" w:eastAsia="zh-CN"/>
        </w:rPr>
        <w:t>磋商</w:t>
      </w:r>
      <w:r>
        <w:rPr>
          <w:rFonts w:hint="eastAsia" w:ascii="宋体" w:hAnsi="宋体" w:eastAsia="宋体" w:cs="Times New Roman"/>
          <w:color w:val="auto"/>
          <w:sz w:val="24"/>
          <w:highlight w:val="none"/>
          <w:lang w:val="en-US" w:eastAsia="zh-CN"/>
        </w:rPr>
        <w:t>。初审合格后，磋商小组将与单一供应商分别进行磋商，并给予所有参加磋商的供应商平等的磋商机会。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。磋商结束后，磋商小组应当要求所有继续参加磋商的供应商在规定时间内提交最后报价。如供应商未在规定时间内（30分钟内）提交最后报价，则视为供应商自愿退出磋商。</w:t>
      </w:r>
    </w:p>
    <w:p w14:paraId="26C9810D">
      <w:pPr>
        <w:spacing w:line="360" w:lineRule="auto"/>
        <w:ind w:firstLine="240" w:firstLineChars="100"/>
        <w:rPr>
          <w:rFonts w:hint="eastAsia" w:ascii="宋体" w:hAnsi="宋体" w:eastAsia="宋体" w:cs="Times New Roman"/>
          <w:b/>
          <w:bCs/>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异常低价响应审查。根据《关于推进解决政府采购异常低价问题的通知》（财库〔2026〕2号），磋商小组进行异常低价响应审查。</w:t>
      </w:r>
    </w:p>
    <w:p w14:paraId="182F2BA5">
      <w:pPr>
        <w:spacing w:line="360" w:lineRule="auto"/>
        <w:ind w:firstLine="241" w:firstLineChars="100"/>
        <w:rPr>
          <w:rFonts w:hint="default"/>
          <w:lang w:val="en-US" w:eastAsia="zh-CN"/>
        </w:rPr>
      </w:pPr>
      <w:r>
        <w:rPr>
          <w:rFonts w:hint="default" w:ascii="宋体" w:hAnsi="宋体" w:eastAsia="宋体" w:cs="Times New Roman"/>
          <w:b/>
          <w:bCs/>
          <w:color w:val="auto"/>
          <w:sz w:val="24"/>
          <w:highlight w:val="none"/>
          <w:lang w:val="en-US" w:eastAsia="zh-CN"/>
        </w:rPr>
        <w:t>14.3.5综合评分</w:t>
      </w:r>
      <w:r>
        <w:rPr>
          <w:rFonts w:hint="default" w:ascii="宋体" w:hAnsi="宋体" w:eastAsia="宋体" w:cs="Times New Roman"/>
          <w:color w:val="auto"/>
          <w:sz w:val="24"/>
          <w:highlight w:val="none"/>
          <w:lang w:val="en-US" w:eastAsia="zh-CN"/>
        </w:rPr>
        <w:t>。磋商小组只对通过初审、异常低价响应审查，实质上响应磋商文件要求的响应文件进行综合评分。经磋商确定最终采购需求和提交最后报价的供应商后，由磋商小组采用综合评分法对提交最后报价的供应商的响应文件和最后报价进行综合评分。</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14.4.1为保证磋商活动顺利进行，供应商可派相关技术人员进行现场答疑。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14.4.3无论何种原因，即使供应商磋商时携带了证书材料的原件，但响应文件中未提供与之内容完全一致的扫描件的，磋商小组可以视同其未提供。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14.4.4磋商小组决定响应文件的响应性及符合性只根据响应文件本身的内容，而不寻求其他外部证据。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14.5供应商授权代表对磋商过程有疑义，以及认为采购人、采购代理机构相关工作人员有需要回避的情形的，应当场提出询问或者回避申请，并说明理由。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15.终止竞争性磋商</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15.1出现下列情况之一时，采购人和采购代理机构有权宣布终止竞争性磋商采购，并将理由通知所有供应商：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（1）有效供应商数量不足，导致本次磋商缺乏竞争的；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16.2磋商小组要求供应商澄清、说明或者更正响应文件应当以书面形式（询标）作出。供应商的澄清、说明或者更正应当由法定代表人或其授权代表签字或者加盖公章。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如有询标，授权代表（或法定代表人）现场接受询标。因授权代表联系不上、没有莅临现场等情形而无法接受磋商小组询标的，供应商自行承担相关风险。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17.1磋商并不限定只进行二轮报价，如果磋商小组认为有必要，可以要求供应商进行多轮报价。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17.2在磋商内容不做实质性变更或重大调整的前提下，供应商下轮报价不得高于上一轮报价。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w:t>
      </w:r>
      <w:r>
        <w:rPr>
          <w:rFonts w:hint="eastAsia" w:asciiTheme="minorEastAsia" w:hAnsiTheme="minorEastAsia" w:eastAsiaTheme="minorEastAsia"/>
          <w:color w:val="auto"/>
          <w:sz w:val="24"/>
          <w:highlight w:val="none"/>
        </w:rPr>
        <w:t>磋商小组</w:t>
      </w:r>
      <w:r>
        <w:rPr>
          <w:rFonts w:asciiTheme="minorEastAsia" w:hAnsiTheme="minorEastAsia" w:eastAsiaTheme="minorEastAsia"/>
          <w:color w:val="auto"/>
          <w:sz w:val="24"/>
          <w:highlight w:val="none"/>
        </w:rPr>
        <w:t>依据本项目</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文件所约定的</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方法</w:t>
      </w:r>
      <w:r>
        <w:rPr>
          <w:rFonts w:hint="eastAsia" w:asciiTheme="minorEastAsia" w:hAnsiTheme="minorEastAsia" w:eastAsiaTheme="minorEastAsia"/>
          <w:color w:val="auto"/>
          <w:sz w:val="24"/>
          <w:highlight w:val="none"/>
        </w:rPr>
        <w:t>和标准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r>
        <w:rPr>
          <w:rFonts w:hint="eastAsia" w:asciiTheme="minorEastAsia" w:hAnsiTheme="minorEastAsia" w:eastAsiaTheme="minorEastAsia"/>
          <w:color w:val="auto"/>
          <w:sz w:val="24"/>
          <w:highlight w:val="none"/>
          <w:lang w:val="en-US" w:eastAsia="zh-CN"/>
        </w:rPr>
        <w:t>以上均相同时，则采取磋商小组随机抽取的方式确定成交候选供应商顺序。</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w:t>
      </w:r>
      <w:r>
        <w:rPr>
          <w:rFonts w:hint="eastAsia" w:ascii="宋体" w:hAnsi="宋体" w:eastAsia="宋体"/>
          <w:color w:val="auto"/>
          <w:sz w:val="24"/>
          <w:highlight w:val="none"/>
        </w:rPr>
        <w:t>磋商小组根据综合评分的结果和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ascii="宋体" w:hAnsi="宋体" w:eastAsia="宋体"/>
          <w:color w:val="auto"/>
          <w:sz w:val="24"/>
          <w:highlight w:val="none"/>
        </w:rPr>
        <w:t>确定成交候选供应商，并标明排列顺序。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lang w:val="en-US" w:eastAsia="zh-CN"/>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lang w:val="en-US" w:eastAsia="zh-CN"/>
        </w:rPr>
        <w:t>磋商小组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lang w:val="en-US" w:eastAsia="zh-CN"/>
        </w:rPr>
        <w:t>成交供应商</w:t>
      </w:r>
      <w:r>
        <w:rPr>
          <w:rFonts w:asciiTheme="minorEastAsia" w:hAnsiTheme="minorEastAsia" w:eastAsiaTheme="minorEastAsia"/>
          <w:color w:val="auto"/>
          <w:sz w:val="24"/>
          <w:highlight w:val="none"/>
        </w:rPr>
        <w:t>。</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22.1为体现“公开、公平、公正”的原则，磋商结束后，采购代理机构将在桐城师范高等专科学校官网</w:t>
      </w:r>
      <w:r>
        <w:rPr>
          <w:rFonts w:hint="eastAsia" w:asciiTheme="minorEastAsia" w:hAnsiTheme="minorEastAsia" w:eastAsiaTheme="minorEastAsia" w:cstheme="minorEastAsia"/>
          <w:sz w:val="24"/>
          <w:szCs w:val="22"/>
          <w:lang w:val="en-US" w:eastAsia="zh-CN"/>
        </w:rPr>
        <w:t>tctc.edu.cn</w:t>
      </w:r>
      <w:r>
        <w:rPr>
          <w:rFonts w:hint="eastAsia" w:ascii="宋体" w:hAnsi="宋体" w:eastAsia="宋体" w:cs="Times New Roman"/>
          <w:color w:val="auto"/>
          <w:sz w:val="24"/>
          <w:highlight w:val="none"/>
          <w:lang w:val="en-US" w:eastAsia="zh-CN"/>
        </w:rPr>
        <w:t>和安庆市公共资源交易服务网</w:t>
      </w:r>
      <w:r>
        <w:rPr>
          <w:rFonts w:hint="eastAsia" w:asciiTheme="minorEastAsia" w:hAnsiTheme="minorEastAsia" w:eastAsiaTheme="minorEastAsia" w:cstheme="minorEastAsia"/>
          <w:sz w:val="24"/>
          <w:szCs w:val="22"/>
          <w:lang w:val="en-US" w:eastAsia="zh-CN"/>
        </w:rPr>
        <w:t>https://aqggzy.anqing.gov.cn/</w:t>
      </w:r>
      <w:r>
        <w:rPr>
          <w:rFonts w:hint="eastAsia" w:ascii="宋体" w:hAnsi="宋体" w:eastAsia="宋体" w:cs="Times New Roman"/>
          <w:color w:val="auto"/>
          <w:sz w:val="24"/>
          <w:highlight w:val="none"/>
          <w:lang w:val="en-US" w:eastAsia="zh-CN"/>
        </w:rPr>
        <w:t>“限额以下项目”上发布成交结果公告。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24.告知磋商结果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w:t>
      </w:r>
      <w:r>
        <w:rPr>
          <w:rFonts w:hint="eastAsia" w:ascii="宋体" w:hAnsi="宋体" w:cs="Times New Roman"/>
          <w:color w:val="auto"/>
          <w:sz w:val="24"/>
          <w:highlight w:val="none"/>
          <w:lang w:val="en-US" w:eastAsia="zh-CN"/>
        </w:rPr>
        <w:t xml:space="preserve"> </w:t>
      </w:r>
      <w:r>
        <w:rPr>
          <w:rFonts w:hint="eastAsia" w:ascii="宋体" w:hAnsi="宋体" w:eastAsia="宋体" w:cs="Times New Roman"/>
          <w:color w:val="auto"/>
          <w:sz w:val="24"/>
          <w:highlight w:val="none"/>
          <w:lang w:val="en-US" w:eastAsia="zh-CN"/>
        </w:rPr>
        <w:t>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w:t>
      </w:r>
      <w:r>
        <w:rPr>
          <w:rFonts w:hint="eastAsia" w:ascii="宋体" w:hAnsi="宋体" w:cs="Times New Roman"/>
          <w:color w:val="auto"/>
          <w:sz w:val="24"/>
          <w:highlight w:val="none"/>
          <w:lang w:val="en-US" w:eastAsia="zh-CN"/>
        </w:rPr>
        <w:t xml:space="preserve"> </w:t>
      </w:r>
      <w:r>
        <w:rPr>
          <w:rFonts w:hint="eastAsia" w:ascii="宋体" w:hAnsi="宋体" w:eastAsia="宋体" w:cs="Times New Roman"/>
          <w:color w:val="auto"/>
          <w:sz w:val="24"/>
          <w:highlight w:val="none"/>
          <w:lang w:val="en-US" w:eastAsia="zh-CN"/>
        </w:rPr>
        <w:t>磋商文件、成交供应商的响应文件及其澄清文件等，均为签订合同的依据。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29.1供应商认为磋商文件、采购过程和成交结果使自己的权益受到损害的，可以在知道或者应知其权益受到损害之日起七个工作日内，以书面形式向采购人或其委托的采购代理机构提出质疑。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8" w:type="default"/>
          <w:pgSz w:w="11906" w:h="16838"/>
          <w:pgMar w:top="1418" w:right="1418" w:bottom="1276" w:left="1418" w:header="680"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Times New Roman"/>
          <w:color w:val="auto"/>
          <w:sz w:val="24"/>
          <w:highlight w:val="none"/>
          <w:lang w:val="en-US" w:eastAsia="zh-CN"/>
        </w:rPr>
        <w:t>本磋商文件第五章合同格式内容以供参考，具体合同内容以采购人与成交供应商所签订的合同为准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bookmarkEnd w:id="39"/>
    <w:bookmarkEnd w:id="40"/>
    <w:bookmarkEnd w:id="41"/>
    <w:bookmarkEnd w:id="42"/>
    <w:bookmarkEnd w:id="43"/>
    <w:bookmarkEnd w:id="44"/>
    <w:bookmarkEnd w:id="45"/>
    <w:p w14:paraId="1C9EA266">
      <w:pPr>
        <w:pStyle w:val="3"/>
        <w:numPr>
          <w:ilvl w:val="0"/>
          <w:numId w:val="0"/>
        </w:numPr>
        <w:spacing w:before="0" w:beforeAutospacing="0" w:afterLines="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第三章 采购需求</w:t>
      </w:r>
      <w:bookmarkEnd w:id="38"/>
    </w:p>
    <w:p w14:paraId="57F92650">
      <w:pPr>
        <w:pStyle w:val="5"/>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
          <w:bCs/>
          <w:sz w:val="24"/>
          <w:szCs w:val="24"/>
          <w:lang w:val="en-US" w:eastAsia="zh-CN" w:bidi="ar-SA"/>
        </w:rPr>
      </w:pPr>
      <w:bookmarkStart w:id="48" w:name="_Toc16371"/>
      <w:r>
        <w:rPr>
          <w:rFonts w:hint="eastAsia" w:ascii="宋体" w:hAnsi="宋体" w:eastAsia="宋体" w:cs="宋体"/>
          <w:b/>
          <w:bCs/>
          <w:sz w:val="24"/>
          <w:szCs w:val="24"/>
          <w:lang w:val="en-US" w:eastAsia="zh-CN" w:bidi="ar-SA"/>
        </w:rPr>
        <w:t>一、商务要求</w:t>
      </w:r>
    </w:p>
    <w:tbl>
      <w:tblPr>
        <w:tblStyle w:val="40"/>
        <w:tblW w:w="9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108"/>
        <w:gridCol w:w="6646"/>
      </w:tblGrid>
      <w:tr w14:paraId="5027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9" w:hRule="atLeast"/>
          <w:jc w:val="center"/>
        </w:trPr>
        <w:tc>
          <w:tcPr>
            <w:tcW w:w="808" w:type="dxa"/>
            <w:vAlign w:val="center"/>
          </w:tcPr>
          <w:p w14:paraId="2966F35B">
            <w:pPr>
              <w:pStyle w:val="21"/>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108" w:type="dxa"/>
            <w:vAlign w:val="center"/>
          </w:tcPr>
          <w:p w14:paraId="78ECC137">
            <w:pPr>
              <w:pStyle w:val="21"/>
              <w:jc w:val="center"/>
            </w:pPr>
            <w:r>
              <w:rPr>
                <w:rFonts w:hint="eastAsia" w:asciiTheme="minorEastAsia" w:hAnsiTheme="minorEastAsia"/>
                <w:b/>
                <w:bCs/>
                <w:color w:val="auto"/>
                <w:sz w:val="24"/>
                <w:szCs w:val="24"/>
                <w:highlight w:val="none"/>
              </w:rPr>
              <w:t>商务条款</w:t>
            </w:r>
          </w:p>
        </w:tc>
        <w:tc>
          <w:tcPr>
            <w:tcW w:w="6646" w:type="dxa"/>
            <w:vAlign w:val="center"/>
          </w:tcPr>
          <w:p w14:paraId="73136536">
            <w:pPr>
              <w:pStyle w:val="21"/>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磋商文件</w:t>
            </w:r>
            <w:r>
              <w:rPr>
                <w:rFonts w:hint="eastAsia" w:cs="Wingdings" w:asciiTheme="minorEastAsia" w:hAnsiTheme="minorEastAsia"/>
                <w:b/>
                <w:color w:val="auto"/>
                <w:sz w:val="24"/>
                <w:highlight w:val="none"/>
              </w:rPr>
              <w:t>要求</w:t>
            </w:r>
          </w:p>
        </w:tc>
      </w:tr>
      <w:tr w14:paraId="7B9D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808" w:type="dxa"/>
            <w:vAlign w:val="center"/>
          </w:tcPr>
          <w:p w14:paraId="151E8ADE">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108" w:type="dxa"/>
            <w:vAlign w:val="center"/>
          </w:tcPr>
          <w:p w14:paraId="05793A89">
            <w:pPr>
              <w:jc w:val="center"/>
              <w:rPr>
                <w:rFonts w:ascii="宋体" w:hAnsi="宋体"/>
                <w:sz w:val="24"/>
              </w:rPr>
            </w:pPr>
            <w:r>
              <w:rPr>
                <w:rFonts w:asciiTheme="minorEastAsia" w:hAnsiTheme="minorEastAsia" w:eastAsiaTheme="minorEastAsia"/>
                <w:color w:val="auto"/>
                <w:sz w:val="24"/>
                <w:highlight w:val="none"/>
              </w:rPr>
              <w:t>付款方式</w:t>
            </w:r>
          </w:p>
        </w:tc>
        <w:tc>
          <w:tcPr>
            <w:tcW w:w="6646" w:type="dxa"/>
            <w:vAlign w:val="center"/>
          </w:tcPr>
          <w:p w14:paraId="4BD2A12B">
            <w:pPr>
              <w:pStyle w:val="50"/>
              <w:jc w:val="center"/>
              <w:rPr>
                <w:rFonts w:hint="default"/>
                <w:lang w:val="en-US" w:eastAsia="zh-CN"/>
              </w:rPr>
            </w:pPr>
            <w:r>
              <w:rPr>
                <w:rFonts w:hint="default"/>
                <w:lang w:val="en-US" w:eastAsia="zh-CN"/>
              </w:rPr>
              <w:t>合同签订后支付合同价款的30%；系统上线试运行后，</w:t>
            </w:r>
            <w:r>
              <w:rPr>
                <w:rFonts w:hint="eastAsia"/>
                <w:lang w:val="en-US" w:eastAsia="zh-CN"/>
              </w:rPr>
              <w:t>再</w:t>
            </w:r>
            <w:r>
              <w:rPr>
                <w:rFonts w:hint="default"/>
                <w:lang w:val="en-US" w:eastAsia="zh-CN"/>
              </w:rPr>
              <w:t>支付合同价款的</w:t>
            </w:r>
            <w:r>
              <w:rPr>
                <w:rFonts w:hint="eastAsia"/>
                <w:lang w:val="en-US" w:eastAsia="zh-CN"/>
              </w:rPr>
              <w:t>4</w:t>
            </w:r>
            <w:r>
              <w:rPr>
                <w:rFonts w:hint="default"/>
                <w:lang w:val="en-US" w:eastAsia="zh-CN"/>
              </w:rPr>
              <w:t>0%；项目验收合格后支付</w:t>
            </w:r>
            <w:r>
              <w:rPr>
                <w:rFonts w:hint="eastAsia"/>
                <w:lang w:val="en-US" w:eastAsia="zh-CN"/>
              </w:rPr>
              <w:t>余下的30</w:t>
            </w:r>
            <w:r>
              <w:rPr>
                <w:rFonts w:hint="default"/>
                <w:lang w:val="en-US" w:eastAsia="zh-CN"/>
              </w:rPr>
              <w:t>%合同价款</w:t>
            </w:r>
          </w:p>
        </w:tc>
      </w:tr>
      <w:tr w14:paraId="6A60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808" w:type="dxa"/>
            <w:vAlign w:val="center"/>
          </w:tcPr>
          <w:p w14:paraId="35B4FD05">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108" w:type="dxa"/>
            <w:vAlign w:val="center"/>
          </w:tcPr>
          <w:p w14:paraId="3927B841">
            <w:pPr>
              <w:pStyle w:val="139"/>
              <w:widowControl w:val="0"/>
              <w:spacing w:before="0" w:beforeAutospacing="0" w:after="0" w:afterAutospacing="0" w:line="360" w:lineRule="auto"/>
              <w:rPr>
                <w:rFonts w:ascii="宋体" w:hAnsi="宋体"/>
                <w:sz w:val="24"/>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地点</w:t>
            </w:r>
          </w:p>
        </w:tc>
        <w:tc>
          <w:tcPr>
            <w:tcW w:w="6646" w:type="dxa"/>
            <w:vAlign w:val="center"/>
          </w:tcPr>
          <w:p w14:paraId="66C75729">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49AA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319512A6">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108" w:type="dxa"/>
            <w:vAlign w:val="center"/>
          </w:tcPr>
          <w:p w14:paraId="39223CE6">
            <w:pPr>
              <w:pStyle w:val="139"/>
              <w:widowControl w:val="0"/>
              <w:spacing w:before="0" w:beforeAutospacing="0" w:after="0" w:afterAutospacing="0" w:line="360" w:lineRule="auto"/>
              <w:rPr>
                <w:rFonts w:ascii="宋体" w:hAnsi="宋体"/>
                <w:sz w:val="24"/>
              </w:rPr>
            </w:pPr>
            <w:r>
              <w:rPr>
                <w:rFonts w:hint="eastAsia" w:ascii="宋体" w:hAnsi="宋体" w:eastAsia="宋体"/>
                <w:b w:val="0"/>
                <w:color w:val="auto"/>
                <w:sz w:val="24"/>
                <w:highlight w:val="none"/>
              </w:rPr>
              <w:t>供货</w:t>
            </w:r>
            <w:r>
              <w:rPr>
                <w:rFonts w:hint="eastAsia" w:ascii="宋体" w:hAnsi="宋体"/>
                <w:b w:val="0"/>
                <w:color w:val="auto"/>
                <w:sz w:val="24"/>
                <w:highlight w:val="none"/>
                <w:lang w:val="en-US" w:eastAsia="zh-CN"/>
              </w:rPr>
              <w:t>及安装</w:t>
            </w:r>
            <w:r>
              <w:rPr>
                <w:rFonts w:hint="eastAsia" w:ascii="宋体" w:hAnsi="宋体" w:eastAsia="宋体"/>
                <w:b w:val="0"/>
                <w:color w:val="auto"/>
                <w:sz w:val="24"/>
                <w:highlight w:val="none"/>
              </w:rPr>
              <w:t>期限</w:t>
            </w:r>
          </w:p>
        </w:tc>
        <w:tc>
          <w:tcPr>
            <w:tcW w:w="6646" w:type="dxa"/>
            <w:vAlign w:val="center"/>
          </w:tcPr>
          <w:p w14:paraId="1D4D2E9F">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60日历天</w:t>
            </w:r>
          </w:p>
        </w:tc>
      </w:tr>
      <w:tr w14:paraId="4EDE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62AF7750">
            <w:pPr>
              <w:jc w:val="center"/>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w:t>
            </w:r>
          </w:p>
        </w:tc>
        <w:tc>
          <w:tcPr>
            <w:tcW w:w="2108" w:type="dxa"/>
            <w:vAlign w:val="center"/>
          </w:tcPr>
          <w:p w14:paraId="4C6D36D7">
            <w:pPr>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质保期</w:t>
            </w:r>
          </w:p>
        </w:tc>
        <w:tc>
          <w:tcPr>
            <w:tcW w:w="6646" w:type="dxa"/>
            <w:vAlign w:val="center"/>
          </w:tcPr>
          <w:p w14:paraId="58EB116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3年</w:t>
            </w:r>
          </w:p>
        </w:tc>
      </w:tr>
    </w:tbl>
    <w:p w14:paraId="59C55819">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olor w:val="auto"/>
          <w:sz w:val="24"/>
          <w:szCs w:val="24"/>
          <w:highlight w:val="none"/>
          <w:lang w:eastAsia="zh-CN"/>
        </w:rPr>
      </w:pPr>
    </w:p>
    <w:p w14:paraId="5CD3C8E3">
      <w:pPr>
        <w:pStyle w:val="5"/>
        <w:keepNext/>
        <w:keepLines/>
        <w:pageBreakBefore w:val="0"/>
        <w:widowControl w:val="0"/>
        <w:numPr>
          <w:ilvl w:val="0"/>
          <w:numId w:val="1"/>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采购内容：</w:t>
      </w:r>
    </w:p>
    <w:p w14:paraId="0C3BDB64">
      <w:pPr>
        <w:pStyle w:val="4"/>
        <w:keepNext/>
        <w:keepLines/>
        <w:pageBreakBefore w:val="0"/>
        <w:widowControl/>
        <w:kinsoku/>
        <w:wordWrap/>
        <w:overflowPunct/>
        <w:topLinePunct w:val="0"/>
        <w:autoSpaceDE/>
        <w:autoSpaceDN/>
        <w:bidi w:val="0"/>
        <w:adjustRightInd/>
        <w:snapToGrid/>
        <w:spacing w:after="0" w:line="416" w:lineRule="auto"/>
        <w:ind w:firstLine="0" w:firstLineChars="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1、项目建设目标</w:t>
      </w:r>
    </w:p>
    <w:p w14:paraId="6F5C52E2">
      <w:pPr>
        <w:ind w:firstLine="480"/>
        <w:rPr>
          <w:rFonts w:hint="eastAsia" w:ascii="宋体" w:hAnsi="宋体" w:eastAsia="宋体" w:cs="宋体"/>
          <w:color w:val="auto"/>
          <w:sz w:val="24"/>
          <w:szCs w:val="24"/>
          <w:highlight w:val="none"/>
        </w:rPr>
      </w:pPr>
      <w:bookmarkStart w:id="49" w:name="_Toc344063709"/>
      <w:bookmarkStart w:id="50" w:name="_Toc343193879"/>
      <w:bookmarkStart w:id="51" w:name="_Toc324240378"/>
      <w:bookmarkStart w:id="52" w:name="_Toc339286687"/>
      <w:bookmarkStart w:id="53" w:name="_Toc339286218"/>
      <w:r>
        <w:rPr>
          <w:rFonts w:hint="eastAsia" w:ascii="宋体" w:hAnsi="宋体" w:eastAsia="宋体" w:cs="宋体"/>
          <w:color w:val="auto"/>
          <w:sz w:val="24"/>
          <w:szCs w:val="24"/>
          <w:highlight w:val="none"/>
        </w:rPr>
        <w:t>搭建校内网上</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管理信息平台，为全过程</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管理和服务提供信息化支撑，实现学校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管理部门网上</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管理服务，实现各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单位网上分级自主</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管理，简化</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相关报表和流程，逐步探索和建立面向全校师生“一站式”网上</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服务大厅，协同学校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组织模式和服务方式改革与创新，支撑学校行政管理部门、二级单位和教师三级纵向</w:t>
      </w:r>
      <w:r>
        <w:rPr>
          <w:rFonts w:hint="eastAsia" w:ascii="宋体" w:hAnsi="宋体" w:eastAsia="宋体" w:cs="宋体"/>
          <w:color w:val="auto"/>
          <w:sz w:val="24"/>
          <w:szCs w:val="24"/>
          <w:highlight w:val="none"/>
          <w:lang w:eastAsia="zh-CN"/>
        </w:rPr>
        <w:t>科研</w:t>
      </w:r>
      <w:r>
        <w:rPr>
          <w:rFonts w:hint="eastAsia" w:ascii="宋体" w:hAnsi="宋体" w:eastAsia="宋体" w:cs="宋体"/>
          <w:color w:val="auto"/>
          <w:sz w:val="24"/>
          <w:szCs w:val="24"/>
          <w:highlight w:val="none"/>
        </w:rPr>
        <w:t>协同，支撑</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、财务、人事等跨部门横向</w:t>
      </w:r>
      <w:r>
        <w:rPr>
          <w:rFonts w:hint="eastAsia" w:ascii="宋体" w:hAnsi="宋体" w:eastAsia="宋体" w:cs="宋体"/>
          <w:color w:val="auto"/>
          <w:sz w:val="24"/>
          <w:szCs w:val="24"/>
          <w:highlight w:val="none"/>
          <w:lang w:eastAsia="zh-CN"/>
        </w:rPr>
        <w:t>科研</w:t>
      </w:r>
      <w:r>
        <w:rPr>
          <w:rFonts w:hint="eastAsia" w:ascii="宋体" w:hAnsi="宋体" w:eastAsia="宋体" w:cs="宋体"/>
          <w:color w:val="auto"/>
          <w:sz w:val="24"/>
          <w:szCs w:val="24"/>
          <w:highlight w:val="none"/>
        </w:rPr>
        <w:t>协同，提升</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相关战略思考和顶层设计能力，提升</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服务水平，促进学校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工作健康可持续发展。</w:t>
      </w:r>
    </w:p>
    <w:p w14:paraId="43E493D9">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搭建校内</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主题数据库，形成</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数据规范，实现各级各类</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项目、经费、成果、奖励等活动阶段性数据和档案信息化管理和存档，实现</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与人事</w:t>
      </w:r>
      <w:r>
        <w:rPr>
          <w:rFonts w:hint="eastAsia" w:ascii="宋体" w:hAnsi="宋体" w:eastAsia="宋体" w:cs="宋体"/>
          <w:color w:val="000000" w:themeColor="text1"/>
          <w:sz w:val="24"/>
          <w:szCs w:val="24"/>
          <w:highlight w:val="none"/>
          <w14:textFill>
            <w14:solidFill>
              <w14:schemeClr w14:val="tx1"/>
            </w14:solidFill>
          </w14:textFill>
        </w:rPr>
        <w:t>、财务</w:t>
      </w:r>
      <w:r>
        <w:rPr>
          <w:rFonts w:hint="eastAsia" w:ascii="宋体" w:hAnsi="宋体" w:eastAsia="宋体" w:cs="宋体"/>
          <w:color w:val="000000" w:themeColor="text1"/>
          <w:sz w:val="24"/>
          <w:szCs w:val="24"/>
          <w:highlight w:val="none"/>
          <w:lang w:eastAsia="zh-CN"/>
          <w14:textFill>
            <w14:solidFill>
              <w14:schemeClr w14:val="tx1"/>
            </w14:solidFill>
          </w14:textFill>
        </w:rPr>
        <w:t>、国资</w:t>
      </w:r>
      <w:r>
        <w:rPr>
          <w:rFonts w:hint="eastAsia" w:ascii="宋体" w:hAnsi="宋体" w:eastAsia="宋体" w:cs="宋体"/>
          <w:color w:val="000000" w:themeColor="text1"/>
          <w:sz w:val="24"/>
          <w:szCs w:val="24"/>
          <w:highlight w:val="none"/>
          <w14:textFill>
            <w14:solidFill>
              <w14:schemeClr w14:val="tx1"/>
            </w14:solidFill>
          </w14:textFill>
        </w:rPr>
        <w:t>等部门的</w:t>
      </w:r>
      <w:r>
        <w:rPr>
          <w:rFonts w:hint="eastAsia" w:ascii="宋体" w:hAnsi="宋体" w:eastAsia="宋体" w:cs="宋体"/>
          <w:color w:val="000000" w:themeColor="text1"/>
          <w:sz w:val="24"/>
          <w:szCs w:val="24"/>
          <w:highlight w:val="none"/>
          <w:lang w:eastAsia="zh-CN"/>
          <w14:textFill>
            <w14:solidFill>
              <w14:schemeClr w14:val="tx1"/>
            </w14:solidFill>
          </w14:textFill>
        </w:rPr>
        <w:t>教科研</w:t>
      </w:r>
      <w:r>
        <w:rPr>
          <w:rFonts w:hint="eastAsia" w:ascii="宋体" w:hAnsi="宋体" w:eastAsia="宋体" w:cs="宋体"/>
          <w:color w:val="000000" w:themeColor="text1"/>
          <w:sz w:val="24"/>
          <w:szCs w:val="24"/>
          <w:highlight w:val="none"/>
          <w14:textFill>
            <w14:solidFill>
              <w14:schemeClr w14:val="tx1"/>
            </w14:solidFill>
          </w14:textFill>
        </w:rPr>
        <w:t>数据共享、交互和汇编，基于及时、准确、有效的</w:t>
      </w:r>
      <w:r>
        <w:rPr>
          <w:rFonts w:hint="eastAsia" w:ascii="宋体" w:hAnsi="宋体" w:eastAsia="宋体" w:cs="宋体"/>
          <w:color w:val="000000" w:themeColor="text1"/>
          <w:sz w:val="24"/>
          <w:szCs w:val="24"/>
          <w:highlight w:val="none"/>
          <w:lang w:eastAsia="zh-CN"/>
          <w14:textFill>
            <w14:solidFill>
              <w14:schemeClr w14:val="tx1"/>
            </w14:solidFill>
          </w14:textFill>
        </w:rPr>
        <w:t>教科研</w:t>
      </w:r>
      <w:r>
        <w:rPr>
          <w:rFonts w:hint="eastAsia" w:ascii="宋体" w:hAnsi="宋体" w:eastAsia="宋体" w:cs="宋体"/>
          <w:color w:val="000000" w:themeColor="text1"/>
          <w:sz w:val="24"/>
          <w:szCs w:val="24"/>
          <w:highlight w:val="none"/>
          <w14:textFill>
            <w14:solidFill>
              <w14:schemeClr w14:val="tx1"/>
            </w14:solidFill>
          </w14:textFill>
        </w:rPr>
        <w:t>动态数</w:t>
      </w:r>
      <w:r>
        <w:rPr>
          <w:rFonts w:hint="eastAsia" w:ascii="宋体" w:hAnsi="宋体" w:eastAsia="宋体" w:cs="宋体"/>
          <w:color w:val="auto"/>
          <w:sz w:val="24"/>
          <w:szCs w:val="24"/>
          <w:highlight w:val="none"/>
        </w:rPr>
        <w:t>据分析，更好地服务于我校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统计、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评价、管理决策和学科建设。</w:t>
      </w:r>
    </w:p>
    <w:bookmarkEnd w:id="49"/>
    <w:p w14:paraId="3308CD77">
      <w:pPr>
        <w:pStyle w:val="4"/>
        <w:keepNext/>
        <w:keepLines/>
        <w:pageBreakBefore w:val="0"/>
        <w:widowControl/>
        <w:kinsoku/>
        <w:wordWrap/>
        <w:overflowPunct/>
        <w:topLinePunct w:val="0"/>
        <w:autoSpaceDE/>
        <w:autoSpaceDN/>
        <w:bidi w:val="0"/>
        <w:adjustRightInd/>
        <w:snapToGrid/>
        <w:spacing w:before="0" w:after="0" w:line="416" w:lineRule="auto"/>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rPr>
        <w:t>总体技术要求</w:t>
      </w:r>
    </w:p>
    <w:p w14:paraId="73BF1BB4">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1.应用程序的编程语言应按照J2EE规格，采用Java编程语言和服务器端Java技术开发。</w:t>
      </w:r>
    </w:p>
    <w:p w14:paraId="24D72E0E">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2.应用系统平台依托基础网络设施与软硬件环境，结合学校实际业务需求搭建整体架构。系统整体划分数据层、通用构件层、服务层、应用层、展现层五大核心层级，技术架构采用三层（多层）B/S 架构设计。</w:t>
      </w:r>
    </w:p>
    <w:p w14:paraId="0596C18E">
      <w:pPr>
        <w:ind w:firstLine="480"/>
        <w:rPr>
          <w:rFonts w:hint="eastAsia" w:ascii="宋体" w:hAnsi="宋体" w:cs="宋体"/>
          <w:color w:val="auto"/>
          <w:kern w:val="0"/>
          <w:sz w:val="24"/>
          <w:highlight w:val="none"/>
        </w:rPr>
      </w:pPr>
      <w:r>
        <w:rPr>
          <w:rFonts w:hint="eastAsia" w:ascii="宋体" w:hAnsi="宋体" w:eastAsia="宋体" w:cs="宋体"/>
          <w:color w:val="auto"/>
          <w:sz w:val="24"/>
          <w:szCs w:val="24"/>
          <w:highlight w:val="none"/>
        </w:rPr>
        <w:t>其中前端运用单页化技术提升页面响应速度；中间层采用组件化设计实现模块功能；数据访问层采用数据持久化技术实现数据的访问，以数据库连接池实现，并采用缓存的设计，以保证系统的性能。平台同时具备良好的横向扩展能力，支持应用、引擎分布式部署及 Docker 容器化部署</w:t>
      </w:r>
      <w:r>
        <w:rPr>
          <w:rFonts w:ascii="宋体" w:hAnsi="宋体" w:cs="宋体"/>
          <w:color w:val="auto"/>
          <w:kern w:val="0"/>
          <w:sz w:val="24"/>
          <w:highlight w:val="none"/>
        </w:rPr>
        <w:t>。</w:t>
      </w:r>
    </w:p>
    <w:p w14:paraId="3806EA8F">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落实国家信息技术应用创新相关政策及合规要求，所投产品要求具备信创、非信创双环境兼容能力。系统当前采用非信创环境部署，产品需在此架构下稳定运行、所有功能正常使用；未来根据工作要求切换至信创环境时，产品可支持快速完成适配部署，支持业务平滑过渡，无需对产品主体架构及业务功能进行改造。</w:t>
      </w:r>
    </w:p>
    <w:p w14:paraId="2A850BB1">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3.集成架构要求能够提供独立的ESB集成总线，支持快速与现有业务系统、未来上线的业务系统进行集成对接，包括组织架构集成、单点登录集成、数据集成、报表集成等。</w:t>
      </w:r>
    </w:p>
    <w:p w14:paraId="60879CDF">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4.提供灵活的协同门户自定义定制功能，根据项目内外部不同参与者的角色（身份和权限）的不同系统呈现不同的菜单或功能，用户本人可自定义个人门户界面风格、栏目存放位置及显示方式等。</w:t>
      </w:r>
    </w:p>
    <w:p w14:paraId="2B2B4059">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5.报表工具：包含系统运行过程中的业务分析报表、业务</w:t>
      </w:r>
      <w:r>
        <w:rPr>
          <w:rFonts w:hint="eastAsia" w:ascii="宋体" w:hAnsi="宋体" w:eastAsia="宋体" w:cs="宋体"/>
          <w:color w:val="auto"/>
          <w:sz w:val="24"/>
          <w:szCs w:val="24"/>
          <w:highlight w:val="none"/>
          <w:lang w:eastAsia="zh-CN"/>
        </w:rPr>
        <w:t>流程</w:t>
      </w:r>
      <w:r>
        <w:rPr>
          <w:rFonts w:hint="eastAsia" w:ascii="宋体" w:hAnsi="宋体" w:eastAsia="宋体" w:cs="宋体"/>
          <w:color w:val="auto"/>
          <w:sz w:val="24"/>
          <w:szCs w:val="24"/>
          <w:highlight w:val="none"/>
        </w:rPr>
        <w:t>报表，文档签订和查询报表，文档下载报表，流程监控及效率分析类报表的生成、分析工具。</w:t>
      </w:r>
    </w:p>
    <w:p w14:paraId="355072DF">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6.系统内消息通知方式：应支持系统内部消息及邮件、手机短信等。</w:t>
      </w:r>
    </w:p>
    <w:p w14:paraId="27DF3C3B">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7.提供系统日志管理功能，系统日志管理包括日志监控、日志审计和日志统计，系统中发生的所有对数据产生变更的操作和系统本身的运行检测情况都要求记录在日志平台中，便于统计分析。</w:t>
      </w:r>
    </w:p>
    <w:p w14:paraId="038C0D20">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8.数据库采用Oracle19c/SQL Server2022及以上版本。</w:t>
      </w:r>
    </w:p>
    <w:p w14:paraId="754606A8">
      <w:pPr>
        <w:ind w:firstLine="48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9.实施分级保护制度，按照其重要程度和受破坏后的危害程度进行分级，并采取相应强度的安全保护措施，以保障信息安全。系统须通过等保二级</w:t>
      </w:r>
      <w:r>
        <w:rPr>
          <w:rFonts w:hint="eastAsia" w:ascii="宋体" w:hAnsi="宋体" w:cs="宋体"/>
          <w:color w:val="auto"/>
          <w:sz w:val="24"/>
          <w:szCs w:val="24"/>
          <w:highlight w:val="none"/>
          <w:lang w:val="en-US" w:eastAsia="zh-CN"/>
        </w:rPr>
        <w:t>及以上</w:t>
      </w:r>
      <w:r>
        <w:rPr>
          <w:rFonts w:hint="eastAsia" w:ascii="宋体" w:hAnsi="宋体" w:eastAsia="宋体" w:cs="宋体"/>
          <w:color w:val="auto"/>
          <w:sz w:val="24"/>
          <w:szCs w:val="24"/>
          <w:highlight w:val="none"/>
          <w:lang w:val="en-US" w:eastAsia="zh-CN"/>
        </w:rPr>
        <w:t>认证，部署防火墙、入侵检测、数据加密及访问控制等安全机制；关键操作需双因素认证，敏感数据存储与传输全程加密；定期开展安全评估与漏洞扫描，并留存完整审计记录以满足监管要求。</w:t>
      </w:r>
    </w:p>
    <w:p w14:paraId="2EE0425E">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.软件需为成熟软件，有相关高校应用案例。</w:t>
      </w:r>
    </w:p>
    <w:p w14:paraId="6C5EDD66">
      <w:pPr>
        <w:pStyle w:val="4"/>
        <w:keepNext/>
        <w:keepLines/>
        <w:pageBreakBefore w:val="0"/>
        <w:widowControl/>
        <w:kinsoku/>
        <w:wordWrap/>
        <w:overflowPunct/>
        <w:topLinePunct w:val="0"/>
        <w:autoSpaceDE/>
        <w:autoSpaceDN/>
        <w:bidi w:val="0"/>
        <w:adjustRightInd/>
        <w:snapToGrid/>
        <w:spacing w:before="0" w:after="0" w:line="416" w:lineRule="auto"/>
        <w:ind w:firstLine="0" w:firstLineChars="0"/>
        <w:jc w:val="both"/>
        <w:textAlignment w:val="auto"/>
        <w:rPr>
          <w:rFonts w:hint="eastAsia"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lang w:val="en-US"/>
        </w:rPr>
        <w:t>技术规格及要求</w:t>
      </w:r>
    </w:p>
    <w:bookmarkEnd w:id="50"/>
    <w:bookmarkEnd w:id="51"/>
    <w:bookmarkEnd w:id="52"/>
    <w:bookmarkEnd w:id="53"/>
    <w:p w14:paraId="0E607650">
      <w:pPr>
        <w:ind w:firstLine="480"/>
        <w:rPr>
          <w:rFonts w:hint="eastAsia" w:ascii="宋体" w:hAnsi="宋体" w:eastAsia="宋体" w:cs="宋体"/>
          <w:color w:val="auto"/>
          <w:sz w:val="24"/>
          <w:szCs w:val="24"/>
          <w:highlight w:val="none"/>
        </w:rPr>
      </w:pPr>
      <w:bookmarkStart w:id="54" w:name="_Toc60826810"/>
      <w:bookmarkStart w:id="55" w:name="_Toc44934037"/>
      <w:bookmarkStart w:id="56" w:name="_Toc44942898"/>
      <w:bookmarkStart w:id="57" w:name="_Toc44991929"/>
      <w:bookmarkStart w:id="58" w:name="_Toc60817809"/>
      <w:r>
        <w:rPr>
          <w:rFonts w:hint="eastAsia" w:ascii="宋体" w:hAnsi="宋体" w:eastAsia="宋体" w:cs="宋体"/>
          <w:color w:val="auto"/>
          <w:sz w:val="24"/>
          <w:szCs w:val="24"/>
          <w:highlight w:val="none"/>
        </w:rPr>
        <w:t>1.符合国家有关规定，系统建设必须符合我国相关部门制定的标准，安全策略、密码与安全设备选用、网络互联、安全管理等必须符合我国信息安全法律法规。</w:t>
      </w:r>
    </w:p>
    <w:bookmarkEnd w:id="54"/>
    <w:bookmarkEnd w:id="55"/>
    <w:bookmarkEnd w:id="56"/>
    <w:bookmarkEnd w:id="57"/>
    <w:bookmarkEnd w:id="58"/>
    <w:p w14:paraId="25A7900A">
      <w:pPr>
        <w:ind w:firstLine="480"/>
        <w:rPr>
          <w:rFonts w:hint="eastAsia" w:ascii="宋体" w:hAnsi="宋体" w:cs="宋体"/>
          <w:color w:val="auto"/>
          <w:sz w:val="24"/>
          <w:highlight w:val="none"/>
        </w:rPr>
      </w:pPr>
      <w:r>
        <w:rPr>
          <w:rFonts w:hint="eastAsia" w:ascii="宋体" w:hAnsi="宋体" w:eastAsia="宋体" w:cs="宋体"/>
          <w:color w:val="auto"/>
          <w:sz w:val="24"/>
          <w:szCs w:val="24"/>
          <w:highlight w:val="none"/>
        </w:rPr>
        <w:t>2.安全性：</w:t>
      </w:r>
    </w:p>
    <w:p w14:paraId="284D9338">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（1）确保应用系统源代码安全，无漏洞；</w:t>
      </w:r>
    </w:p>
    <w:p w14:paraId="43159F0A">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（2）提供较为完善的数据加密机制，确保数据存储和数据传输安全；</w:t>
      </w:r>
    </w:p>
    <w:p w14:paraId="2F83185A">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（3）提供明晰的鉴权机制，按业务要求实现功能分级，并对用户分级授权；</w:t>
      </w:r>
    </w:p>
    <w:p w14:paraId="534A06BE">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（4）确保现有业务都能通过网络操作完成。</w:t>
      </w:r>
    </w:p>
    <w:p w14:paraId="59F17CE4">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（5）系统采用分级管理模式，对不同级别用户的操作权限和数据访问范围有严格的限制，系统管理员可以根据院系情况灵活设置安全策略。</w:t>
      </w:r>
    </w:p>
    <w:p w14:paraId="678E4544">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（6）系统底层支持三员管理模式，即系统管理员、安全管理员、审计管理员三权分立，避免单个管理员权限过大。</w:t>
      </w:r>
    </w:p>
    <w:p w14:paraId="205116D0">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3.可审计：系统具备日志跟踪与分析功能，提供详尽的用户操作日志，提供丰富的查询方式，供追溯和追责。</w:t>
      </w:r>
    </w:p>
    <w:p w14:paraId="61E4F730">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4.可靠性：系统运行稳定可靠，充分考虑冗余问题，要在系统设计范围内保证随着系统数据量的增加，系统性能不出现显著下降。</w:t>
      </w:r>
    </w:p>
    <w:p w14:paraId="27EBCD2C">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稳定性：系统架构设计合理，结合必要的集群、热备等手段，保证系统不间断运行。系统用户数不受限制，可支持1500人的同时在线访问，可支持200用户的并发访问量。系统可以全天候24*7天运行，不会因为程序错误导致响应失败或者系统崩溃。</w:t>
      </w:r>
    </w:p>
    <w:p w14:paraId="1C2AD792">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6.开发技术：系统采用B/S架构，数据库支持使用Oracle19c/SQL Server2022及以上版本，支持主流的应用服务器等。</w:t>
      </w:r>
    </w:p>
    <w:p w14:paraId="329CB390">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7.可扩展性：系统架构设计可满足业务变化引起的系统功能升级。</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管理信息系统是业务性非常强的应用系统，为保证系统的易用性和可操作性，在系统中为不同类型的用户专门设计符合其操作习惯的用户界面和操作流程，确保系统的简单易用。</w:t>
      </w:r>
    </w:p>
    <w:p w14:paraId="40A165A4">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8.易维护性：系统应提供可视化的管理工具，允许通过多种手段，快捷管理、配置和监控系统运行状况，为系统正常运行提供技术保障。</w:t>
      </w:r>
    </w:p>
    <w:p w14:paraId="0AC5259D">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9.易操作性：系统设计符合业界通用规范和习惯用法，满足非专业用户的日常使用。</w:t>
      </w:r>
    </w:p>
    <w:p w14:paraId="37459464">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10.持续升级：系统须支持无须定制地平滑升级，并承诺对产品提供持续升级服务。</w:t>
      </w:r>
    </w:p>
    <w:p w14:paraId="62D71F55">
      <w:pPr>
        <w:ind w:firstLine="2409" w:firstLineChars="1000"/>
        <w:rPr>
          <w:rFonts w:hint="eastAsia" w:ascii="宋体" w:hAnsi="宋体" w:eastAsia="宋体" w:cs="宋体"/>
          <w:b/>
          <w:bCs/>
          <w:color w:val="auto"/>
          <w:sz w:val="24"/>
          <w:szCs w:val="24"/>
          <w:highlight w:val="none"/>
          <w:lang w:val="en-US"/>
        </w:rPr>
      </w:pPr>
      <w:bookmarkStart w:id="59" w:name="_Toc335078084"/>
      <w:bookmarkStart w:id="60" w:name="_Toc335075164"/>
      <w:bookmarkStart w:id="61" w:name="_Toc335077980"/>
      <w:bookmarkStart w:id="62" w:name="_Toc331153830"/>
      <w:bookmarkStart w:id="63" w:name="_Toc335077530"/>
      <w:bookmarkStart w:id="64" w:name="_Toc335121907"/>
    </w:p>
    <w:p w14:paraId="4840B42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eastAsia="宋体" w:cs="宋体"/>
          <w:b/>
          <w:bCs/>
          <w:color w:val="auto"/>
          <w:sz w:val="24"/>
          <w:szCs w:val="24"/>
          <w:highlight w:val="none"/>
          <w:lang w:val="en-US"/>
        </w:rPr>
      </w:pP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val="en-US"/>
        </w:rPr>
        <w:t>信息系统采购需求</w:t>
      </w:r>
      <w:bookmarkEnd w:id="59"/>
      <w:bookmarkEnd w:id="60"/>
      <w:bookmarkEnd w:id="61"/>
      <w:bookmarkEnd w:id="62"/>
      <w:bookmarkEnd w:id="63"/>
      <w:bookmarkEnd w:id="64"/>
    </w:p>
    <w:p w14:paraId="754B2363">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ab/>
      </w:r>
      <w:r>
        <w:rPr>
          <w:rFonts w:hint="eastAsia" w:ascii="宋体" w:hAnsi="宋体" w:eastAsia="宋体" w:cs="宋体"/>
          <w:color w:val="auto"/>
          <w:sz w:val="24"/>
          <w:szCs w:val="24"/>
          <w:highlight w:val="none"/>
          <w:lang w:val="zh-CN"/>
        </w:rPr>
        <w:t>本项目要求根据</w:t>
      </w:r>
      <w:r>
        <w:rPr>
          <w:rFonts w:hint="eastAsia" w:ascii="宋体" w:hAnsi="宋体" w:eastAsia="宋体" w:cs="宋体"/>
          <w:color w:val="auto"/>
          <w:sz w:val="24"/>
          <w:szCs w:val="24"/>
          <w:highlight w:val="none"/>
        </w:rPr>
        <w:t>桐城师范高等专科学校</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管理信息系统项目</w:t>
      </w:r>
      <w:r>
        <w:rPr>
          <w:rFonts w:hint="eastAsia" w:ascii="宋体" w:hAnsi="宋体" w:eastAsia="宋体" w:cs="宋体"/>
          <w:color w:val="auto"/>
          <w:sz w:val="24"/>
          <w:szCs w:val="24"/>
          <w:highlight w:val="none"/>
          <w:lang w:val="zh-CN"/>
        </w:rPr>
        <w:t>的具体需求，完成项目的研究与开发任务。</w:t>
      </w:r>
    </w:p>
    <w:p w14:paraId="5E997F27">
      <w:pPr>
        <w:pStyle w:val="5"/>
        <w:keepNext/>
        <w:keepLines/>
        <w:pageBreakBefore w:val="0"/>
        <w:widowControl w:val="0"/>
        <w:kinsoku/>
        <w:wordWrap/>
        <w:overflowPunct/>
        <w:topLinePunct w:val="0"/>
        <w:autoSpaceDE/>
        <w:autoSpaceDN/>
        <w:bidi w:val="0"/>
        <w:adjustRightInd w:val="0"/>
        <w:snapToGrid/>
        <w:spacing w:before="0" w:after="0"/>
        <w:ind w:firstLineChars="0"/>
        <w:textAlignment w:val="auto"/>
        <w:rPr>
          <w:rFonts w:hint="eastAsia" w:ascii="宋体" w:hAnsi="宋体" w:cs="宋体"/>
          <w:b w:val="0"/>
          <w:bCs w:val="0"/>
          <w:color w:val="auto"/>
          <w:sz w:val="24"/>
          <w:highlight w:val="none"/>
          <w:lang w:val="zh-CN"/>
        </w:rPr>
      </w:pPr>
      <w:r>
        <w:rPr>
          <w:rFonts w:hint="eastAsia" w:ascii="宋体" w:hAnsi="宋体" w:cs="宋体"/>
          <w:b w:val="0"/>
          <w:bCs w:val="0"/>
          <w:color w:val="auto"/>
          <w:sz w:val="24"/>
          <w:highlight w:val="none"/>
          <w:lang w:val="en-US" w:eastAsia="zh-CN"/>
        </w:rPr>
        <w:t>4.1</w:t>
      </w:r>
      <w:r>
        <w:rPr>
          <w:rFonts w:hint="eastAsia" w:ascii="宋体" w:hAnsi="宋体" w:cs="宋体"/>
          <w:b w:val="0"/>
          <w:bCs w:val="0"/>
          <w:color w:val="auto"/>
          <w:sz w:val="24"/>
          <w:highlight w:val="none"/>
          <w:lang w:val="zh-CN"/>
        </w:rPr>
        <w:t>建设目标</w:t>
      </w:r>
    </w:p>
    <w:p w14:paraId="41AFF47A">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1.搭建网络化的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管理综合办公平台</w:t>
      </w:r>
    </w:p>
    <w:p w14:paraId="1642C916">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管理为主线，基于网络搭建一个综合性的协同办公平台。全校的教</w:t>
      </w:r>
      <w:r>
        <w:rPr>
          <w:rFonts w:hint="eastAsia" w:ascii="宋体" w:hAnsi="宋体" w:eastAsia="宋体" w:cs="宋体"/>
          <w:color w:val="auto"/>
          <w:sz w:val="24"/>
          <w:szCs w:val="24"/>
          <w:highlight w:val="none"/>
          <w:lang w:eastAsia="zh-CN"/>
        </w:rPr>
        <w:t>科研</w:t>
      </w:r>
      <w:r>
        <w:rPr>
          <w:rFonts w:hint="eastAsia" w:ascii="宋体" w:hAnsi="宋体" w:eastAsia="宋体" w:cs="宋体"/>
          <w:color w:val="auto"/>
          <w:sz w:val="24"/>
          <w:szCs w:val="24"/>
          <w:highlight w:val="none"/>
        </w:rPr>
        <w:t>人员、二级单位、</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管理部门、主管领导等不同身份的用户能够进入统一的工作平台协同办公，实现</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工作中的项目负责人、二级单位、</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管理部门、校领导等分层管理体系。</w:t>
      </w:r>
    </w:p>
    <w:p w14:paraId="1B28FF86">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2.形成全校集中统一的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信息数据库</w:t>
      </w:r>
    </w:p>
    <w:p w14:paraId="0EDF89CE">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管理信息系统，建立一套</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信息数据规范，以及数据的采集、审核和归档机制，使得全校的各项</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信息能够实时准确地进入统一的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信息数据库中。建设高质量的全校集中统一的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信息数据库，是现代</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管理工作的重要基础。</w:t>
      </w:r>
    </w:p>
    <w:p w14:paraId="30B65A4F">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3.形成以项目管理为核心，梳理和优化</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业务管理流程</w:t>
      </w:r>
    </w:p>
    <w:p w14:paraId="5EB3648F">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管理信息系统的开发和实施过程，也是</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管理业务的梳理和优化过程。以项目管理为业务核心，从项目申报、立项、实施、变更、中检、结题等环节，实现</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项目的全生命周期管理。</w:t>
      </w:r>
    </w:p>
    <w:p w14:paraId="2325B651">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4.提供财务系统对接服务</w:t>
      </w:r>
    </w:p>
    <w:p w14:paraId="78CFF845">
      <w:pPr>
        <w:ind w:firstLine="48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实现</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项目线上报销一体化服务，接入财务报销数据，实现</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经费执行情况跟踪。</w:t>
      </w:r>
    </w:p>
    <w:p w14:paraId="16044A48">
      <w:pPr>
        <w:ind w:firstLine="48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5.提供</w:t>
      </w:r>
      <w:r>
        <w:rPr>
          <w:rFonts w:hint="eastAsia" w:ascii="宋体" w:hAnsi="宋体" w:eastAsia="宋体" w:cs="宋体"/>
          <w:color w:val="auto"/>
          <w:sz w:val="24"/>
          <w:szCs w:val="24"/>
          <w:highlight w:val="none"/>
          <w:lang w:val="en-US" w:eastAsia="zh-CN"/>
        </w:rPr>
        <w:t>国资系统对接服务</w:t>
      </w:r>
    </w:p>
    <w:p w14:paraId="0B4A7911">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实现对接</w:t>
      </w:r>
      <w:r>
        <w:rPr>
          <w:rFonts w:hint="eastAsia" w:ascii="宋体" w:hAnsi="宋体" w:cs="宋体"/>
          <w:color w:val="auto"/>
          <w:sz w:val="24"/>
          <w:szCs w:val="24"/>
          <w:highlight w:val="none"/>
          <w:lang w:val="en-US" w:eastAsia="zh-CN"/>
        </w:rPr>
        <w:t>学</w:t>
      </w:r>
      <w:r>
        <w:rPr>
          <w:rFonts w:hint="eastAsia" w:ascii="宋体" w:hAnsi="宋体" w:eastAsia="宋体" w:cs="宋体"/>
          <w:color w:val="auto"/>
          <w:sz w:val="24"/>
          <w:szCs w:val="24"/>
          <w:highlight w:val="none"/>
          <w:lang w:val="en-US" w:eastAsia="zh-CN"/>
        </w:rPr>
        <w:t>校智慧资产系统，</w:t>
      </w:r>
      <w:r>
        <w:rPr>
          <w:rFonts w:hint="eastAsia" w:ascii="宋体" w:hAnsi="宋体" w:eastAsia="宋体" w:cs="宋体"/>
          <w:color w:val="auto"/>
          <w:sz w:val="24"/>
          <w:szCs w:val="24"/>
          <w:highlight w:val="none"/>
        </w:rPr>
        <w:t>需满足学校教科研</w:t>
      </w:r>
      <w:r>
        <w:rPr>
          <w:rFonts w:hint="eastAsia" w:ascii="宋体" w:hAnsi="宋体" w:eastAsia="宋体" w:cs="宋体"/>
          <w:color w:val="auto"/>
          <w:sz w:val="24"/>
          <w:szCs w:val="24"/>
          <w:highlight w:val="none"/>
          <w:lang w:val="en-US" w:eastAsia="zh-CN"/>
        </w:rPr>
        <w:t>项目中购置的</w:t>
      </w:r>
      <w:r>
        <w:rPr>
          <w:rFonts w:hint="eastAsia" w:ascii="宋体" w:hAnsi="宋体" w:eastAsia="宋体" w:cs="宋体"/>
          <w:color w:val="auto"/>
          <w:sz w:val="24"/>
          <w:szCs w:val="24"/>
          <w:highlight w:val="none"/>
        </w:rPr>
        <w:t>仪器设备、试剂耗材、项目资产全周期一体化管理要求。</w:t>
      </w:r>
    </w:p>
    <w:p w14:paraId="36291EE6">
      <w:pPr>
        <w:numPr>
          <w:ilvl w:val="0"/>
          <w:numId w:val="2"/>
        </w:numPr>
        <w:ind w:firstLine="480"/>
        <w:rPr>
          <w:rFonts w:ascii="宋体" w:hAnsi="宋体" w:eastAsia="宋体" w:cs="宋体"/>
          <w:color w:val="FF0000"/>
          <w:sz w:val="24"/>
          <w:szCs w:val="24"/>
        </w:rPr>
      </w:pPr>
      <w:r>
        <w:rPr>
          <w:rFonts w:ascii="宋体" w:hAnsi="宋体" w:eastAsia="宋体" w:cs="宋体"/>
          <w:color w:val="FF0000"/>
          <w:sz w:val="24"/>
          <w:szCs w:val="24"/>
        </w:rPr>
        <w:t>提供人事系统对接服务</w:t>
      </w:r>
      <w:r>
        <w:rPr>
          <w:rFonts w:hint="eastAsia" w:ascii="宋体" w:hAnsi="宋体" w:cs="宋体"/>
          <w:color w:val="FF0000"/>
          <w:sz w:val="24"/>
          <w:szCs w:val="24"/>
          <w:lang w:eastAsia="zh-CN"/>
        </w:rPr>
        <w:t>，</w:t>
      </w:r>
      <w:r>
        <w:rPr>
          <w:rFonts w:ascii="宋体" w:hAnsi="宋体" w:eastAsia="宋体" w:cs="宋体"/>
          <w:color w:val="FF0000"/>
          <w:sz w:val="24"/>
          <w:szCs w:val="24"/>
        </w:rPr>
        <w:t>实现对接学校人事管理系统，完成教职工人事基础数据同步，实现教科研项目人员信息联动校验，满足教科研项目人事信息、项目业务全周期一体化管理，保障人事与教科研业务数据同源一致。</w:t>
      </w:r>
    </w:p>
    <w:p w14:paraId="5D746DC5">
      <w:pPr>
        <w:numPr>
          <w:ilvl w:val="0"/>
          <w:numId w:val="0"/>
        </w:numPr>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.提供强大的数据查询和报表分析功能，为宏观管理提供决策辅助 </w:t>
      </w:r>
    </w:p>
    <w:p w14:paraId="56A3FE66">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在系统中提供对数据进行多角度、多维度的查询检索，以及数据统计和报表分析功能，充分挖掘集中统一数据库的作用，为全校的宏观管理提供数据支持和决策辅助。</w:t>
      </w:r>
    </w:p>
    <w:p w14:paraId="6C63751B">
      <w:pPr>
        <w:ind w:firstLine="48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.完成</w:t>
      </w:r>
      <w:r>
        <w:rPr>
          <w:rFonts w:hint="eastAsia" w:ascii="宋体" w:hAnsi="宋体" w:cs="宋体"/>
          <w:color w:val="auto"/>
          <w:sz w:val="24"/>
          <w:szCs w:val="24"/>
          <w:highlight w:val="none"/>
          <w:lang w:eastAsia="zh-CN"/>
        </w:rPr>
        <w:t>教育部科技、社科统计工作</w:t>
      </w:r>
    </w:p>
    <w:p w14:paraId="3E9075C9">
      <w:pPr>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基于系统管理数据，完成教育部科技、社科统计工作。</w:t>
      </w:r>
    </w:p>
    <w:p w14:paraId="470365ED">
      <w:pPr>
        <w:rPr>
          <w:rFonts w:hint="eastAsia" w:ascii="宋体" w:hAnsi="宋体" w:eastAsia="宋体" w:cs="宋体"/>
          <w:b w:val="0"/>
          <w:bCs w:val="0"/>
          <w:color w:val="auto"/>
          <w:sz w:val="24"/>
          <w:szCs w:val="24"/>
          <w:highlight w:val="none"/>
          <w:lang w:val="zh-CN"/>
        </w:rPr>
      </w:pPr>
      <w:r>
        <w:rPr>
          <w:rFonts w:hint="eastAsia" w:ascii="宋体" w:hAnsi="宋体" w:eastAsia="宋体" w:cs="宋体"/>
          <w:b w:val="0"/>
          <w:bCs w:val="0"/>
          <w:color w:val="auto"/>
          <w:sz w:val="24"/>
          <w:szCs w:val="24"/>
          <w:highlight w:val="none"/>
          <w:lang w:val="en-US" w:eastAsia="zh-CN"/>
        </w:rPr>
        <w:t>4.2</w:t>
      </w:r>
      <w:r>
        <w:rPr>
          <w:rFonts w:hint="eastAsia" w:ascii="宋体" w:hAnsi="宋体" w:eastAsia="宋体" w:cs="宋体"/>
          <w:b w:val="0"/>
          <w:bCs w:val="0"/>
          <w:color w:val="auto"/>
          <w:sz w:val="24"/>
          <w:szCs w:val="24"/>
          <w:highlight w:val="none"/>
          <w:lang w:val="zh-CN"/>
        </w:rPr>
        <w:t>用户描述</w:t>
      </w:r>
    </w:p>
    <w:p w14:paraId="686A20FE">
      <w:pPr>
        <w:ind w:firstLine="48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教科研管理信息系统</w:t>
      </w:r>
      <w:r>
        <w:rPr>
          <w:rFonts w:hint="eastAsia" w:ascii="宋体" w:hAnsi="宋体" w:eastAsia="宋体" w:cs="宋体"/>
          <w:color w:val="auto"/>
          <w:sz w:val="24"/>
          <w:szCs w:val="24"/>
          <w:highlight w:val="none"/>
        </w:rPr>
        <w:t>是全校范围内的网络管理平台，面向所有</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人员和</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单位开放。各用户在系统中可</w:t>
      </w:r>
      <w:r>
        <w:rPr>
          <w:rFonts w:hint="eastAsia" w:ascii="宋体" w:hAnsi="宋体" w:eastAsia="宋体" w:cs="宋体"/>
          <w:color w:val="auto"/>
          <w:sz w:val="24"/>
          <w:szCs w:val="24"/>
          <w:highlight w:val="none"/>
          <w:lang w:eastAsia="zh-CN"/>
        </w:rPr>
        <w:t>承担</w:t>
      </w:r>
      <w:r>
        <w:rPr>
          <w:rFonts w:hint="eastAsia" w:ascii="宋体" w:hAnsi="宋体" w:eastAsia="宋体" w:cs="宋体"/>
          <w:color w:val="auto"/>
          <w:sz w:val="24"/>
          <w:szCs w:val="24"/>
          <w:highlight w:val="none"/>
        </w:rPr>
        <w:t>校领导、</w:t>
      </w:r>
      <w:r>
        <w:rPr>
          <w:rFonts w:hint="eastAsia" w:ascii="宋体" w:hAnsi="宋体" w:eastAsia="宋体" w:cs="宋体"/>
          <w:color w:val="auto"/>
          <w:sz w:val="24"/>
          <w:szCs w:val="24"/>
          <w:highlight w:val="none"/>
          <w:lang w:eastAsia="zh-CN"/>
        </w:rPr>
        <w:t>教科研管理部门人员、</w:t>
      </w:r>
      <w:r>
        <w:rPr>
          <w:rFonts w:hint="eastAsia" w:ascii="宋体" w:hAnsi="宋体" w:eastAsia="宋体" w:cs="宋体"/>
          <w:color w:val="auto"/>
          <w:sz w:val="24"/>
          <w:szCs w:val="24"/>
          <w:highlight w:val="none"/>
        </w:rPr>
        <w:t>各</w:t>
      </w:r>
      <w:r>
        <w:rPr>
          <w:rFonts w:hint="eastAsia" w:ascii="宋体" w:hAnsi="宋体" w:eastAsia="宋体" w:cs="宋体"/>
          <w:color w:val="auto"/>
          <w:sz w:val="24"/>
          <w:szCs w:val="24"/>
          <w:highlight w:val="none"/>
          <w:lang w:eastAsia="zh-CN"/>
        </w:rPr>
        <w:t>教科研</w:t>
      </w:r>
      <w:r>
        <w:rPr>
          <w:rFonts w:hint="eastAsia" w:ascii="宋体" w:hAnsi="宋体" w:eastAsia="宋体" w:cs="宋体"/>
          <w:color w:val="auto"/>
          <w:sz w:val="24"/>
          <w:szCs w:val="24"/>
          <w:highlight w:val="none"/>
        </w:rPr>
        <w:t>单位</w:t>
      </w:r>
      <w:r>
        <w:rPr>
          <w:rFonts w:hint="eastAsia" w:ascii="宋体" w:hAnsi="宋体" w:eastAsia="宋体" w:cs="宋体"/>
          <w:color w:val="auto"/>
          <w:sz w:val="24"/>
          <w:szCs w:val="24"/>
          <w:highlight w:val="none"/>
          <w:lang w:eastAsia="zh-CN"/>
        </w:rPr>
        <w:t>人员、教科研</w:t>
      </w:r>
      <w:r>
        <w:rPr>
          <w:rFonts w:hint="eastAsia" w:ascii="宋体" w:hAnsi="宋体" w:eastAsia="宋体" w:cs="宋体"/>
          <w:color w:val="auto"/>
          <w:sz w:val="24"/>
          <w:szCs w:val="24"/>
          <w:highlight w:val="none"/>
        </w:rPr>
        <w:t>人员、系统管理员等角色</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其中</w:t>
      </w:r>
      <w:r>
        <w:rPr>
          <w:rFonts w:hint="eastAsia" w:ascii="宋体" w:hAnsi="宋体" w:eastAsia="宋体" w:cs="宋体"/>
          <w:color w:val="auto"/>
          <w:sz w:val="24"/>
          <w:szCs w:val="24"/>
          <w:highlight w:val="none"/>
          <w:lang w:eastAsia="zh-CN"/>
        </w:rPr>
        <w:t>教科研管理部门</w:t>
      </w:r>
      <w:r>
        <w:rPr>
          <w:rFonts w:hint="eastAsia" w:ascii="宋体" w:hAnsi="宋体" w:eastAsia="宋体" w:cs="宋体"/>
          <w:color w:val="auto"/>
          <w:sz w:val="24"/>
          <w:szCs w:val="24"/>
          <w:highlight w:val="none"/>
        </w:rPr>
        <w:t>又可以细分为项目管理员、成果管理员、经费管理员等多种角色。不同角色的用户进入系统协同办公</w:t>
      </w:r>
      <w:r>
        <w:rPr>
          <w:rFonts w:hint="eastAsia" w:ascii="宋体" w:hAnsi="宋体" w:eastAsia="宋体" w:cs="宋体"/>
          <w:color w:val="auto"/>
          <w:sz w:val="24"/>
          <w:szCs w:val="24"/>
          <w:highlight w:val="none"/>
          <w:lang w:val="zh-CN"/>
        </w:rPr>
        <w:t>。</w:t>
      </w:r>
    </w:p>
    <w:p w14:paraId="0ACD4104">
      <w:pPr>
        <w:pStyle w:val="5"/>
        <w:keepNext/>
        <w:keepLines/>
        <w:pageBreakBefore w:val="0"/>
        <w:widowControl w:val="0"/>
        <w:kinsoku/>
        <w:wordWrap/>
        <w:overflowPunct/>
        <w:topLinePunct w:val="0"/>
        <w:autoSpaceDE/>
        <w:autoSpaceDN/>
        <w:bidi w:val="0"/>
        <w:adjustRightInd w:val="0"/>
        <w:snapToGrid/>
        <w:spacing w:before="0" w:after="0"/>
        <w:ind w:firstLineChars="0"/>
        <w:textAlignment w:val="auto"/>
        <w:rPr>
          <w:rFonts w:hint="eastAsia"/>
          <w:b w:val="0"/>
          <w:bCs w:val="0"/>
          <w:lang w:val="en-US" w:eastAsia="zh-CN"/>
        </w:rPr>
      </w:pPr>
      <w:r>
        <w:rPr>
          <w:rFonts w:hint="eastAsia" w:ascii="宋体" w:hAnsi="宋体" w:cs="宋体"/>
          <w:b w:val="0"/>
          <w:bCs w:val="0"/>
          <w:color w:val="auto"/>
          <w:sz w:val="24"/>
          <w:highlight w:val="none"/>
          <w:lang w:val="en-US" w:eastAsia="zh-CN"/>
        </w:rPr>
        <w:t>4.3</w:t>
      </w:r>
      <w:r>
        <w:rPr>
          <w:rFonts w:hint="eastAsia" w:ascii="宋体" w:hAnsi="宋体" w:cs="宋体"/>
          <w:b w:val="0"/>
          <w:bCs w:val="0"/>
          <w:color w:val="auto"/>
          <w:sz w:val="24"/>
          <w:highlight w:val="none"/>
          <w:lang w:val="zh-CN"/>
        </w:rPr>
        <w:t>功能模块详细要求</w:t>
      </w:r>
    </w:p>
    <w:tbl>
      <w:tblPr>
        <w:tblStyle w:val="40"/>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9"/>
        <w:gridCol w:w="2076"/>
        <w:gridCol w:w="7134"/>
      </w:tblGrid>
      <w:tr w14:paraId="6B8A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29" w:type="dxa"/>
            <w:shd w:val="clear" w:color="auto" w:fill="F2F2F2"/>
            <w:vAlign w:val="center"/>
          </w:tcPr>
          <w:p w14:paraId="437B26F6">
            <w:pPr>
              <w:widowControl/>
              <w:snapToGrid w:val="0"/>
              <w:spacing w:line="240" w:lineRule="auto"/>
              <w:ind w:firstLine="0" w:firstLineChars="0"/>
              <w:jc w:val="both"/>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子项</w:t>
            </w:r>
          </w:p>
        </w:tc>
        <w:tc>
          <w:tcPr>
            <w:tcW w:w="2076" w:type="dxa"/>
            <w:shd w:val="clear" w:color="auto" w:fill="F2F2F2"/>
            <w:vAlign w:val="center"/>
          </w:tcPr>
          <w:p w14:paraId="66928727">
            <w:pPr>
              <w:widowControl/>
              <w:snapToGrid w:val="0"/>
              <w:spacing w:line="240" w:lineRule="auto"/>
              <w:ind w:firstLine="0" w:firstLineChars="0"/>
              <w:jc w:val="both"/>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功能模块</w:t>
            </w:r>
          </w:p>
        </w:tc>
        <w:tc>
          <w:tcPr>
            <w:tcW w:w="7134" w:type="dxa"/>
            <w:shd w:val="clear" w:color="auto" w:fill="F2F2F2"/>
            <w:vAlign w:val="center"/>
          </w:tcPr>
          <w:p w14:paraId="1E57D091">
            <w:pPr>
              <w:widowControl/>
              <w:snapToGrid w:val="0"/>
              <w:spacing w:line="240" w:lineRule="auto"/>
              <w:ind w:firstLine="0" w:firstLineChars="0"/>
              <w:jc w:val="both"/>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需求描述</w:t>
            </w:r>
          </w:p>
        </w:tc>
      </w:tr>
      <w:tr w14:paraId="16BA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7DA6418B">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门户首页</w:t>
            </w:r>
          </w:p>
        </w:tc>
        <w:tc>
          <w:tcPr>
            <w:tcW w:w="2076" w:type="dxa"/>
            <w:vAlign w:val="center"/>
          </w:tcPr>
          <w:p w14:paraId="6E2D5A65">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管理门户</w:t>
            </w:r>
          </w:p>
        </w:tc>
        <w:tc>
          <w:tcPr>
            <w:tcW w:w="7134" w:type="dxa"/>
            <w:vAlign w:val="center"/>
          </w:tcPr>
          <w:p w14:paraId="5CF1B9EB">
            <w:pPr>
              <w:ind w:firstLine="48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集成通知公告、快捷功能入口、审批流程及项目卡片，帮助管理者掌握信息、高效处理</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事务。</w:t>
            </w:r>
            <w:r>
              <w:rPr>
                <w:rFonts w:hint="eastAsia" w:ascii="宋体" w:hAnsi="宋体" w:cs="宋体"/>
                <w:color w:val="auto"/>
                <w:sz w:val="21"/>
                <w:szCs w:val="21"/>
                <w:highlight w:val="none"/>
                <w:lang w:val="en-US" w:eastAsia="zh-CN"/>
              </w:rPr>
              <w:t>设置两个管理端口，便于教研、科研分类别管理。</w:t>
            </w:r>
          </w:p>
        </w:tc>
      </w:tr>
      <w:tr w14:paraId="0233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3FEB3415">
            <w:pPr>
              <w:ind w:firstLine="480"/>
              <w:jc w:val="both"/>
              <w:rPr>
                <w:rFonts w:hint="eastAsia" w:ascii="宋体" w:hAnsi="宋体" w:eastAsia="宋体" w:cs="宋体"/>
                <w:color w:val="auto"/>
                <w:sz w:val="21"/>
                <w:szCs w:val="21"/>
                <w:highlight w:val="none"/>
              </w:rPr>
            </w:pPr>
          </w:p>
        </w:tc>
        <w:tc>
          <w:tcPr>
            <w:tcW w:w="2076" w:type="dxa"/>
            <w:vAlign w:val="center"/>
          </w:tcPr>
          <w:p w14:paraId="3D39E44B">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服务大厅</w:t>
            </w:r>
          </w:p>
        </w:tc>
        <w:tc>
          <w:tcPr>
            <w:tcW w:w="7134" w:type="dxa"/>
            <w:vAlign w:val="center"/>
          </w:tcPr>
          <w:p w14:paraId="70F7E2D7">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大厅集操作、资料与信息展示于一体，涵盖项目全流程操作、政策指南及项目数据统计。操作功能区提供各类项目多阶段流程操作；辅助资料区有政策公告、申报指南等实用资料；信息展示区则呈现全类型项目数量、各阶段占比及经费收支概况等信息，方便</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工作开展。</w:t>
            </w:r>
          </w:p>
        </w:tc>
      </w:tr>
      <w:tr w14:paraId="5185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0AC64C25">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需求管理</w:t>
            </w:r>
          </w:p>
        </w:tc>
        <w:tc>
          <w:tcPr>
            <w:tcW w:w="2076" w:type="dxa"/>
            <w:vAlign w:val="center"/>
          </w:tcPr>
          <w:p w14:paraId="7463DC57">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需求征集</w:t>
            </w:r>
          </w:p>
        </w:tc>
        <w:tc>
          <w:tcPr>
            <w:tcW w:w="7134" w:type="dxa"/>
            <w:vAlign w:val="center"/>
          </w:tcPr>
          <w:p w14:paraId="3608D896">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需求征集功能，</w:t>
            </w:r>
            <w:r>
              <w:rPr>
                <w:rFonts w:hint="eastAsia" w:ascii="宋体" w:hAnsi="宋体" w:eastAsia="宋体" w:cs="宋体"/>
                <w:color w:val="auto"/>
                <w:sz w:val="21"/>
                <w:szCs w:val="21"/>
                <w:highlight w:val="none"/>
                <w:lang w:eastAsia="zh-CN"/>
              </w:rPr>
              <w:t>用户可在</w:t>
            </w:r>
            <w:r>
              <w:rPr>
                <w:rFonts w:hint="eastAsia" w:ascii="宋体" w:hAnsi="宋体" w:eastAsia="宋体" w:cs="宋体"/>
                <w:color w:val="auto"/>
                <w:sz w:val="21"/>
                <w:szCs w:val="21"/>
                <w:highlight w:val="none"/>
              </w:rPr>
              <w:t>需求库或征集通知</w:t>
            </w:r>
            <w:r>
              <w:rPr>
                <w:rFonts w:hint="eastAsia" w:ascii="宋体" w:hAnsi="宋体" w:eastAsia="宋体" w:cs="宋体"/>
                <w:color w:val="auto"/>
                <w:sz w:val="21"/>
                <w:szCs w:val="21"/>
                <w:highlight w:val="none"/>
                <w:lang w:eastAsia="zh-CN"/>
              </w:rPr>
              <w:t>内</w:t>
            </w:r>
            <w:r>
              <w:rPr>
                <w:rFonts w:hint="eastAsia" w:ascii="宋体" w:hAnsi="宋体" w:eastAsia="宋体" w:cs="宋体"/>
                <w:color w:val="auto"/>
                <w:sz w:val="21"/>
                <w:szCs w:val="21"/>
                <w:highlight w:val="none"/>
              </w:rPr>
              <w:t>发起征集流程，还能多选需求</w:t>
            </w:r>
            <w:r>
              <w:rPr>
                <w:rFonts w:hint="eastAsia" w:ascii="宋体" w:hAnsi="宋体" w:eastAsia="宋体" w:cs="宋体"/>
                <w:color w:val="auto"/>
                <w:sz w:val="21"/>
                <w:szCs w:val="21"/>
                <w:highlight w:val="none"/>
                <w:lang w:eastAsia="zh-CN"/>
              </w:rPr>
              <w:t>并发起</w:t>
            </w:r>
            <w:r>
              <w:rPr>
                <w:rFonts w:hint="eastAsia" w:ascii="宋体" w:hAnsi="宋体" w:eastAsia="宋体" w:cs="宋体"/>
                <w:color w:val="auto"/>
                <w:sz w:val="21"/>
                <w:szCs w:val="21"/>
                <w:highlight w:val="none"/>
              </w:rPr>
              <w:t>评审流程。涵盖征集范围、时间等信息，明确不同流程的状态与结果，为</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选题论证等后续环节奠定基础。</w:t>
            </w:r>
          </w:p>
        </w:tc>
      </w:tr>
      <w:tr w14:paraId="11BA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3C731EF0">
            <w:pPr>
              <w:ind w:firstLine="480"/>
              <w:jc w:val="both"/>
              <w:rPr>
                <w:rFonts w:hint="eastAsia" w:ascii="宋体" w:hAnsi="宋体" w:eastAsia="宋体" w:cs="宋体"/>
                <w:color w:val="auto"/>
                <w:sz w:val="21"/>
                <w:szCs w:val="21"/>
                <w:highlight w:val="none"/>
              </w:rPr>
            </w:pPr>
          </w:p>
        </w:tc>
        <w:tc>
          <w:tcPr>
            <w:tcW w:w="2076" w:type="dxa"/>
            <w:vAlign w:val="center"/>
          </w:tcPr>
          <w:p w14:paraId="2776BFF2">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需求库</w:t>
            </w:r>
          </w:p>
        </w:tc>
        <w:tc>
          <w:tcPr>
            <w:tcW w:w="7134" w:type="dxa"/>
            <w:vAlign w:val="center"/>
          </w:tcPr>
          <w:p w14:paraId="11AE69D4">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可批量发起需求征集、评审流程，每条需求还能发起选题论证流程。记录需求 ID、名称、类型等信息，以及各流程的关键数据，为</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需求管理提供支撑。</w:t>
            </w:r>
          </w:p>
        </w:tc>
      </w:tr>
      <w:tr w14:paraId="6C1F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39A800B0">
            <w:pPr>
              <w:ind w:firstLine="480"/>
              <w:jc w:val="both"/>
              <w:rPr>
                <w:rFonts w:hint="eastAsia" w:ascii="宋体" w:hAnsi="宋体" w:eastAsia="宋体" w:cs="宋体"/>
                <w:color w:val="auto"/>
                <w:sz w:val="21"/>
                <w:szCs w:val="21"/>
                <w:highlight w:val="none"/>
              </w:rPr>
            </w:pPr>
          </w:p>
        </w:tc>
        <w:tc>
          <w:tcPr>
            <w:tcW w:w="2076" w:type="dxa"/>
            <w:vAlign w:val="center"/>
          </w:tcPr>
          <w:p w14:paraId="7D2F3B7F">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申报指南</w:t>
            </w:r>
          </w:p>
        </w:tc>
        <w:tc>
          <w:tcPr>
            <w:tcW w:w="7134" w:type="dxa"/>
            <w:vAlign w:val="center"/>
          </w:tcPr>
          <w:p w14:paraId="180A75FE">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可新建不同类型的指南，明确申报要求、内容等。新建后能发布到门户，便于</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人员获取申报所需信息。</w:t>
            </w:r>
          </w:p>
        </w:tc>
      </w:tr>
      <w:tr w14:paraId="47BD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37014190">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项目管理</w:t>
            </w:r>
          </w:p>
        </w:tc>
        <w:tc>
          <w:tcPr>
            <w:tcW w:w="2076" w:type="dxa"/>
            <w:vAlign w:val="center"/>
          </w:tcPr>
          <w:p w14:paraId="463CFEB7">
            <w:pPr>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省级及以上</w:t>
            </w:r>
            <w:r>
              <w:rPr>
                <w:rFonts w:hint="eastAsia" w:ascii="宋体" w:hAnsi="宋体" w:eastAsia="宋体" w:cs="宋体"/>
                <w:color w:val="auto"/>
                <w:sz w:val="21"/>
                <w:szCs w:val="21"/>
                <w:highlight w:val="none"/>
              </w:rPr>
              <w:t>纵向</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项目</w:t>
            </w:r>
          </w:p>
        </w:tc>
        <w:tc>
          <w:tcPr>
            <w:tcW w:w="7134" w:type="dxa"/>
            <w:vAlign w:val="center"/>
          </w:tcPr>
          <w:p w14:paraId="2B0C38AB">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1.项目看板：</w:t>
            </w:r>
          </w:p>
          <w:p w14:paraId="0EE6BC76">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集中展示纵向</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项目的基本信息、项目阶段、项目状态等情况，并可通过快捷操作发起项目变更、中期检查</w:t>
            </w:r>
            <w:r>
              <w:rPr>
                <w:rFonts w:hint="eastAsia" w:ascii="宋体" w:hAnsi="宋体" w:eastAsia="宋体" w:cs="宋体"/>
                <w:color w:val="auto"/>
                <w:sz w:val="21"/>
                <w:szCs w:val="21"/>
                <w:highlight w:val="none"/>
                <w:lang w:eastAsia="zh-CN"/>
              </w:rPr>
              <w:t>、结题验收</w:t>
            </w:r>
            <w:r>
              <w:rPr>
                <w:rFonts w:hint="eastAsia" w:ascii="宋体" w:hAnsi="宋体" w:eastAsia="宋体" w:cs="宋体"/>
                <w:color w:val="auto"/>
                <w:sz w:val="21"/>
                <w:szCs w:val="21"/>
                <w:highlight w:val="none"/>
              </w:rPr>
              <w:t>等操作。</w:t>
            </w:r>
          </w:p>
          <w:p w14:paraId="44D8A128">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2.项目申报：</w:t>
            </w:r>
          </w:p>
          <w:p w14:paraId="45AB4E67">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人员可发起申报流程，上传</w:t>
            </w:r>
            <w:r>
              <w:rPr>
                <w:rFonts w:hint="eastAsia" w:ascii="宋体" w:hAnsi="宋体" w:eastAsia="宋体" w:cs="宋体"/>
                <w:color w:val="auto"/>
                <w:sz w:val="21"/>
                <w:szCs w:val="21"/>
                <w:highlight w:val="none"/>
                <w:lang w:eastAsia="zh-CN"/>
              </w:rPr>
              <w:t>已填写的、包含申报</w:t>
            </w:r>
            <w:r>
              <w:rPr>
                <w:rFonts w:hint="eastAsia" w:ascii="宋体" w:hAnsi="宋体" w:eastAsia="宋体" w:cs="宋体"/>
                <w:color w:val="auto"/>
                <w:sz w:val="21"/>
                <w:szCs w:val="21"/>
                <w:highlight w:val="none"/>
              </w:rPr>
              <w:t>书解析字</w:t>
            </w:r>
            <w:r>
              <w:rPr>
                <w:rFonts w:hint="eastAsia" w:ascii="宋体" w:hAnsi="宋体" w:eastAsia="宋体" w:cs="宋体"/>
                <w:color w:val="auto"/>
                <w:sz w:val="21"/>
                <w:szCs w:val="21"/>
                <w:highlight w:val="none"/>
                <w:lang w:eastAsia="zh-CN"/>
              </w:rPr>
              <w:t>段的表单</w:t>
            </w:r>
            <w:r>
              <w:rPr>
                <w:rFonts w:hint="eastAsia" w:ascii="宋体" w:hAnsi="宋体" w:eastAsia="宋体" w:cs="宋体"/>
                <w:color w:val="auto"/>
                <w:sz w:val="21"/>
                <w:szCs w:val="21"/>
                <w:highlight w:val="none"/>
              </w:rPr>
              <w:t>。流程含形式审查、初审等环节，</w:t>
            </w:r>
            <w:r>
              <w:rPr>
                <w:rFonts w:hint="eastAsia" w:ascii="宋体" w:hAnsi="宋体" w:eastAsia="宋体" w:cs="宋体"/>
                <w:color w:val="auto"/>
                <w:sz w:val="21"/>
                <w:szCs w:val="21"/>
                <w:highlight w:val="none"/>
                <w:lang w:val="en-US" w:eastAsia="zh-CN"/>
              </w:rPr>
              <w:t>通过</w:t>
            </w:r>
            <w:r>
              <w:rPr>
                <w:rFonts w:hint="eastAsia" w:ascii="宋体" w:hAnsi="宋体" w:eastAsia="宋体" w:cs="宋体"/>
                <w:color w:val="auto"/>
                <w:sz w:val="21"/>
                <w:szCs w:val="21"/>
                <w:highlight w:val="none"/>
              </w:rPr>
              <w:t>节点更新申报状态，记录申报人、预算等信息。</w:t>
            </w:r>
          </w:p>
          <w:p w14:paraId="57EB9B36">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3.立项评审：</w:t>
            </w:r>
          </w:p>
          <w:p w14:paraId="04AE3FA3">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可发起立项流程，对申报项目的研究价值、可行性等</w:t>
            </w:r>
            <w:r>
              <w:rPr>
                <w:rFonts w:hint="eastAsia" w:ascii="宋体" w:hAnsi="宋体" w:eastAsia="宋体" w:cs="宋体"/>
                <w:color w:val="auto"/>
                <w:sz w:val="21"/>
                <w:szCs w:val="21"/>
                <w:highlight w:val="none"/>
                <w:lang w:eastAsia="zh-CN"/>
              </w:rPr>
              <w:t>进行评估</w:t>
            </w:r>
            <w:r>
              <w:rPr>
                <w:rFonts w:hint="eastAsia" w:ascii="宋体" w:hAnsi="宋体" w:eastAsia="宋体" w:cs="宋体"/>
                <w:color w:val="auto"/>
                <w:sz w:val="21"/>
                <w:szCs w:val="21"/>
                <w:highlight w:val="none"/>
              </w:rPr>
              <w:t>。评审意见会决定立项状态，记录项目名称、负责人、经费等关键信息，为项目开展把关。</w:t>
            </w:r>
          </w:p>
          <w:p w14:paraId="2BCBFB9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4.任务书评审：</w:t>
            </w:r>
          </w:p>
          <w:p w14:paraId="4B7FFCF0">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项目立项评审通过后，需要对项目成员、合作单位、课题分解、经费预算等详细项目信息进行</w:t>
            </w:r>
            <w:r>
              <w:rPr>
                <w:rFonts w:hint="eastAsia" w:ascii="宋体" w:hAnsi="宋体" w:cs="宋体"/>
                <w:color w:val="auto"/>
                <w:sz w:val="21"/>
                <w:szCs w:val="21"/>
                <w:highlight w:val="none"/>
                <w:lang w:eastAsia="zh-CN"/>
              </w:rPr>
              <w:t>编制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形成项目任务书并对项目任务书进行</w:t>
            </w:r>
            <w:r>
              <w:rPr>
                <w:rFonts w:hint="eastAsia" w:ascii="宋体" w:hAnsi="宋体" w:cs="宋体"/>
                <w:color w:val="auto"/>
                <w:sz w:val="21"/>
                <w:szCs w:val="21"/>
                <w:highlight w:val="none"/>
                <w:lang w:eastAsia="zh-CN"/>
              </w:rPr>
              <w:t>评审。</w:t>
            </w:r>
          </w:p>
          <w:p w14:paraId="081773A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5.中期检查：</w:t>
            </w:r>
          </w:p>
          <w:p w14:paraId="06BCC02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可发起中期检查流程，</w:t>
            </w:r>
            <w:r>
              <w:rPr>
                <w:rFonts w:hint="eastAsia" w:ascii="宋体" w:hAnsi="宋体" w:eastAsia="宋体" w:cs="宋体"/>
                <w:color w:val="auto"/>
                <w:sz w:val="21"/>
                <w:szCs w:val="21"/>
                <w:highlight w:val="none"/>
                <w:lang w:eastAsia="zh-CN"/>
              </w:rPr>
              <w:t>该流程</w:t>
            </w:r>
            <w:r>
              <w:rPr>
                <w:rFonts w:hint="eastAsia" w:ascii="宋体" w:hAnsi="宋体" w:eastAsia="宋体" w:cs="宋体"/>
                <w:color w:val="auto"/>
                <w:sz w:val="21"/>
                <w:szCs w:val="21"/>
                <w:highlight w:val="none"/>
              </w:rPr>
              <w:t>会归集到项目卡片。操作含整改记录，记录中检日期、意见等信息，判断项目是否按计划推进。</w:t>
            </w:r>
          </w:p>
          <w:p w14:paraId="1224AD5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6.项目变更：</w:t>
            </w:r>
          </w:p>
          <w:p w14:paraId="241B21F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可发起变更流程，涵盖研究内容、周期等变更类型。记录变更原因、前后信息与审批意见，流程更新</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归集到项目卡片，保障项目动态调整规范有序。</w:t>
            </w:r>
          </w:p>
          <w:p w14:paraId="3FF323D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7.结题验收：</w:t>
            </w:r>
          </w:p>
          <w:p w14:paraId="2D047E4F">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可发起结项评审流程，</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人员需上传结项报告、成果清单并说明经费使用情况。经评审给出通过或不通过意见，更新项目结项状态，为项目画上句号。</w:t>
            </w:r>
          </w:p>
          <w:p w14:paraId="121ED76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8.支持通过接口对接或导入等方式与安徽省高校科研平台线上服务大厅对接。</w:t>
            </w:r>
          </w:p>
        </w:tc>
      </w:tr>
      <w:tr w14:paraId="6929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5BBB7348">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414289A4">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横向</w:t>
            </w:r>
            <w:r>
              <w:rPr>
                <w:rFonts w:hint="eastAsia" w:ascii="宋体" w:hAnsi="宋体" w:cs="宋体"/>
                <w:color w:val="auto"/>
                <w:kern w:val="0"/>
                <w:sz w:val="21"/>
                <w:szCs w:val="21"/>
                <w:highlight w:val="none"/>
                <w:lang w:eastAsia="zh-CN" w:bidi="ar"/>
              </w:rPr>
              <w:t>科研</w:t>
            </w:r>
            <w:r>
              <w:rPr>
                <w:rFonts w:hint="eastAsia" w:ascii="宋体" w:hAnsi="宋体" w:cs="宋体"/>
                <w:color w:val="auto"/>
                <w:kern w:val="0"/>
                <w:sz w:val="21"/>
                <w:szCs w:val="21"/>
                <w:highlight w:val="none"/>
                <w:lang w:bidi="ar"/>
              </w:rPr>
              <w:t>项目</w:t>
            </w:r>
          </w:p>
        </w:tc>
        <w:tc>
          <w:tcPr>
            <w:tcW w:w="7134" w:type="dxa"/>
            <w:vAlign w:val="center"/>
          </w:tcPr>
          <w:p w14:paraId="0EF706A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1.项目看板：</w:t>
            </w:r>
          </w:p>
          <w:p w14:paraId="35C7626D">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集中展示横向</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项目的基本信息、项目阶段、项目状态等情况，并可通过快捷操作发起项目变更、中期检查等操作。</w:t>
            </w:r>
          </w:p>
          <w:p w14:paraId="3D17D20E">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2.合同签订：</w:t>
            </w:r>
          </w:p>
          <w:p w14:paraId="55E2307C">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完成甲乙双方合同文本确认与签署，明确研究内容、经费等条款。记录合同类型、名称、编号等信息，确保项目合作具体细节清晰规范。</w:t>
            </w:r>
          </w:p>
          <w:p w14:paraId="616AF73C">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3.合同认定：</w:t>
            </w:r>
          </w:p>
          <w:p w14:paraId="5F9BB21B">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管理部门对合同</w:t>
            </w:r>
            <w:r>
              <w:rPr>
                <w:rFonts w:hint="eastAsia" w:ascii="宋体" w:hAnsi="宋体" w:eastAsia="宋体" w:cs="宋体"/>
                <w:color w:val="auto"/>
                <w:sz w:val="21"/>
                <w:szCs w:val="21"/>
                <w:highlight w:val="none"/>
                <w:lang w:eastAsia="zh-CN"/>
              </w:rPr>
              <w:t>进行合规</w:t>
            </w:r>
            <w:r>
              <w:rPr>
                <w:rFonts w:hint="eastAsia" w:ascii="宋体" w:hAnsi="宋体" w:eastAsia="宋体" w:cs="宋体"/>
                <w:color w:val="auto"/>
                <w:sz w:val="21"/>
                <w:szCs w:val="21"/>
                <w:highlight w:val="none"/>
              </w:rPr>
              <w:t>审查，包括校规条款、知识产权及经费来源等方面。根据审查给出通过或不通过意见，决定项目是否纳入学校</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体系。</w:t>
            </w:r>
          </w:p>
          <w:p w14:paraId="3270EA12">
            <w:pPr>
              <w:ind w:firstLine="48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4.项目</w:t>
            </w:r>
            <w:r>
              <w:rPr>
                <w:rFonts w:hint="eastAsia" w:ascii="宋体" w:hAnsi="宋体" w:eastAsia="宋体" w:cs="宋体"/>
                <w:color w:val="auto"/>
                <w:sz w:val="21"/>
                <w:szCs w:val="21"/>
                <w:highlight w:val="none"/>
                <w:lang w:val="en-US" w:eastAsia="zh-CN"/>
              </w:rPr>
              <w:t>任务书评审：</w:t>
            </w:r>
          </w:p>
          <w:p w14:paraId="590F65E2">
            <w:pPr>
              <w:ind w:firstLine="48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合同认定</w:t>
            </w:r>
            <w:r>
              <w:rPr>
                <w:rFonts w:hint="eastAsia" w:ascii="宋体" w:hAnsi="宋体" w:eastAsia="宋体" w:cs="宋体"/>
                <w:color w:val="auto"/>
                <w:sz w:val="21"/>
                <w:szCs w:val="21"/>
                <w:highlight w:val="none"/>
              </w:rPr>
              <w:t>评审通过后，需要</w:t>
            </w:r>
            <w:r>
              <w:rPr>
                <w:rFonts w:hint="eastAsia" w:ascii="宋体" w:hAnsi="宋体" w:cs="宋体"/>
                <w:color w:val="auto"/>
                <w:sz w:val="21"/>
                <w:szCs w:val="21"/>
                <w:highlight w:val="none"/>
                <w:lang w:eastAsia="zh-CN"/>
              </w:rPr>
              <w:t>对</w:t>
            </w:r>
            <w:r>
              <w:rPr>
                <w:rFonts w:hint="eastAsia" w:ascii="宋体" w:hAnsi="宋体" w:eastAsia="宋体" w:cs="宋体"/>
                <w:color w:val="auto"/>
                <w:sz w:val="21"/>
                <w:szCs w:val="21"/>
                <w:highlight w:val="none"/>
              </w:rPr>
              <w:t>项目成员、合作单位、课题分解、经费预算等详细项目信息进行编制，形成项目任务书并对项目任务书进行</w:t>
            </w:r>
            <w:r>
              <w:rPr>
                <w:rFonts w:hint="eastAsia" w:ascii="宋体" w:hAnsi="宋体" w:cs="宋体"/>
                <w:color w:val="auto"/>
                <w:sz w:val="21"/>
                <w:szCs w:val="21"/>
                <w:highlight w:val="none"/>
                <w:lang w:eastAsia="zh-CN"/>
              </w:rPr>
              <w:t>评审。</w:t>
            </w:r>
          </w:p>
          <w:p w14:paraId="730C9291">
            <w:pPr>
              <w:ind w:firstLine="480"/>
              <w:jc w:val="both"/>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合同变更：</w:t>
            </w:r>
          </w:p>
          <w:p w14:paraId="445FBFEF">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可</w:t>
            </w:r>
            <w:r>
              <w:rPr>
                <w:rFonts w:hint="eastAsia" w:ascii="宋体" w:hAnsi="宋体" w:eastAsia="宋体" w:cs="宋体"/>
                <w:color w:val="auto"/>
                <w:sz w:val="21"/>
                <w:szCs w:val="21"/>
                <w:highlight w:val="none"/>
              </w:rPr>
              <w:t>发起变更流程，提交变更原因及内容。经审批流程，管理部门审核变更合理性。</w:t>
            </w:r>
            <w:r>
              <w:rPr>
                <w:rFonts w:hint="eastAsia" w:ascii="宋体" w:hAnsi="宋体" w:eastAsia="宋体" w:cs="宋体"/>
                <w:color w:val="auto"/>
                <w:sz w:val="21"/>
                <w:szCs w:val="21"/>
                <w:highlight w:val="none"/>
                <w:lang w:eastAsia="zh-CN"/>
              </w:rPr>
              <w:t>对变更</w:t>
            </w:r>
            <w:r>
              <w:rPr>
                <w:rFonts w:hint="eastAsia" w:ascii="宋体" w:hAnsi="宋体" w:eastAsia="宋体" w:cs="宋体"/>
                <w:color w:val="auto"/>
                <w:sz w:val="21"/>
                <w:szCs w:val="21"/>
                <w:highlight w:val="none"/>
              </w:rPr>
              <w:t>信息</w:t>
            </w:r>
            <w:r>
              <w:rPr>
                <w:rFonts w:hint="eastAsia" w:ascii="宋体" w:hAnsi="宋体" w:eastAsia="宋体" w:cs="宋体"/>
                <w:color w:val="auto"/>
                <w:sz w:val="21"/>
                <w:szCs w:val="21"/>
                <w:highlight w:val="none"/>
                <w:lang w:eastAsia="zh-CN"/>
              </w:rPr>
              <w:t>进行更新</w:t>
            </w:r>
            <w:r>
              <w:rPr>
                <w:rFonts w:hint="eastAsia" w:ascii="宋体" w:hAnsi="宋体" w:eastAsia="宋体" w:cs="宋体"/>
                <w:color w:val="auto"/>
                <w:sz w:val="21"/>
                <w:szCs w:val="21"/>
                <w:highlight w:val="none"/>
              </w:rPr>
              <w:t>记录，保障合同随项目实际情况灵活调整。</w:t>
            </w:r>
          </w:p>
          <w:p w14:paraId="28530606">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.合同结项：</w:t>
            </w:r>
          </w:p>
          <w:p w14:paraId="141AD1A0">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w:t>
            </w:r>
            <w:r>
              <w:rPr>
                <w:rFonts w:hint="eastAsia" w:ascii="宋体" w:hAnsi="宋体" w:eastAsia="宋体" w:cs="宋体"/>
                <w:color w:val="auto"/>
                <w:sz w:val="21"/>
                <w:szCs w:val="21"/>
                <w:highlight w:val="none"/>
                <w:lang w:eastAsia="zh-CN"/>
              </w:rPr>
              <w:t>结题</w:t>
            </w:r>
            <w:r>
              <w:rPr>
                <w:rFonts w:hint="eastAsia" w:ascii="宋体" w:hAnsi="宋体" w:eastAsia="宋体" w:cs="宋体"/>
                <w:color w:val="auto"/>
                <w:sz w:val="21"/>
                <w:szCs w:val="21"/>
                <w:highlight w:val="none"/>
              </w:rPr>
              <w:t>流程，</w:t>
            </w: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人员上传</w:t>
            </w:r>
            <w:r>
              <w:rPr>
                <w:rFonts w:hint="eastAsia" w:ascii="宋体" w:hAnsi="宋体" w:eastAsia="宋体" w:cs="宋体"/>
                <w:color w:val="auto"/>
                <w:sz w:val="21"/>
                <w:szCs w:val="21"/>
                <w:highlight w:val="none"/>
                <w:lang w:eastAsia="zh-CN"/>
              </w:rPr>
              <w:t>甲方验收表、</w:t>
            </w:r>
            <w:r>
              <w:rPr>
                <w:rFonts w:hint="eastAsia" w:ascii="宋体" w:hAnsi="宋体" w:eastAsia="宋体" w:cs="宋体"/>
                <w:color w:val="auto"/>
                <w:sz w:val="21"/>
                <w:szCs w:val="21"/>
                <w:highlight w:val="none"/>
              </w:rPr>
              <w:t>结项报告、成果等资料。管理部门审核项目完成度、成果质量等，给出结项意见，更新项目状态，标志</w:t>
            </w:r>
            <w:r>
              <w:rPr>
                <w:rFonts w:hint="eastAsia" w:ascii="宋体" w:hAnsi="宋体" w:eastAsia="宋体" w:cs="宋体"/>
                <w:color w:val="auto"/>
                <w:sz w:val="21"/>
                <w:szCs w:val="21"/>
                <w:highlight w:val="none"/>
                <w:lang w:eastAsia="zh-CN"/>
              </w:rPr>
              <w:t>着项目</w:t>
            </w:r>
            <w:r>
              <w:rPr>
                <w:rFonts w:hint="eastAsia" w:ascii="宋体" w:hAnsi="宋体" w:eastAsia="宋体" w:cs="宋体"/>
                <w:color w:val="auto"/>
                <w:sz w:val="21"/>
                <w:szCs w:val="21"/>
                <w:highlight w:val="none"/>
              </w:rPr>
              <w:t>圆满结束。</w:t>
            </w:r>
          </w:p>
          <w:p w14:paraId="30A7356A">
            <w:pPr>
              <w:ind w:firstLine="480"/>
              <w:jc w:val="both"/>
              <w:rPr>
                <w:rFonts w:hint="eastAsia" w:ascii="宋体" w:hAnsi="宋体" w:eastAsia="宋体" w:cs="宋体"/>
                <w:color w:val="auto"/>
                <w:sz w:val="21"/>
                <w:szCs w:val="21"/>
                <w:highlight w:val="none"/>
              </w:rPr>
            </w:pPr>
          </w:p>
        </w:tc>
      </w:tr>
      <w:tr w14:paraId="716F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282D3CF7">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321F2BD0">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校级</w:t>
            </w:r>
            <w:r>
              <w:rPr>
                <w:rFonts w:hint="eastAsia" w:ascii="宋体" w:hAnsi="宋体" w:cs="宋体"/>
                <w:color w:val="auto"/>
                <w:kern w:val="0"/>
                <w:sz w:val="21"/>
                <w:szCs w:val="21"/>
                <w:highlight w:val="none"/>
                <w:lang w:eastAsia="zh-CN" w:bidi="ar"/>
              </w:rPr>
              <w:t>纵向</w:t>
            </w:r>
            <w:r>
              <w:rPr>
                <w:rFonts w:hint="eastAsia" w:ascii="宋体" w:hAnsi="宋体" w:cs="宋体"/>
                <w:color w:val="auto"/>
                <w:kern w:val="0"/>
                <w:sz w:val="21"/>
                <w:szCs w:val="21"/>
                <w:highlight w:val="none"/>
                <w:lang w:val="en-US" w:eastAsia="zh-CN" w:bidi="ar"/>
              </w:rPr>
              <w:t>科研</w:t>
            </w:r>
            <w:r>
              <w:rPr>
                <w:rFonts w:hint="eastAsia" w:ascii="宋体" w:hAnsi="宋体" w:cs="宋体"/>
                <w:color w:val="auto"/>
                <w:kern w:val="0"/>
                <w:sz w:val="21"/>
                <w:szCs w:val="21"/>
                <w:highlight w:val="none"/>
                <w:lang w:bidi="ar"/>
              </w:rPr>
              <w:t>项目</w:t>
            </w:r>
          </w:p>
        </w:tc>
        <w:tc>
          <w:tcPr>
            <w:tcW w:w="7134" w:type="dxa"/>
            <w:vAlign w:val="center"/>
          </w:tcPr>
          <w:p w14:paraId="15FE2358">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项目看板：</w:t>
            </w:r>
          </w:p>
          <w:p w14:paraId="3223B0D7">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集中展示</w:t>
            </w:r>
            <w:r>
              <w:rPr>
                <w:rFonts w:hint="eastAsia" w:ascii="宋体" w:hAnsi="宋体" w:eastAsia="宋体" w:cs="宋体"/>
                <w:color w:val="auto"/>
                <w:sz w:val="21"/>
                <w:szCs w:val="21"/>
                <w:highlight w:val="none"/>
                <w:lang w:val="en-US" w:eastAsia="zh-CN"/>
              </w:rPr>
              <w:t>校级纵向科研</w:t>
            </w:r>
            <w:r>
              <w:rPr>
                <w:rFonts w:hint="eastAsia" w:ascii="宋体" w:hAnsi="宋体" w:eastAsia="宋体" w:cs="宋体"/>
                <w:color w:val="auto"/>
                <w:sz w:val="21"/>
                <w:szCs w:val="21"/>
                <w:highlight w:val="none"/>
              </w:rPr>
              <w:t>项目的基本信息、项目阶段、项目状态等情况，并可通过快捷操作发起项目变更、中期检查</w:t>
            </w:r>
            <w:r>
              <w:rPr>
                <w:rFonts w:hint="eastAsia" w:ascii="宋体" w:hAnsi="宋体" w:eastAsia="宋体" w:cs="宋体"/>
                <w:color w:val="auto"/>
                <w:sz w:val="21"/>
                <w:szCs w:val="21"/>
                <w:highlight w:val="none"/>
                <w:lang w:eastAsia="zh-CN"/>
              </w:rPr>
              <w:t>、结题验收</w:t>
            </w:r>
            <w:r>
              <w:rPr>
                <w:rFonts w:hint="eastAsia" w:ascii="宋体" w:hAnsi="宋体" w:eastAsia="宋体" w:cs="宋体"/>
                <w:color w:val="auto"/>
                <w:sz w:val="21"/>
                <w:szCs w:val="21"/>
                <w:highlight w:val="none"/>
              </w:rPr>
              <w:t>等操作。</w:t>
            </w:r>
          </w:p>
          <w:p w14:paraId="29FDF19E">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2.项目申报：</w:t>
            </w:r>
          </w:p>
          <w:p w14:paraId="21673B1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科研</w:t>
            </w:r>
            <w:r>
              <w:rPr>
                <w:rFonts w:hint="eastAsia" w:ascii="宋体" w:hAnsi="宋体" w:eastAsia="宋体" w:cs="宋体"/>
                <w:color w:val="auto"/>
                <w:sz w:val="21"/>
                <w:szCs w:val="21"/>
                <w:highlight w:val="none"/>
              </w:rPr>
              <w:t>人员可发起申报流程，上传</w:t>
            </w:r>
            <w:r>
              <w:rPr>
                <w:rFonts w:hint="eastAsia" w:ascii="宋体" w:hAnsi="宋体" w:eastAsia="宋体" w:cs="宋体"/>
                <w:color w:val="auto"/>
                <w:sz w:val="21"/>
                <w:szCs w:val="21"/>
                <w:highlight w:val="none"/>
                <w:lang w:eastAsia="zh-CN"/>
              </w:rPr>
              <w:t>按申报</w:t>
            </w:r>
            <w:r>
              <w:rPr>
                <w:rFonts w:hint="eastAsia" w:ascii="宋体" w:hAnsi="宋体" w:eastAsia="宋体" w:cs="宋体"/>
                <w:color w:val="auto"/>
                <w:sz w:val="21"/>
                <w:szCs w:val="21"/>
                <w:highlight w:val="none"/>
              </w:rPr>
              <w:t>书解析字段</w:t>
            </w:r>
            <w:r>
              <w:rPr>
                <w:rFonts w:hint="eastAsia" w:ascii="宋体" w:hAnsi="宋体" w:eastAsia="宋体" w:cs="宋体"/>
                <w:color w:val="auto"/>
                <w:sz w:val="21"/>
                <w:szCs w:val="21"/>
                <w:highlight w:val="none"/>
                <w:lang w:eastAsia="zh-CN"/>
              </w:rPr>
              <w:t>填写的表单，</w:t>
            </w:r>
            <w:r>
              <w:rPr>
                <w:rFonts w:hint="eastAsia" w:ascii="宋体" w:hAnsi="宋体" w:eastAsia="宋体" w:cs="宋体"/>
                <w:color w:val="auto"/>
                <w:sz w:val="21"/>
                <w:szCs w:val="21"/>
                <w:highlight w:val="none"/>
              </w:rPr>
              <w:t>流程含形式审查、初审等环节，通过节点更新申报状态，记录申报人、预算等信息。</w:t>
            </w:r>
          </w:p>
          <w:p w14:paraId="7FBCCFF1">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3.立项评审：</w:t>
            </w:r>
          </w:p>
          <w:p w14:paraId="214C96F4">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可发起立项流程，对申报项目的研究价值、可行性等</w:t>
            </w:r>
            <w:r>
              <w:rPr>
                <w:rFonts w:hint="eastAsia" w:ascii="宋体" w:hAnsi="宋体" w:eastAsia="宋体" w:cs="宋体"/>
                <w:color w:val="auto"/>
                <w:sz w:val="21"/>
                <w:szCs w:val="21"/>
                <w:highlight w:val="none"/>
                <w:lang w:eastAsia="zh-CN"/>
              </w:rPr>
              <w:t>进行评估</w:t>
            </w:r>
            <w:r>
              <w:rPr>
                <w:rFonts w:hint="eastAsia" w:ascii="宋体" w:hAnsi="宋体" w:eastAsia="宋体" w:cs="宋体"/>
                <w:color w:val="auto"/>
                <w:sz w:val="21"/>
                <w:szCs w:val="21"/>
                <w:highlight w:val="none"/>
              </w:rPr>
              <w:t>。评审意见会决定立项状态，记录项目名称、负责人、经费等关键信息，为项目开展把关。</w:t>
            </w:r>
          </w:p>
          <w:p w14:paraId="4F439E64">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4.任务书评审：</w:t>
            </w:r>
          </w:p>
          <w:p w14:paraId="7B3E0E85">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项目立项评审通过后，需要对项目成员、合作单位、课题分解、经费预算等详细项目信息进行编制，形成项目任务书并对项目任务书进行评审。</w:t>
            </w:r>
          </w:p>
          <w:p w14:paraId="3C58A6D1">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5.中期检查：</w:t>
            </w:r>
          </w:p>
          <w:p w14:paraId="6C5E50BF">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可发起中期检查流程，流程会归集到项目卡片。操作含整改记录，记录中检日期、意见等信息，判断项目是否按计划推进。</w:t>
            </w:r>
          </w:p>
          <w:p w14:paraId="224B3148">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6.项目变更：</w:t>
            </w:r>
          </w:p>
          <w:p w14:paraId="605C8D10">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可发起变更流程，涵盖研究内容、周期等变更类型。记录变更原因、前后信息与审批意见，流程更新</w:t>
            </w:r>
            <w:r>
              <w:rPr>
                <w:rFonts w:hint="eastAsia" w:ascii="宋体" w:hAnsi="宋体" w:cs="宋体"/>
                <w:color w:val="auto"/>
                <w:sz w:val="21"/>
                <w:szCs w:val="21"/>
                <w:highlight w:val="none"/>
                <w:lang w:eastAsia="zh-CN"/>
              </w:rPr>
              <w:t>并</w:t>
            </w:r>
            <w:r>
              <w:rPr>
                <w:rFonts w:hint="eastAsia" w:ascii="宋体" w:hAnsi="宋体" w:eastAsia="宋体" w:cs="宋体"/>
                <w:color w:val="auto"/>
                <w:sz w:val="21"/>
                <w:szCs w:val="21"/>
                <w:highlight w:val="none"/>
              </w:rPr>
              <w:t>归集到项目卡片，保障项目动态调整规范有序。</w:t>
            </w:r>
          </w:p>
          <w:p w14:paraId="5E6B6023">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7.结题验收：</w:t>
            </w:r>
          </w:p>
          <w:p w14:paraId="70856CC7">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可发起结项评审流程，</w:t>
            </w:r>
            <w:r>
              <w:rPr>
                <w:rFonts w:hint="eastAsia" w:ascii="宋体" w:hAnsi="宋体" w:eastAsia="宋体" w:cs="宋体"/>
                <w:color w:val="auto"/>
                <w:sz w:val="21"/>
                <w:szCs w:val="21"/>
                <w:highlight w:val="none"/>
                <w:lang w:eastAsia="zh-CN"/>
              </w:rPr>
              <w:t>教科研</w:t>
            </w:r>
            <w:r>
              <w:rPr>
                <w:rFonts w:hint="eastAsia" w:ascii="宋体" w:hAnsi="宋体" w:eastAsia="宋体" w:cs="宋体"/>
                <w:color w:val="auto"/>
                <w:sz w:val="21"/>
                <w:szCs w:val="21"/>
                <w:highlight w:val="none"/>
              </w:rPr>
              <w:t>人员需上传</w:t>
            </w:r>
            <w:r>
              <w:rPr>
                <w:rFonts w:hint="eastAsia" w:ascii="宋体" w:hAnsi="宋体" w:eastAsia="宋体" w:cs="宋体"/>
                <w:color w:val="auto"/>
                <w:sz w:val="21"/>
                <w:szCs w:val="21"/>
                <w:highlight w:val="none"/>
                <w:lang w:eastAsia="zh-CN"/>
              </w:rPr>
              <w:t>结题</w:t>
            </w:r>
            <w:r>
              <w:rPr>
                <w:rFonts w:hint="eastAsia" w:ascii="宋体" w:hAnsi="宋体" w:eastAsia="宋体" w:cs="宋体"/>
                <w:color w:val="auto"/>
                <w:sz w:val="21"/>
                <w:szCs w:val="21"/>
                <w:highlight w:val="none"/>
              </w:rPr>
              <w:t>报告、成果清单并说明经费使用情况。经评审给出通过或不通过意见，更新项目结项状态，为项目画上句号。</w:t>
            </w:r>
          </w:p>
        </w:tc>
      </w:tr>
      <w:tr w14:paraId="76E5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7AC847D2">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70784F2D">
            <w:pPr>
              <w:snapToGrid w:val="0"/>
              <w:spacing w:line="240" w:lineRule="auto"/>
              <w:ind w:firstLine="0" w:firstLineChars="0"/>
              <w:jc w:val="both"/>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省级</w:t>
            </w:r>
            <w:r>
              <w:rPr>
                <w:rFonts w:hint="eastAsia" w:ascii="宋体" w:hAnsi="宋体" w:cs="宋体"/>
                <w:color w:val="auto"/>
                <w:kern w:val="0"/>
                <w:sz w:val="21"/>
                <w:szCs w:val="21"/>
                <w:highlight w:val="none"/>
              </w:rPr>
              <w:t>质量工程项目</w:t>
            </w:r>
          </w:p>
        </w:tc>
        <w:tc>
          <w:tcPr>
            <w:tcW w:w="7134" w:type="dxa"/>
            <w:vAlign w:val="center"/>
          </w:tcPr>
          <w:p w14:paraId="1E0DCA64">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项目看板：</w:t>
            </w:r>
          </w:p>
          <w:p w14:paraId="2D9DD330">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集中展示</w:t>
            </w:r>
            <w:r>
              <w:rPr>
                <w:rFonts w:hint="eastAsia" w:ascii="宋体" w:hAnsi="宋体" w:eastAsia="宋体" w:cs="宋体"/>
                <w:color w:val="auto"/>
                <w:sz w:val="21"/>
                <w:szCs w:val="21"/>
                <w:highlight w:val="none"/>
                <w:lang w:val="en-US" w:eastAsia="zh-CN"/>
              </w:rPr>
              <w:t>省级质量工程项目</w:t>
            </w:r>
            <w:r>
              <w:rPr>
                <w:rFonts w:hint="eastAsia" w:ascii="宋体" w:hAnsi="宋体" w:eastAsia="宋体" w:cs="宋体"/>
                <w:color w:val="auto"/>
                <w:sz w:val="21"/>
                <w:szCs w:val="21"/>
                <w:highlight w:val="none"/>
              </w:rPr>
              <w:t>的基本信息、项目阶段、项目状态等情况，并可通过快捷操作发起项目变更、中期检查</w:t>
            </w:r>
            <w:r>
              <w:rPr>
                <w:rFonts w:hint="eastAsia" w:ascii="宋体" w:hAnsi="宋体" w:eastAsia="宋体" w:cs="宋体"/>
                <w:color w:val="auto"/>
                <w:sz w:val="21"/>
                <w:szCs w:val="21"/>
                <w:highlight w:val="none"/>
                <w:lang w:eastAsia="zh-CN"/>
              </w:rPr>
              <w:t>、结题验收</w:t>
            </w:r>
            <w:r>
              <w:rPr>
                <w:rFonts w:hint="eastAsia" w:ascii="宋体" w:hAnsi="宋体" w:eastAsia="宋体" w:cs="宋体"/>
                <w:color w:val="auto"/>
                <w:sz w:val="21"/>
                <w:szCs w:val="21"/>
                <w:highlight w:val="none"/>
              </w:rPr>
              <w:t>等操作。</w:t>
            </w:r>
          </w:p>
          <w:p w14:paraId="405BF543">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2.项目申报：</w:t>
            </w:r>
          </w:p>
          <w:p w14:paraId="15D8BB90">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教研</w:t>
            </w:r>
            <w:r>
              <w:rPr>
                <w:rFonts w:hint="eastAsia" w:ascii="宋体" w:hAnsi="宋体" w:eastAsia="宋体" w:cs="宋体"/>
                <w:color w:val="auto"/>
                <w:sz w:val="21"/>
                <w:szCs w:val="21"/>
                <w:highlight w:val="none"/>
              </w:rPr>
              <w:t>人员可发起申报流程，</w:t>
            </w:r>
            <w:r>
              <w:rPr>
                <w:rFonts w:hint="eastAsia" w:ascii="宋体" w:hAnsi="宋体" w:eastAsia="宋体" w:cs="宋体"/>
                <w:color w:val="auto"/>
                <w:sz w:val="21"/>
                <w:szCs w:val="21"/>
                <w:highlight w:val="none"/>
                <w:lang w:eastAsia="zh-CN"/>
              </w:rPr>
              <w:t>上传按申报</w:t>
            </w:r>
            <w:r>
              <w:rPr>
                <w:rFonts w:hint="eastAsia" w:ascii="宋体" w:hAnsi="宋体" w:eastAsia="宋体" w:cs="宋体"/>
                <w:color w:val="auto"/>
                <w:sz w:val="21"/>
                <w:szCs w:val="21"/>
                <w:highlight w:val="none"/>
              </w:rPr>
              <w:t>书解析字段</w:t>
            </w:r>
            <w:r>
              <w:rPr>
                <w:rFonts w:hint="eastAsia" w:ascii="宋体" w:hAnsi="宋体" w:eastAsia="宋体" w:cs="宋体"/>
                <w:color w:val="auto"/>
                <w:sz w:val="21"/>
                <w:szCs w:val="21"/>
                <w:highlight w:val="none"/>
                <w:lang w:eastAsia="zh-CN"/>
              </w:rPr>
              <w:t>填写的表单，</w:t>
            </w:r>
            <w:r>
              <w:rPr>
                <w:rFonts w:hint="eastAsia" w:ascii="宋体" w:hAnsi="宋体" w:eastAsia="宋体" w:cs="宋体"/>
                <w:color w:val="auto"/>
                <w:sz w:val="21"/>
                <w:szCs w:val="21"/>
                <w:highlight w:val="none"/>
              </w:rPr>
              <w:t>流程含形式审查、初审等环节，通过节点更新申报状态，记录申报人、预算等信息。</w:t>
            </w:r>
          </w:p>
          <w:p w14:paraId="2CCF5D82">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3.立项评审：</w:t>
            </w:r>
          </w:p>
          <w:p w14:paraId="6789C99D">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可发起立项流程，对申报项目的研究价值、可行性等</w:t>
            </w:r>
            <w:r>
              <w:rPr>
                <w:rFonts w:hint="eastAsia" w:ascii="宋体" w:hAnsi="宋体" w:eastAsia="宋体" w:cs="宋体"/>
                <w:color w:val="auto"/>
                <w:sz w:val="21"/>
                <w:szCs w:val="21"/>
                <w:highlight w:val="none"/>
                <w:lang w:eastAsia="zh-CN"/>
              </w:rPr>
              <w:t>进行评估</w:t>
            </w:r>
            <w:r>
              <w:rPr>
                <w:rFonts w:hint="eastAsia" w:ascii="宋体" w:hAnsi="宋体" w:eastAsia="宋体" w:cs="宋体"/>
                <w:color w:val="auto"/>
                <w:sz w:val="21"/>
                <w:szCs w:val="21"/>
                <w:highlight w:val="none"/>
              </w:rPr>
              <w:t>。评审意见会决定立项状态，记录项目名称、负责人、经费等关键信息，为项目开展把关。</w:t>
            </w:r>
          </w:p>
          <w:p w14:paraId="6171DFEA">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4.任务书评审：</w:t>
            </w:r>
          </w:p>
          <w:p w14:paraId="36EA4B4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项目立项评审通过后，需要</w:t>
            </w:r>
            <w:r>
              <w:rPr>
                <w:rFonts w:hint="eastAsia" w:ascii="宋体" w:hAnsi="宋体" w:eastAsia="宋体" w:cs="宋体"/>
                <w:color w:val="auto"/>
                <w:sz w:val="21"/>
                <w:szCs w:val="21"/>
                <w:highlight w:val="none"/>
                <w:lang w:eastAsia="zh-CN"/>
              </w:rPr>
              <w:t>对</w:t>
            </w:r>
            <w:r>
              <w:rPr>
                <w:rFonts w:hint="eastAsia" w:ascii="宋体" w:hAnsi="宋体" w:eastAsia="宋体" w:cs="宋体"/>
                <w:color w:val="auto"/>
                <w:sz w:val="21"/>
                <w:szCs w:val="21"/>
                <w:highlight w:val="none"/>
              </w:rPr>
              <w:t>项目成员、合作单位、课题分解、经费预算等详细项目信息进行编制，形成项目任务书并对项目任务书进行评审。</w:t>
            </w:r>
          </w:p>
          <w:p w14:paraId="267F177D">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5.中期检查：</w:t>
            </w:r>
          </w:p>
          <w:p w14:paraId="2A64CB2B">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可发起中期检查流程，</w:t>
            </w:r>
            <w:r>
              <w:rPr>
                <w:rFonts w:hint="eastAsia" w:ascii="宋体" w:hAnsi="宋体" w:eastAsia="宋体" w:cs="宋体"/>
                <w:color w:val="auto"/>
                <w:sz w:val="21"/>
                <w:szCs w:val="21"/>
                <w:highlight w:val="none"/>
                <w:lang w:eastAsia="zh-CN"/>
              </w:rPr>
              <w:t>该流程</w:t>
            </w:r>
            <w:r>
              <w:rPr>
                <w:rFonts w:hint="eastAsia" w:ascii="宋体" w:hAnsi="宋体" w:eastAsia="宋体" w:cs="宋体"/>
                <w:color w:val="auto"/>
                <w:sz w:val="21"/>
                <w:szCs w:val="21"/>
                <w:highlight w:val="none"/>
              </w:rPr>
              <w:t>会归集到项目卡片。操作含整改记录，记录中检日期、意见等信息，判断项目是否按计划推进。</w:t>
            </w:r>
          </w:p>
          <w:p w14:paraId="31EADBD9">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6.项目变更：</w:t>
            </w:r>
          </w:p>
          <w:p w14:paraId="5C1B2841">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可发起变更流程，涵盖研究内容、周期等变更类型。记录变更原因、前后信息与审批意见，流程更新</w:t>
            </w:r>
            <w:r>
              <w:rPr>
                <w:rFonts w:hint="eastAsia" w:ascii="宋体" w:hAnsi="宋体" w:eastAsia="宋体" w:cs="宋体"/>
                <w:color w:val="auto"/>
                <w:sz w:val="21"/>
                <w:szCs w:val="21"/>
                <w:highlight w:val="none"/>
                <w:lang w:eastAsia="zh-CN"/>
              </w:rPr>
              <w:t>并</w:t>
            </w:r>
            <w:r>
              <w:rPr>
                <w:rFonts w:hint="eastAsia" w:ascii="宋体" w:hAnsi="宋体" w:eastAsia="宋体" w:cs="宋体"/>
                <w:color w:val="auto"/>
                <w:sz w:val="21"/>
                <w:szCs w:val="21"/>
                <w:highlight w:val="none"/>
              </w:rPr>
              <w:t>归集到项目卡片，保障项目动态调整规范有序。</w:t>
            </w:r>
          </w:p>
          <w:p w14:paraId="61037C2E">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7.结题验收：</w:t>
            </w:r>
          </w:p>
          <w:p w14:paraId="158B1AE5">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可发起结项评审流程，</w:t>
            </w:r>
            <w:r>
              <w:rPr>
                <w:rFonts w:hint="eastAsia" w:ascii="宋体" w:hAnsi="宋体" w:eastAsia="宋体" w:cs="宋体"/>
                <w:color w:val="auto"/>
                <w:sz w:val="21"/>
                <w:szCs w:val="21"/>
                <w:highlight w:val="none"/>
                <w:lang w:eastAsia="zh-CN"/>
              </w:rPr>
              <w:t>教研</w:t>
            </w:r>
            <w:r>
              <w:rPr>
                <w:rFonts w:hint="eastAsia" w:ascii="宋体" w:hAnsi="宋体" w:eastAsia="宋体" w:cs="宋体"/>
                <w:color w:val="auto"/>
                <w:sz w:val="21"/>
                <w:szCs w:val="21"/>
                <w:highlight w:val="none"/>
              </w:rPr>
              <w:t>人员需上传结项报告、成果清单并说明经费使用情况。经评审给出通过或不通过意见，更新项目结项状态，为项目画上句号。</w:t>
            </w:r>
          </w:p>
          <w:p w14:paraId="3C93565F">
            <w:pPr>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8.支持接口对接或导入等方式与安徽省高等学校质量工程项目管理信息系统对接。</w:t>
            </w:r>
          </w:p>
        </w:tc>
      </w:tr>
      <w:tr w14:paraId="4C73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6F74CFDE">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615DB86C">
            <w:pPr>
              <w:snapToGrid w:val="0"/>
              <w:spacing w:line="240" w:lineRule="auto"/>
              <w:ind w:firstLine="0" w:firstLineChars="0"/>
              <w:jc w:val="both"/>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校级</w:t>
            </w:r>
            <w:r>
              <w:rPr>
                <w:rFonts w:hint="eastAsia" w:ascii="宋体" w:hAnsi="宋体" w:cs="宋体"/>
                <w:color w:val="auto"/>
                <w:kern w:val="0"/>
                <w:sz w:val="21"/>
                <w:szCs w:val="21"/>
                <w:highlight w:val="none"/>
              </w:rPr>
              <w:t>质量工程项目</w:t>
            </w:r>
          </w:p>
        </w:tc>
        <w:tc>
          <w:tcPr>
            <w:tcW w:w="7134" w:type="dxa"/>
            <w:vAlign w:val="center"/>
          </w:tcPr>
          <w:p w14:paraId="10DB1750">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1.项目看板：</w:t>
            </w:r>
          </w:p>
          <w:p w14:paraId="74AACFF8">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集中展示校级质量工程项目的基本信息、项目阶段、项目状态等情况，并可通过快捷操作发起项目变更、中期检查、结题验收等操作。</w:t>
            </w:r>
          </w:p>
          <w:p w14:paraId="55D4C1D5">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2.项目申报：</w:t>
            </w:r>
          </w:p>
          <w:p w14:paraId="482B6F3C">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教研人员可发起申报流程，上传按申报书解析字段填写的表单，流程含形式审查、初审等环节，通过节点更新申报状态，记录申报人、预算等信息。</w:t>
            </w:r>
          </w:p>
          <w:p w14:paraId="23969E3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3.立项评审：</w:t>
            </w:r>
          </w:p>
          <w:p w14:paraId="717AAFF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可发起立项流程，对申报项目的研究价值、可行性等进行评估。评审意见会决定立项状态，记录项目名称、负责人、经费等关键信息，为项目开展把关。</w:t>
            </w:r>
          </w:p>
          <w:p w14:paraId="75D6E72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4.任务书评审：</w:t>
            </w:r>
          </w:p>
          <w:p w14:paraId="760363DC">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项目立项评审通过后，需要对项目成员、合作单位、课题分解、经费预算等详细项目信息进行编制，形成项目任务书并对项目任务书进行评审。</w:t>
            </w:r>
          </w:p>
          <w:p w14:paraId="74BAAC0B">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5.中期检查：</w:t>
            </w:r>
          </w:p>
          <w:p w14:paraId="55E555BA">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可发起中期检查流程，流程会归集到项目卡片。操作含整改记录，记录中检日期、意见等信息，判断项目是否按计划推进。</w:t>
            </w:r>
          </w:p>
          <w:p w14:paraId="6F23E08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6.项目变更：</w:t>
            </w:r>
          </w:p>
          <w:p w14:paraId="20B63D9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可发起变更流程，涵盖研究内容、周期等变更类型。记录变更原因、前后信息与审批意见，流程更新并归集到项目卡片，保障项目动态调整规范有序。</w:t>
            </w:r>
          </w:p>
          <w:p w14:paraId="3F4FC01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7.结题验收：</w:t>
            </w:r>
          </w:p>
          <w:p w14:paraId="1EF0824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可发起结项评审流程，教研人员需上传结项报告、成果清单并说明经费使用情况。经评审给出通过或不通过意见，更新项目结项状态，为项目画上句号。</w:t>
            </w:r>
          </w:p>
        </w:tc>
      </w:tr>
      <w:tr w14:paraId="1B3F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4DB62117">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76B0F0E1">
            <w:pPr>
              <w:widowControl/>
              <w:snapToGrid w:val="0"/>
              <w:spacing w:line="240" w:lineRule="auto"/>
              <w:ind w:firstLine="0" w:firstLineChars="0"/>
              <w:jc w:val="both"/>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其他类别项目</w:t>
            </w:r>
          </w:p>
        </w:tc>
        <w:tc>
          <w:tcPr>
            <w:tcW w:w="7134" w:type="dxa"/>
            <w:vAlign w:val="center"/>
          </w:tcPr>
          <w:p w14:paraId="12C4A38C">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1.项目看板：</w:t>
            </w:r>
          </w:p>
          <w:p w14:paraId="5DB69EF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集中展示其他类别项目的基本信息、项目阶段、项目状态等情况，并可通过快捷操作发起项目变更、中期检查等操作。</w:t>
            </w:r>
          </w:p>
          <w:p w14:paraId="60D4D428">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2.项目申报：</w:t>
            </w:r>
          </w:p>
          <w:p w14:paraId="7571FA2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教科研人员可发起申报流程，上传按申报书解析字段填写的表单。流程含形式审查、初审等环节，通过节点更新申报状态，记录申报人、预算等信息。</w:t>
            </w:r>
          </w:p>
          <w:p w14:paraId="24F388E1">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3.立项评审：</w:t>
            </w:r>
          </w:p>
          <w:p w14:paraId="7CE6B84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可发起立项流程，对申报项目的研究价值、可行性等进行评估。评审意见会决定立项状态，记录项目名称、负责人、经费等关键信息，为项目开展把关。</w:t>
            </w:r>
          </w:p>
          <w:p w14:paraId="38668D85">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4.任务书评审：</w:t>
            </w:r>
          </w:p>
          <w:p w14:paraId="18E2EA86">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项目立项评审通过后，需要</w:t>
            </w:r>
            <w:r>
              <w:rPr>
                <w:rFonts w:hint="eastAsia" w:ascii="宋体" w:hAnsi="宋体" w:cs="宋体"/>
                <w:color w:val="auto"/>
                <w:sz w:val="21"/>
                <w:szCs w:val="21"/>
                <w:highlight w:val="none"/>
                <w:lang w:val="en-US" w:eastAsia="zh-CN"/>
              </w:rPr>
              <w:t>对</w:t>
            </w:r>
            <w:r>
              <w:rPr>
                <w:rFonts w:hint="eastAsia" w:ascii="宋体" w:hAnsi="宋体" w:eastAsia="宋体" w:cs="宋体"/>
                <w:color w:val="auto"/>
                <w:sz w:val="21"/>
                <w:szCs w:val="21"/>
                <w:highlight w:val="none"/>
                <w:lang w:val="en-US" w:eastAsia="zh-CN"/>
              </w:rPr>
              <w:t>项目成员、合作单位、课题分解、经费预算等详细项目信息进行编制，形成项目任务书并对项目任务书进行评审。</w:t>
            </w:r>
          </w:p>
          <w:p w14:paraId="44C55BE2">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5.中期检查：</w:t>
            </w:r>
          </w:p>
          <w:p w14:paraId="0652849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可发起中期检查流程，流程会归集到项目卡片。操作含整改记录，记录中检日期、意见等信息，判断项目是否按计划推进。</w:t>
            </w:r>
          </w:p>
          <w:p w14:paraId="08C19B7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6.项目变更：</w:t>
            </w:r>
          </w:p>
          <w:p w14:paraId="4B975BB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可发起变更流程，涵盖研究内容、周期等变更类型。记录变更原因、前后信息与审批意见，流程更新并归集到项目卡片，保障项目动态调整规范有序。</w:t>
            </w:r>
          </w:p>
          <w:p w14:paraId="4D41E4B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7.结题验收：</w:t>
            </w:r>
          </w:p>
          <w:p w14:paraId="4F75AAC5">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可发起结项评审流程，教科研人员需上传结项报告、成果清单并说明经费使用情况。经评审给出通过或不通过意见，更新项目结项状态，为项目画上句号。</w:t>
            </w:r>
          </w:p>
        </w:tc>
      </w:tr>
      <w:tr w14:paraId="360C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3FC2C1AA">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2C5CBE43">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项目入账</w:t>
            </w:r>
          </w:p>
        </w:tc>
        <w:tc>
          <w:tcPr>
            <w:tcW w:w="7134" w:type="dxa"/>
            <w:vAlign w:val="center"/>
          </w:tcPr>
          <w:p w14:paraId="20897D1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实现“项目预算编制”与“具体教科研项目”的关联。教科研人员提交项目经费预算编制申请；管理员审核预算信息，审核通过后完成经费预算与项目的绑定，这是经费进入项目管理的核心环节。</w:t>
            </w:r>
          </w:p>
        </w:tc>
      </w:tr>
      <w:tr w14:paraId="2929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1286B894">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5563B3C5">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费用提取</w:t>
            </w:r>
          </w:p>
        </w:tc>
        <w:tc>
          <w:tcPr>
            <w:tcW w:w="7134" w:type="dxa"/>
            <w:vAlign w:val="center"/>
          </w:tcPr>
          <w:p w14:paraId="6CF47AA2">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可根据项目类别设置其各类费用提取参数和方案。</w:t>
            </w:r>
          </w:p>
          <w:p w14:paraId="50076E38">
            <w:pPr>
              <w:ind w:firstLine="48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项目入账登记时，各类费用自动提取、记录，可手动调整。</w:t>
            </w:r>
          </w:p>
        </w:tc>
      </w:tr>
      <w:tr w14:paraId="6D1C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27B5C71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财务</w:t>
            </w:r>
            <w:r>
              <w:rPr>
                <w:rFonts w:hint="eastAsia" w:ascii="宋体" w:hAnsi="宋体" w:cs="宋体"/>
                <w:color w:val="auto"/>
                <w:kern w:val="0"/>
                <w:sz w:val="21"/>
                <w:szCs w:val="21"/>
                <w:highlight w:val="none"/>
                <w:lang w:val="en-US" w:eastAsia="zh-CN" w:bidi="ar"/>
              </w:rPr>
              <w:t>系统</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val="en-US" w:eastAsia="zh-CN" w:bidi="ar"/>
              </w:rPr>
              <w:t>资产系统</w:t>
            </w:r>
            <w:r>
              <w:rPr>
                <w:rFonts w:hint="eastAsia" w:ascii="宋体" w:hAnsi="宋体" w:cs="宋体"/>
                <w:color w:val="auto"/>
                <w:kern w:val="0"/>
                <w:sz w:val="21"/>
                <w:szCs w:val="21"/>
                <w:highlight w:val="none"/>
                <w:lang w:bidi="ar"/>
              </w:rPr>
              <w:t>对接</w:t>
            </w:r>
          </w:p>
        </w:tc>
        <w:tc>
          <w:tcPr>
            <w:tcW w:w="2076" w:type="dxa"/>
            <w:vAlign w:val="center"/>
          </w:tcPr>
          <w:p w14:paraId="03A41DE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财务</w:t>
            </w:r>
            <w:r>
              <w:rPr>
                <w:rFonts w:hint="eastAsia" w:ascii="宋体" w:hAnsi="宋体" w:cs="宋体"/>
                <w:color w:val="auto"/>
                <w:kern w:val="0"/>
                <w:sz w:val="21"/>
                <w:szCs w:val="21"/>
                <w:highlight w:val="none"/>
                <w:lang w:val="en-US" w:eastAsia="zh-CN" w:bidi="ar"/>
              </w:rPr>
              <w:t>系统</w:t>
            </w:r>
            <w:r>
              <w:rPr>
                <w:rFonts w:hint="eastAsia" w:ascii="宋体" w:hAnsi="宋体" w:cs="宋体"/>
                <w:color w:val="auto"/>
                <w:kern w:val="0"/>
                <w:sz w:val="21"/>
                <w:szCs w:val="21"/>
                <w:highlight w:val="none"/>
                <w:lang w:bidi="ar"/>
              </w:rPr>
              <w:t>对接</w:t>
            </w:r>
          </w:p>
        </w:tc>
        <w:tc>
          <w:tcPr>
            <w:tcW w:w="7134" w:type="dxa"/>
            <w:vAlign w:val="center"/>
          </w:tcPr>
          <w:p w14:paraId="4A1C824F">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通过与财务（天大天财高校财务软件系统）系统对接，接入财务报销数据，实现教科研经费执行情况跟踪，具体要求如下：</w:t>
            </w:r>
          </w:p>
          <w:p w14:paraId="42BFE48B">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1.教科研项目与财务经费卡号对照，建立教科研项目与财务经费的对应关系。</w:t>
            </w:r>
          </w:p>
          <w:p w14:paraId="56AF8C26">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2.财务报销明细数据同步，以中间库的形式，财务向系统共享教科研项目报销明细数据。</w:t>
            </w:r>
          </w:p>
          <w:p w14:paraId="27A07DF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经费执行统计，可查看项目经费执行情况，进行统计分析。</w:t>
            </w:r>
          </w:p>
          <w:p w14:paraId="530D901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3.经费执行预警触发条件和信息模板，可设置项目经费执行预警的触发条件和信息模板，系统可动态向项目负责人推送相关预警信息。</w:t>
            </w:r>
          </w:p>
        </w:tc>
      </w:tr>
      <w:tr w14:paraId="111E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1229" w:type="dxa"/>
            <w:vMerge w:val="continue"/>
            <w:vAlign w:val="center"/>
          </w:tcPr>
          <w:p w14:paraId="483A6E68">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5CBB9560">
            <w:pPr>
              <w:widowControl/>
              <w:snapToGrid w:val="0"/>
              <w:spacing w:line="240" w:lineRule="auto"/>
              <w:ind w:firstLine="0" w:firstLineChars="0"/>
              <w:jc w:val="both"/>
              <w:textAlignment w:val="center"/>
              <w:rPr>
                <w:rFonts w:hint="eastAsia" w:ascii="宋体" w:hAnsi="宋体" w:eastAsia="宋体" w:cs="宋体"/>
                <w:color w:val="auto"/>
                <w:kern w:val="0"/>
                <w:sz w:val="21"/>
                <w:szCs w:val="21"/>
                <w:highlight w:val="yellow"/>
                <w:lang w:eastAsia="zh-CN" w:bidi="ar"/>
              </w:rPr>
            </w:pPr>
            <w:r>
              <w:rPr>
                <w:rFonts w:hint="eastAsia" w:ascii="宋体" w:hAnsi="宋体" w:eastAsia="宋体" w:cs="宋体"/>
                <w:color w:val="auto"/>
                <w:sz w:val="21"/>
                <w:szCs w:val="21"/>
                <w:highlight w:val="none"/>
                <w:lang w:val="en-US" w:eastAsia="zh-CN"/>
              </w:rPr>
              <w:t>资产系统对接</w:t>
            </w:r>
          </w:p>
        </w:tc>
        <w:tc>
          <w:tcPr>
            <w:tcW w:w="7134" w:type="dxa"/>
            <w:vAlign w:val="center"/>
          </w:tcPr>
          <w:p w14:paraId="1766DA6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教科研项目基础数据同步：</w:t>
            </w:r>
          </w:p>
          <w:p w14:paraId="6C284538">
            <w:pPr>
              <w:ind w:firstLine="48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自动推送项目编号、项目名称、负责人、所属院系、立项经费、执行周期、经费科目等主数据至资产系统，所有科研设备、耗材自动绑定对应科研项目，实现资产溯源至课题。</w:t>
            </w:r>
          </w:p>
          <w:p w14:paraId="7810BE6B">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教科研采购、设备申领数据推送：教科研平台内设备采购申报、仪器申领、试剂耗材申购审批完成后，自动向智慧资产系统推送采购清单、规格型号、预算金额、供应商、使用地点、课题归属，资产系统直接调取数据生成资产建账预审单，无需人工二次录入。</w:t>
            </w:r>
          </w:p>
          <w:p w14:paraId="3471704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3.教科研资产变动信息推送：科研设备调拨、实验室搬迁、人员变更、停用封存等业务审批完成，实时推送资产变更记录至智慧资产台账，自动更新资产使用人、存放地点、归属课题信息。</w:t>
            </w:r>
          </w:p>
          <w:p w14:paraId="210FA59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4.教科研处置申请推送：课题结题、设备报废、耗材核销流程办结后，自动推送资产处置单据至智慧资产系统，触发资产报废、销账流程联动审批。</w:t>
            </w:r>
          </w:p>
        </w:tc>
      </w:tr>
      <w:tr w14:paraId="0275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7A57035D">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成果管理</w:t>
            </w:r>
          </w:p>
        </w:tc>
        <w:tc>
          <w:tcPr>
            <w:tcW w:w="2076" w:type="dxa"/>
            <w:vAlign w:val="center"/>
          </w:tcPr>
          <w:p w14:paraId="7728F6F3">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bidi="ar"/>
              </w:rPr>
              <w:t>科研</w:t>
            </w:r>
            <w:r>
              <w:rPr>
                <w:rFonts w:hint="eastAsia" w:ascii="宋体" w:hAnsi="宋体" w:cs="宋体"/>
                <w:color w:val="auto"/>
                <w:kern w:val="0"/>
                <w:sz w:val="21"/>
                <w:szCs w:val="21"/>
                <w:highlight w:val="none"/>
                <w:lang w:bidi="ar"/>
              </w:rPr>
              <w:t>成果</w:t>
            </w:r>
          </w:p>
        </w:tc>
        <w:tc>
          <w:tcPr>
            <w:tcW w:w="7134" w:type="dxa"/>
            <w:vAlign w:val="center"/>
          </w:tcPr>
          <w:p w14:paraId="7996C55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论文登记审核：支持Excel批量导入、在线登记、论文认领三种形式。</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1.论文库：提供论文的查询、Excel导出以及统计分析功能。</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2.期刊源和刊物级别管理：支持期刊源创建及管理，支持刊物级别设定，并与论文库中的论文数据自动匹配。</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3.著作、研究报告、鉴定成果、艺术作品等成果信息登记、审核、查询、导入导出以及统计分析功能。</w:t>
            </w:r>
          </w:p>
        </w:tc>
      </w:tr>
      <w:tr w14:paraId="7D063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67E45F3F">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3F26DCB7">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教研成果</w:t>
            </w:r>
          </w:p>
        </w:tc>
        <w:tc>
          <w:tcPr>
            <w:tcW w:w="7134" w:type="dxa"/>
            <w:vAlign w:val="center"/>
          </w:tcPr>
          <w:p w14:paraId="50EE2761">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对教研各类成果进行管理，包括教学成果奖、</w:t>
            </w:r>
            <w:r>
              <w:rPr>
                <w:rFonts w:hint="eastAsia" w:ascii="宋体" w:hAnsi="宋体" w:eastAsia="宋体" w:cs="宋体"/>
                <w:color w:val="auto"/>
                <w:sz w:val="21"/>
                <w:szCs w:val="21"/>
                <w:highlight w:val="none"/>
                <w:lang w:val="zh-CN" w:eastAsia="zh-CN"/>
              </w:rPr>
              <w:t>教学荣誉、</w:t>
            </w:r>
            <w:r>
              <w:rPr>
                <w:rFonts w:hint="eastAsia" w:ascii="宋体" w:hAnsi="宋体" w:eastAsia="宋体" w:cs="宋体"/>
                <w:color w:val="auto"/>
                <w:sz w:val="21"/>
                <w:szCs w:val="21"/>
                <w:highlight w:val="none"/>
                <w:lang w:val="en-US" w:eastAsia="zh-CN"/>
              </w:rPr>
              <w:t>新编或修订教材信息管理、教研相关论文发表信息管理、著作信息管理。提供新增、删除、修改、查询、审核、Excel导入导出以及统计分析等功能。</w:t>
            </w:r>
          </w:p>
        </w:tc>
      </w:tr>
      <w:tr w14:paraId="6FF0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72348998">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648F8DE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知识产权</w:t>
            </w:r>
          </w:p>
        </w:tc>
        <w:tc>
          <w:tcPr>
            <w:tcW w:w="7134" w:type="dxa"/>
            <w:vAlign w:val="center"/>
          </w:tcPr>
          <w:p w14:paraId="72445A6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专利登记审批：提供在线登记、审核、查询、导入导出以及统计分析等功能。</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著作权、标准、集成电路布图、药证、新品种等知识产权信息登记、审核、查询、导入导出以及统计分析功能。</w:t>
            </w:r>
          </w:p>
        </w:tc>
      </w:tr>
      <w:tr w14:paraId="7A0FF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66684A31">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49F32A6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获奖成果</w:t>
            </w:r>
          </w:p>
        </w:tc>
        <w:tc>
          <w:tcPr>
            <w:tcW w:w="7134" w:type="dxa"/>
            <w:vAlign w:val="center"/>
          </w:tcPr>
          <w:p w14:paraId="31CE2F4E">
            <w:pPr>
              <w:ind w:firstLine="480"/>
              <w:jc w:val="both"/>
              <w:rPr>
                <w:rFonts w:hint="eastAsia" w:ascii="宋体" w:hAnsi="宋体" w:eastAsia="宋体" w:cs="宋体"/>
                <w:color w:val="auto"/>
                <w:sz w:val="21"/>
                <w:szCs w:val="21"/>
                <w:highlight w:val="none"/>
                <w:lang w:val="en-US" w:eastAsia="zh-CN"/>
              </w:rPr>
            </w:pPr>
          </w:p>
          <w:p w14:paraId="278A4EE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获奖申报：</w:t>
            </w:r>
          </w:p>
          <w:p w14:paraId="0002BE0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组织教科研人员申报各类教科研奖励，在线提交申报材料，跟踪申报进度。</w:t>
            </w:r>
          </w:p>
          <w:p w14:paraId="0441DE68">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获奖成果：</w:t>
            </w:r>
          </w:p>
          <w:p w14:paraId="6DFDDB8D">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记录已获得的奖励信息，包括奖励名称、等级、发证机关、获奖日期等，作为教科研考核的重要指标。</w:t>
            </w:r>
          </w:p>
          <w:p w14:paraId="10AF24F0">
            <w:pPr>
              <w:ind w:firstLine="480"/>
              <w:jc w:val="both"/>
              <w:rPr>
                <w:rFonts w:hint="eastAsia" w:ascii="宋体" w:hAnsi="宋体" w:eastAsia="宋体" w:cs="宋体"/>
                <w:color w:val="auto"/>
                <w:sz w:val="21"/>
                <w:szCs w:val="21"/>
                <w:highlight w:val="none"/>
                <w:lang w:val="en-US" w:eastAsia="zh-CN"/>
              </w:rPr>
            </w:pPr>
          </w:p>
        </w:tc>
      </w:tr>
      <w:tr w14:paraId="2A1D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522E13C3">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4CB90777">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学术交流</w:t>
            </w:r>
          </w:p>
        </w:tc>
        <w:tc>
          <w:tcPr>
            <w:tcW w:w="7134" w:type="dxa"/>
            <w:vAlign w:val="center"/>
          </w:tcPr>
          <w:p w14:paraId="71604216">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主办会议、学术讲座、参加会议、合作研究（人员派遣、人员接收）等学术交流活动信息登记、审核、查询、导入导出以及统计分析功能。</w:t>
            </w:r>
          </w:p>
        </w:tc>
      </w:tr>
      <w:tr w14:paraId="6BB4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Align w:val="center"/>
          </w:tcPr>
          <w:p w14:paraId="502AD385">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bidi="ar"/>
              </w:rPr>
              <w:t>科研、</w:t>
            </w:r>
            <w:r>
              <w:rPr>
                <w:rFonts w:hint="eastAsia" w:ascii="宋体" w:hAnsi="宋体" w:cs="宋体"/>
                <w:color w:val="FF0000"/>
                <w:kern w:val="0"/>
                <w:sz w:val="21"/>
                <w:szCs w:val="21"/>
                <w:highlight w:val="none"/>
                <w:lang w:eastAsia="zh-CN" w:bidi="ar"/>
              </w:rPr>
              <w:t>教研</w:t>
            </w:r>
            <w:r>
              <w:rPr>
                <w:rFonts w:hint="eastAsia" w:ascii="宋体" w:hAnsi="宋体" w:cs="宋体"/>
                <w:color w:val="auto"/>
                <w:kern w:val="0"/>
                <w:sz w:val="21"/>
                <w:szCs w:val="21"/>
                <w:highlight w:val="none"/>
                <w:lang w:bidi="ar"/>
              </w:rPr>
              <w:t>统计</w:t>
            </w:r>
          </w:p>
        </w:tc>
        <w:tc>
          <w:tcPr>
            <w:tcW w:w="2076" w:type="dxa"/>
            <w:vAlign w:val="center"/>
          </w:tcPr>
          <w:p w14:paraId="160163C5">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bidi="ar"/>
              </w:rPr>
              <w:t>教育部科技、社科统计、</w:t>
            </w:r>
            <w:r>
              <w:rPr>
                <w:rFonts w:hint="eastAsia" w:ascii="宋体" w:hAnsi="宋体" w:cs="宋体"/>
                <w:color w:val="FF0000"/>
                <w:kern w:val="0"/>
                <w:sz w:val="21"/>
                <w:szCs w:val="21"/>
                <w:highlight w:val="none"/>
                <w:lang w:eastAsia="zh-CN" w:bidi="ar"/>
              </w:rPr>
              <w:t>教研统计</w:t>
            </w:r>
          </w:p>
        </w:tc>
        <w:tc>
          <w:tcPr>
            <w:tcW w:w="7134" w:type="dxa"/>
            <w:vAlign w:val="center"/>
          </w:tcPr>
          <w:p w14:paraId="4E5D36DC">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基于教育部年度科技、社科统计</w:t>
            </w:r>
            <w:r>
              <w:rPr>
                <w:rFonts w:hint="eastAsia" w:ascii="宋体" w:hAnsi="宋体" w:cs="宋体"/>
                <w:color w:val="auto"/>
                <w:sz w:val="21"/>
                <w:szCs w:val="21"/>
                <w:highlight w:val="none"/>
                <w:lang w:val="en-US" w:eastAsia="zh-CN"/>
              </w:rPr>
              <w:t>、</w:t>
            </w:r>
            <w:r>
              <w:rPr>
                <w:rFonts w:hint="eastAsia" w:ascii="宋体" w:hAnsi="宋体" w:cs="宋体"/>
                <w:color w:val="FF0000"/>
                <w:sz w:val="21"/>
                <w:szCs w:val="21"/>
                <w:highlight w:val="none"/>
                <w:lang w:val="en-US" w:eastAsia="zh-CN"/>
              </w:rPr>
              <w:t>教研统计</w:t>
            </w:r>
            <w:r>
              <w:rPr>
                <w:rFonts w:hint="eastAsia" w:ascii="宋体" w:hAnsi="宋体" w:eastAsia="宋体" w:cs="宋体"/>
                <w:color w:val="auto"/>
                <w:sz w:val="21"/>
                <w:szCs w:val="21"/>
                <w:highlight w:val="none"/>
                <w:lang w:val="en-US" w:eastAsia="zh-CN"/>
              </w:rPr>
              <w:t>要求，提供自定义统计报表，可根据统计要求变化，通过</w:t>
            </w:r>
            <w:r>
              <w:rPr>
                <w:rFonts w:hint="eastAsia" w:ascii="宋体" w:hAnsi="宋体" w:cs="宋体"/>
                <w:color w:val="auto"/>
                <w:sz w:val="21"/>
                <w:szCs w:val="21"/>
                <w:highlight w:val="none"/>
                <w:lang w:val="en-US" w:eastAsia="zh-CN"/>
              </w:rPr>
              <w:t>低</w:t>
            </w:r>
            <w:r>
              <w:rPr>
                <w:rFonts w:hint="eastAsia" w:ascii="宋体" w:hAnsi="宋体" w:eastAsia="宋体" w:cs="宋体"/>
                <w:color w:val="auto"/>
                <w:sz w:val="21"/>
                <w:szCs w:val="21"/>
                <w:highlight w:val="none"/>
                <w:lang w:val="en-US" w:eastAsia="zh-CN"/>
              </w:rPr>
              <w:t>代码平台，随时按需调整自定义报表，满足学校科研</w:t>
            </w:r>
            <w:r>
              <w:rPr>
                <w:rFonts w:hint="eastAsia" w:ascii="宋体" w:hAnsi="宋体" w:cs="宋体"/>
                <w:color w:val="auto"/>
                <w:sz w:val="21"/>
                <w:szCs w:val="21"/>
                <w:highlight w:val="none"/>
                <w:lang w:val="en-US" w:eastAsia="zh-CN"/>
              </w:rPr>
              <w:t>、</w:t>
            </w:r>
            <w:r>
              <w:rPr>
                <w:rFonts w:hint="eastAsia" w:ascii="宋体" w:hAnsi="宋体" w:cs="宋体"/>
                <w:color w:val="FF0000"/>
                <w:sz w:val="21"/>
                <w:szCs w:val="21"/>
                <w:highlight w:val="none"/>
                <w:lang w:val="en-US" w:eastAsia="zh-CN"/>
              </w:rPr>
              <w:t>教研</w:t>
            </w:r>
            <w:r>
              <w:rPr>
                <w:rFonts w:hint="eastAsia" w:ascii="宋体" w:hAnsi="宋体" w:eastAsia="宋体" w:cs="宋体"/>
                <w:color w:val="auto"/>
                <w:sz w:val="21"/>
                <w:szCs w:val="21"/>
                <w:highlight w:val="none"/>
                <w:lang w:val="en-US" w:eastAsia="zh-CN"/>
              </w:rPr>
              <w:t>日常管理数据和教育部年度科研统计工作的动态化需要。</w:t>
            </w:r>
          </w:p>
        </w:tc>
      </w:tr>
      <w:tr w14:paraId="7A79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3BC5A4CF">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文档管理</w:t>
            </w:r>
          </w:p>
        </w:tc>
        <w:tc>
          <w:tcPr>
            <w:tcW w:w="2076" w:type="dxa"/>
            <w:vAlign w:val="center"/>
          </w:tcPr>
          <w:p w14:paraId="285062D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项目文档</w:t>
            </w:r>
          </w:p>
        </w:tc>
        <w:tc>
          <w:tcPr>
            <w:tcW w:w="7134" w:type="dxa"/>
            <w:vAlign w:val="center"/>
          </w:tcPr>
          <w:p w14:paraId="2EED343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实现对教科研项目按照不同项目阶段，填报的项目资料，进行一键归档，包括项目的文档资料、影音资料、流程资料、图片等。</w:t>
            </w:r>
          </w:p>
        </w:tc>
      </w:tr>
      <w:tr w14:paraId="2CBC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4F614081">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60F484CE">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标准管理</w:t>
            </w:r>
          </w:p>
        </w:tc>
        <w:tc>
          <w:tcPr>
            <w:tcW w:w="7134" w:type="dxa"/>
            <w:vAlign w:val="center"/>
          </w:tcPr>
          <w:p w14:paraId="1F97BAEA">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实现对教科研相关标准的记录，并可发布到领导门户或成员门户。</w:t>
            </w:r>
          </w:p>
        </w:tc>
      </w:tr>
      <w:tr w14:paraId="0B80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16368BDA">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459FF31A">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公共知识库</w:t>
            </w:r>
          </w:p>
        </w:tc>
        <w:tc>
          <w:tcPr>
            <w:tcW w:w="7134" w:type="dxa"/>
            <w:vAlign w:val="center"/>
          </w:tcPr>
          <w:p w14:paraId="243DFC2C">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实现对教科研文档的云盘管理，支持按类别新建知识库并上传相关文档，支持权限管控。</w:t>
            </w:r>
          </w:p>
        </w:tc>
      </w:tr>
      <w:tr w14:paraId="56BB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2C0A4E07">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22602F7F">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政策公告</w:t>
            </w:r>
          </w:p>
        </w:tc>
        <w:tc>
          <w:tcPr>
            <w:tcW w:w="7134" w:type="dxa"/>
            <w:vAlign w:val="center"/>
          </w:tcPr>
          <w:p w14:paraId="5F0AE38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实现对教科研相关政策公告的记录，并可发布到领导门户或成员门户。</w:t>
            </w:r>
          </w:p>
        </w:tc>
      </w:tr>
      <w:tr w14:paraId="720DC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9" w:type="dxa"/>
            <w:vMerge w:val="restart"/>
            <w:vAlign w:val="center"/>
          </w:tcPr>
          <w:p w14:paraId="74B94644">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基础资源</w:t>
            </w:r>
          </w:p>
        </w:tc>
        <w:tc>
          <w:tcPr>
            <w:tcW w:w="2076" w:type="dxa"/>
            <w:vAlign w:val="center"/>
          </w:tcPr>
          <w:p w14:paraId="02C98356">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bidi="ar"/>
              </w:rPr>
              <w:t>教科研</w:t>
            </w:r>
            <w:r>
              <w:rPr>
                <w:rFonts w:hint="eastAsia" w:ascii="宋体" w:hAnsi="宋体" w:cs="宋体"/>
                <w:color w:val="auto"/>
                <w:kern w:val="0"/>
                <w:sz w:val="21"/>
                <w:szCs w:val="21"/>
                <w:highlight w:val="none"/>
                <w:lang w:bidi="ar"/>
              </w:rPr>
              <w:t>队伍</w:t>
            </w:r>
          </w:p>
        </w:tc>
        <w:tc>
          <w:tcPr>
            <w:tcW w:w="7134" w:type="dxa"/>
            <w:vAlign w:val="center"/>
          </w:tcPr>
          <w:p w14:paraId="20F0D890">
            <w:pPr>
              <w:ind w:firstLine="480"/>
              <w:jc w:val="both"/>
              <w:rPr>
                <w:rFonts w:hint="eastAsia" w:ascii="宋体" w:hAnsi="宋体" w:eastAsia="宋体" w:cs="宋体"/>
                <w:color w:val="auto"/>
                <w:sz w:val="21"/>
                <w:szCs w:val="21"/>
                <w:highlight w:val="none"/>
                <w:lang w:val="en-US" w:eastAsia="zh-CN"/>
              </w:rPr>
            </w:pPr>
            <w:r>
              <w:rPr>
                <w:rFonts w:hint="eastAsia" w:ascii="宋体" w:hAnsi="宋体" w:cs="宋体"/>
                <w:color w:val="auto"/>
                <w:kern w:val="0"/>
                <w:sz w:val="21"/>
                <w:szCs w:val="21"/>
                <w:highlight w:val="none"/>
                <w:lang w:eastAsia="zh-CN" w:bidi="ar"/>
              </w:rPr>
              <w:t>教</w:t>
            </w:r>
            <w:r>
              <w:rPr>
                <w:rFonts w:hint="eastAsia" w:ascii="宋体" w:hAnsi="宋体" w:eastAsia="宋体" w:cs="宋体"/>
                <w:color w:val="auto"/>
                <w:sz w:val="21"/>
                <w:szCs w:val="21"/>
                <w:highlight w:val="none"/>
                <w:lang w:val="en-US" w:eastAsia="zh-CN"/>
              </w:rPr>
              <w:t>科研人员库：教科研人员基本信息（可与人事系统同步）、教科研信息管理及维护、查询、统计及导出；可生成个人教科研详情概览，汇总个人教科研项目、经费、成果等数据，可自定义配置展示数据项，可进行个人教科研详情表导出或者打印。</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专家管理：管理校内专家、领军人才信息，记录人才称号、研究领域、学术兼职等，支撑高端人才服务。</w:t>
            </w:r>
          </w:p>
          <w:p w14:paraId="71E0BBB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专家分组：按学科对专家进行分组，便于项目评审、成果鉴定时精准匹配专家。</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组织结构：学校教科研组织结构树创建及维护，支撑分级管理。</w:t>
            </w:r>
          </w:p>
          <w:p w14:paraId="07C02BA0">
            <w:pPr>
              <w:ind w:firstLine="480"/>
              <w:jc w:val="both"/>
              <w:rPr>
                <w:color w:val="auto"/>
                <w:sz w:val="21"/>
                <w:szCs w:val="21"/>
                <w:highlight w:val="none"/>
                <w:lang w:bidi="ar"/>
              </w:rPr>
            </w:pPr>
            <w:r>
              <w:rPr>
                <w:rFonts w:hint="eastAsia" w:ascii="宋体" w:hAnsi="宋体" w:eastAsia="宋体" w:cs="宋体"/>
                <w:color w:val="auto"/>
                <w:sz w:val="21"/>
                <w:szCs w:val="21"/>
                <w:highlight w:val="none"/>
                <w:lang w:val="en-US" w:eastAsia="zh-CN"/>
              </w:rPr>
              <w:t>人员画像：通过整合教科研人员在系统内的各类数据，构建可视化、多维度教科研特征人员画像。</w:t>
            </w:r>
          </w:p>
        </w:tc>
      </w:tr>
      <w:tr w14:paraId="00BF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166736F4">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10B3F6A6">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bidi="ar"/>
              </w:rPr>
              <w:t>教科研</w:t>
            </w:r>
            <w:r>
              <w:rPr>
                <w:rFonts w:hint="eastAsia" w:ascii="宋体" w:hAnsi="宋体" w:cs="宋体"/>
                <w:color w:val="auto"/>
                <w:kern w:val="0"/>
                <w:sz w:val="21"/>
                <w:szCs w:val="21"/>
                <w:highlight w:val="none"/>
                <w:lang w:bidi="ar"/>
              </w:rPr>
              <w:t>平台</w:t>
            </w:r>
          </w:p>
        </w:tc>
        <w:tc>
          <w:tcPr>
            <w:tcW w:w="7134" w:type="dxa"/>
            <w:vAlign w:val="center"/>
          </w:tcPr>
          <w:p w14:paraId="3968D9D1">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教科研平台管理学校的教科研平台，记录机构名称、级别、依托单位等，关联平台承担的项目。仪器设备：管理学校教科研相关的仪器设备，登记相关仪器设备信息，并维护仪器设备状态。</w:t>
            </w:r>
          </w:p>
          <w:p w14:paraId="630A0722">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资源申请：发起资源申请流程，记录资源使用情况。</w:t>
            </w:r>
          </w:p>
        </w:tc>
      </w:tr>
      <w:tr w14:paraId="14BA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5F4B9AC4">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移动端平台</w:t>
            </w:r>
          </w:p>
        </w:tc>
        <w:tc>
          <w:tcPr>
            <w:tcW w:w="2076" w:type="dxa"/>
            <w:vAlign w:val="center"/>
          </w:tcPr>
          <w:p w14:paraId="727D468A">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移动安全</w:t>
            </w:r>
          </w:p>
        </w:tc>
        <w:tc>
          <w:tcPr>
            <w:tcW w:w="7134" w:type="dxa"/>
            <w:vAlign w:val="center"/>
          </w:tcPr>
          <w:p w14:paraId="4B080734">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支持通过移动终端的设备绑定方式来控制移动设备的安全性，并且支持多种安全验证方式来进行移动办公。</w:t>
            </w:r>
          </w:p>
        </w:tc>
      </w:tr>
      <w:tr w14:paraId="741E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68D41793">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2B99508C">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移动办公</w:t>
            </w:r>
          </w:p>
        </w:tc>
        <w:tc>
          <w:tcPr>
            <w:tcW w:w="7134" w:type="dxa"/>
            <w:vAlign w:val="center"/>
          </w:tcPr>
          <w:p w14:paraId="33B3E526">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为企业提供灵活、实时互联的工作处理方式，打破时间与空间的限制，快速实现工作的实时处理。移动端整合高校教科研项目全流程管理能力，校内教科研人员可在线完成审批、项目查看、进度跟踪、经费监控等工作，随时处理事务、上报进展。支持iOS和Android平台的移动端应用。</w:t>
            </w:r>
          </w:p>
        </w:tc>
      </w:tr>
      <w:tr w14:paraId="3BEC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2FD772C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基础平台</w:t>
            </w:r>
          </w:p>
        </w:tc>
        <w:tc>
          <w:tcPr>
            <w:tcW w:w="2076" w:type="dxa"/>
            <w:vAlign w:val="center"/>
          </w:tcPr>
          <w:p w14:paraId="775B967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低代码平台</w:t>
            </w:r>
          </w:p>
        </w:tc>
        <w:tc>
          <w:tcPr>
            <w:tcW w:w="7134" w:type="dxa"/>
            <w:vAlign w:val="center"/>
          </w:tcPr>
          <w:p w14:paraId="0FA8EA7E">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平台需集成表单引擎、页面设计、工作流程引擎、ESB引擎、数据分析引擎、集成中心、数据仓库</w:t>
            </w:r>
            <w:r>
              <w:rPr>
                <w:rFonts w:hint="eastAsia" w:ascii="宋体" w:hAnsi="宋体" w:cs="宋体"/>
                <w:color w:val="auto"/>
                <w:sz w:val="21"/>
                <w:szCs w:val="21"/>
                <w:highlight w:val="none"/>
                <w:lang w:val="en-US" w:eastAsia="zh-CN"/>
              </w:rPr>
              <w:t>等几</w:t>
            </w:r>
            <w:r>
              <w:rPr>
                <w:rFonts w:hint="eastAsia" w:ascii="宋体" w:hAnsi="宋体" w:eastAsia="宋体" w:cs="宋体"/>
                <w:color w:val="auto"/>
                <w:sz w:val="21"/>
                <w:szCs w:val="21"/>
                <w:highlight w:val="none"/>
                <w:lang w:val="en-US" w:eastAsia="zh-CN"/>
              </w:rPr>
              <w:t>大核心能力。用户只需通过简单的拖拽、配置，即可完成业务应用的搭建。同时，平台还具备一次搭建双端适配、权限独立设置、定制消息提醒推送等特性，目的是为</w:t>
            </w:r>
            <w:r>
              <w:rPr>
                <w:rFonts w:hint="eastAsia" w:ascii="宋体" w:hAnsi="宋体" w:eastAsia="宋体" w:cs="宋体"/>
                <w:color w:val="FF0000"/>
                <w:sz w:val="21"/>
                <w:szCs w:val="21"/>
                <w:highlight w:val="none"/>
                <w:lang w:val="en-US" w:eastAsia="zh-CN"/>
              </w:rPr>
              <w:t>企</w:t>
            </w:r>
            <w:r>
              <w:rPr>
                <w:rFonts w:hint="eastAsia" w:ascii="宋体" w:hAnsi="宋体" w:cs="宋体"/>
                <w:color w:val="FF0000"/>
                <w:sz w:val="21"/>
                <w:szCs w:val="21"/>
                <w:highlight w:val="none"/>
                <w:lang w:val="en-US" w:eastAsia="zh-CN"/>
              </w:rPr>
              <w:t>事</w:t>
            </w:r>
            <w:r>
              <w:rPr>
                <w:rFonts w:hint="eastAsia" w:ascii="宋体" w:hAnsi="宋体" w:eastAsia="宋体" w:cs="宋体"/>
                <w:color w:val="FF0000"/>
                <w:sz w:val="21"/>
                <w:szCs w:val="21"/>
                <w:highlight w:val="none"/>
                <w:lang w:val="en-US" w:eastAsia="zh-CN"/>
              </w:rPr>
              <w:t>业</w:t>
            </w:r>
            <w:r>
              <w:rPr>
                <w:rFonts w:hint="eastAsia" w:ascii="宋体" w:hAnsi="宋体" w:eastAsia="宋体" w:cs="宋体"/>
                <w:color w:val="auto"/>
                <w:sz w:val="21"/>
                <w:szCs w:val="21"/>
                <w:highlight w:val="none"/>
                <w:lang w:val="en-US" w:eastAsia="zh-CN"/>
              </w:rPr>
              <w:t>提供一套低代码应用构建平台，能够快速构建出符合企业所需的各种业务应用。</w:t>
            </w:r>
          </w:p>
        </w:tc>
      </w:tr>
      <w:tr w14:paraId="3A6F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04D1E7D7">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03B7CA12">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流程引擎</w:t>
            </w:r>
          </w:p>
        </w:tc>
        <w:tc>
          <w:tcPr>
            <w:tcW w:w="7134" w:type="dxa"/>
            <w:vAlign w:val="center"/>
          </w:tcPr>
          <w:p w14:paraId="3CCFD966">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可视化的流程设计，丰富的流程组件，全面支撑组织的审批流、业务流、数据流等所有流程类型</w:t>
            </w:r>
          </w:p>
        </w:tc>
      </w:tr>
      <w:tr w14:paraId="3022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371EA2BE">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2D561A48">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门户页面引擎</w:t>
            </w:r>
          </w:p>
        </w:tc>
        <w:tc>
          <w:tcPr>
            <w:tcW w:w="7134" w:type="dxa"/>
            <w:vAlign w:val="center"/>
          </w:tcPr>
          <w:p w14:paraId="5B3B0C0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灵活构建页面布局，集中展示业务应用数据，丰富的权限控制，既打通内外，又实现千人千面。</w:t>
            </w:r>
          </w:p>
        </w:tc>
      </w:tr>
      <w:tr w14:paraId="1CC6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47F0C28E">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7A64A490">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报表引擎</w:t>
            </w:r>
          </w:p>
        </w:tc>
        <w:tc>
          <w:tcPr>
            <w:tcW w:w="7134" w:type="dxa"/>
            <w:vAlign w:val="center"/>
          </w:tcPr>
          <w:p w14:paraId="020A267F">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建设数据全面、业务整合的数据决策系统</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基于高效便捷的数据分析可视化工具，满足组织报表、大屏需求。</w:t>
            </w:r>
          </w:p>
        </w:tc>
      </w:tr>
      <w:tr w14:paraId="6E63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01B5BF4A">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3478275E">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集成引擎</w:t>
            </w:r>
          </w:p>
        </w:tc>
        <w:tc>
          <w:tcPr>
            <w:tcW w:w="7134" w:type="dxa"/>
            <w:vAlign w:val="center"/>
          </w:tcPr>
          <w:p w14:paraId="008AFE72">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连接器+集成编排+云桥平台，凭借三大核心能力快速连接各类异构系统或被集成，打通多系统数据交互，消灭信息孤岛。</w:t>
            </w:r>
          </w:p>
        </w:tc>
      </w:tr>
      <w:tr w14:paraId="749C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778AB7F7">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p>
        </w:tc>
        <w:tc>
          <w:tcPr>
            <w:tcW w:w="2076" w:type="dxa"/>
            <w:vAlign w:val="center"/>
          </w:tcPr>
          <w:p w14:paraId="1FC0666F">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全代码无侵入开发</w:t>
            </w:r>
          </w:p>
        </w:tc>
        <w:tc>
          <w:tcPr>
            <w:tcW w:w="7134" w:type="dxa"/>
            <w:vAlign w:val="center"/>
          </w:tcPr>
          <w:p w14:paraId="332672C9">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提供无侵入开发能力，覆盖各种开发场景，在线即可实现代码编辑。</w:t>
            </w:r>
          </w:p>
        </w:tc>
      </w:tr>
      <w:tr w14:paraId="6FE6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restart"/>
            <w:vAlign w:val="center"/>
          </w:tcPr>
          <w:p w14:paraId="5E107E4B">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系统集成</w:t>
            </w:r>
          </w:p>
        </w:tc>
        <w:tc>
          <w:tcPr>
            <w:tcW w:w="2076" w:type="dxa"/>
            <w:vAlign w:val="center"/>
          </w:tcPr>
          <w:p w14:paraId="39C9EF25">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统一身份认证</w:t>
            </w:r>
          </w:p>
        </w:tc>
        <w:tc>
          <w:tcPr>
            <w:tcW w:w="7134" w:type="dxa"/>
            <w:vAlign w:val="center"/>
          </w:tcPr>
          <w:p w14:paraId="12E832F7">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实现登录认证源的对接/单点登录集成。</w:t>
            </w:r>
          </w:p>
        </w:tc>
      </w:tr>
      <w:tr w14:paraId="69D6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79DC56C2">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14F93E1A">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人事系统对接</w:t>
            </w:r>
          </w:p>
        </w:tc>
        <w:tc>
          <w:tcPr>
            <w:tcW w:w="7134" w:type="dxa"/>
            <w:vAlign w:val="center"/>
          </w:tcPr>
          <w:p w14:paraId="38D01508">
            <w:pPr>
              <w:ind w:firstLine="480"/>
              <w:jc w:val="both"/>
              <w:rPr>
                <w:rFonts w:hint="eastAsia" w:ascii="宋体" w:hAnsi="宋体" w:eastAsia="宋体" w:cs="宋体"/>
                <w:color w:val="auto"/>
                <w:sz w:val="21"/>
                <w:szCs w:val="21"/>
                <w:highlight w:val="none"/>
                <w:lang w:val="en-US" w:eastAsia="zh-CN"/>
              </w:rPr>
            </w:pPr>
            <w:r>
              <w:rPr>
                <w:rFonts w:ascii="宋体" w:hAnsi="宋体" w:eastAsia="宋体" w:cs="宋体"/>
                <w:color w:val="FF0000"/>
                <w:sz w:val="21"/>
                <w:szCs w:val="21"/>
              </w:rPr>
              <w:t>完成教职工人事基础数据同步，实现教科研项目人员信息联动校验，满足教科研项目人事信息、项目业务全周期一体化管理，保障人事与教科研业务数据同源一致。</w:t>
            </w:r>
          </w:p>
        </w:tc>
      </w:tr>
      <w:tr w14:paraId="64A6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Merge w:val="continue"/>
            <w:vAlign w:val="center"/>
          </w:tcPr>
          <w:p w14:paraId="072AD989">
            <w:pPr>
              <w:snapToGrid w:val="0"/>
              <w:spacing w:line="240" w:lineRule="auto"/>
              <w:ind w:firstLine="0" w:firstLineChars="0"/>
              <w:jc w:val="both"/>
              <w:rPr>
                <w:rFonts w:hint="eastAsia" w:ascii="宋体" w:hAnsi="宋体" w:cs="宋体"/>
                <w:color w:val="auto"/>
                <w:kern w:val="0"/>
                <w:sz w:val="21"/>
                <w:szCs w:val="21"/>
                <w:highlight w:val="none"/>
              </w:rPr>
            </w:pPr>
          </w:p>
        </w:tc>
        <w:tc>
          <w:tcPr>
            <w:tcW w:w="2076" w:type="dxa"/>
            <w:vAlign w:val="center"/>
          </w:tcPr>
          <w:p w14:paraId="11E81F29">
            <w:pPr>
              <w:widowControl/>
              <w:snapToGrid w:val="0"/>
              <w:spacing w:line="240" w:lineRule="auto"/>
              <w:ind w:firstLine="0" w:firstLineChars="0"/>
              <w:jc w:val="both"/>
              <w:textAlignment w:val="center"/>
              <w:rPr>
                <w:rFonts w:hint="eastAsia" w:ascii="宋体" w:hAnsi="宋体" w:cs="宋体"/>
                <w:color w:val="auto"/>
                <w:kern w:val="0"/>
                <w:sz w:val="21"/>
                <w:szCs w:val="21"/>
                <w:highlight w:val="none"/>
                <w:lang w:bidi="ar"/>
              </w:rPr>
            </w:pPr>
            <w:r>
              <w:rPr>
                <w:rFonts w:hint="eastAsia" w:ascii="宋体" w:hAnsi="宋体" w:cs="宋体"/>
                <w:color w:val="auto"/>
                <w:kern w:val="0"/>
                <w:sz w:val="21"/>
                <w:szCs w:val="21"/>
                <w:highlight w:val="none"/>
                <w:lang w:bidi="ar"/>
              </w:rPr>
              <w:t>数据共享</w:t>
            </w:r>
          </w:p>
        </w:tc>
        <w:tc>
          <w:tcPr>
            <w:tcW w:w="7134" w:type="dxa"/>
            <w:vAlign w:val="center"/>
          </w:tcPr>
          <w:p w14:paraId="110018D3">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与学校数据共享平台对接，实现教科研数据共享。</w:t>
            </w:r>
          </w:p>
        </w:tc>
      </w:tr>
      <w:tr w14:paraId="35CF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9" w:type="dxa"/>
            <w:vAlign w:val="center"/>
          </w:tcPr>
          <w:p w14:paraId="53BA5590">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历史数据录入</w:t>
            </w:r>
          </w:p>
        </w:tc>
        <w:tc>
          <w:tcPr>
            <w:tcW w:w="2076" w:type="dxa"/>
            <w:vAlign w:val="center"/>
          </w:tcPr>
          <w:p w14:paraId="2E7145B6">
            <w:pPr>
              <w:widowControl/>
              <w:snapToGrid w:val="0"/>
              <w:spacing w:line="240" w:lineRule="auto"/>
              <w:ind w:firstLine="0" w:firstLineChars="0"/>
              <w:jc w:val="both"/>
              <w:textAlignment w:val="center"/>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bidi="ar"/>
              </w:rPr>
              <w:t>历史数据录入系统</w:t>
            </w:r>
          </w:p>
        </w:tc>
        <w:tc>
          <w:tcPr>
            <w:tcW w:w="7134" w:type="dxa"/>
            <w:vAlign w:val="center"/>
          </w:tcPr>
          <w:p w14:paraId="4A8C2D22">
            <w:pPr>
              <w:ind w:firstLine="48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历史数据分析、处理、校验，将在研项目录入新系统</w:t>
            </w:r>
          </w:p>
        </w:tc>
      </w:tr>
    </w:tbl>
    <w:p w14:paraId="6558C08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宋体" w:hAnsi="宋体" w:eastAsia="宋体" w:cs="宋体"/>
          <w:b/>
          <w:bCs/>
          <w:color w:val="auto"/>
          <w:sz w:val="24"/>
          <w:szCs w:val="24"/>
          <w:highlight w:val="none"/>
          <w:lang w:val="en-US" w:eastAsia="zh-CN"/>
        </w:rPr>
      </w:pPr>
    </w:p>
    <w:p w14:paraId="0DCC14A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5、其它要求</w:t>
      </w:r>
    </w:p>
    <w:p w14:paraId="0EC512AD">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1.售后服务内容：</w:t>
      </w:r>
    </w:p>
    <w:p w14:paraId="396A1E7C">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1.1产品免费质保期：自验收之日起三年内，提供三年免费技术支持服务。由于系统本身程序所引起的问题，提供永久的免费技术支持服务。</w:t>
      </w:r>
    </w:p>
    <w:p w14:paraId="37205842">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1.2产品故障响应时间：投标方须提供5*8小时的电话技术支持和服务，对于一般问题，2小时内做出实质性响应，4小时内解决问题；对重大问题提供现场技术支持，12小时内到达指定现场，24小时内解决问题。</w:t>
      </w:r>
    </w:p>
    <w:p w14:paraId="6EE6B451">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2.培训要求（培训费报价包含在总报价中）：投标人须对使用方人员进行培训，确保使用方人员具有正常使用、简单维护、一般故障处理的能力。</w:t>
      </w:r>
    </w:p>
    <w:p w14:paraId="07E1CF23">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3.知识产权要求：</w:t>
      </w:r>
    </w:p>
    <w:p w14:paraId="68DD87A7">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3.1中标方为平台建设所提供的既有成熟产品（平台组件等）的知识产权仍归中标方所有，但招标人享有完全使用权。</w:t>
      </w:r>
    </w:p>
    <w:p w14:paraId="15AA0D9A">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3.2按照招标人定制的应用的知识产权归招标人所有，招标人在申请独立的知识产权等权益时，中标方必须进行必要的配合。</w:t>
      </w:r>
    </w:p>
    <w:p w14:paraId="37D8910E">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3.3中标方不得在软件产品中设置任何使用障碍和涉及信息安全的后门。</w:t>
      </w:r>
    </w:p>
    <w:p w14:paraId="3C3907CE">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3.4中标方对招标人提供的所有业务技术资料、文档，有责任对第三方保密。</w:t>
      </w:r>
    </w:p>
    <w:p w14:paraId="12CA8C90">
      <w:pPr>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highlight w:val="none"/>
          <w:lang w:val="en-US" w:eastAsia="zh-CN"/>
        </w:rPr>
        <w:t>4</w:t>
      </w:r>
      <w:r>
        <w:rPr>
          <w:rFonts w:ascii="宋体" w:hAnsi="宋体" w:cs="宋体"/>
          <w:color w:val="auto"/>
          <w:sz w:val="24"/>
          <w:highlight w:val="none"/>
        </w:rPr>
        <w:t>.</w:t>
      </w:r>
      <w:r>
        <w:rPr>
          <w:rFonts w:hint="eastAsia" w:ascii="宋体" w:hAnsi="宋体" w:eastAsia="宋体" w:cs="宋体"/>
          <w:color w:val="auto"/>
          <w:sz w:val="24"/>
          <w:szCs w:val="24"/>
          <w:highlight w:val="none"/>
          <w:lang w:val="en-US" w:eastAsia="zh-CN"/>
        </w:rPr>
        <w:t>保密义务：</w:t>
      </w:r>
    </w:p>
    <w:p w14:paraId="57B9A9C7">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4.1保密内容：不得将项目涉及的数据规范、技术资料等信息向第三方泄露、透露和披露。</w:t>
      </w:r>
    </w:p>
    <w:p w14:paraId="08B309A5">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4.2涉密人员范围：合同签订者、项目实施者及相关人员。</w:t>
      </w:r>
    </w:p>
    <w:p w14:paraId="5785A3F4">
      <w:p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4.3保密期限：合同有效期内。</w:t>
      </w:r>
    </w:p>
    <w:p w14:paraId="541066E8">
      <w:pPr>
        <w:ind w:firstLine="480" w:firstLineChars="200"/>
        <w:rPr>
          <w:rFonts w:hint="eastAsia" w:ascii="宋体" w:hAnsi="宋体" w:cs="宋体"/>
          <w:color w:val="auto"/>
          <w:sz w:val="24"/>
          <w:highlight w:val="none"/>
        </w:rPr>
      </w:pPr>
      <w:r>
        <w:rPr>
          <w:rFonts w:hint="eastAsia" w:ascii="宋体" w:hAnsi="宋体" w:eastAsia="宋体" w:cs="宋体"/>
          <w:color w:val="auto"/>
          <w:sz w:val="24"/>
          <w:szCs w:val="24"/>
          <w:highlight w:val="none"/>
          <w:lang w:val="en-US" w:eastAsia="zh-CN"/>
        </w:rPr>
        <w:t>4.4泄密责任：根据合同约定应承担相应的经济责任，如果触犯相关法律，要依法追究相关责任人的法律责</w:t>
      </w:r>
      <w:r>
        <w:rPr>
          <w:rFonts w:hint="eastAsia" w:ascii="宋体" w:hAnsi="宋体" w:cs="宋体"/>
          <w:color w:val="auto"/>
          <w:sz w:val="24"/>
          <w:highlight w:val="none"/>
        </w:rPr>
        <w:t>任。</w:t>
      </w:r>
    </w:p>
    <w:p w14:paraId="4B9D15E2">
      <w:pPr>
        <w:rPr>
          <w:rFonts w:hint="eastAsia" w:ascii="Arial" w:hAnsi="Arial"/>
          <w:color w:val="auto"/>
          <w:kern w:val="2"/>
          <w:sz w:val="32"/>
          <w:szCs w:val="32"/>
          <w:highlight w:val="none"/>
          <w:lang w:val="en-US" w:eastAsia="zh-CN"/>
        </w:rPr>
      </w:pPr>
    </w:p>
    <w:p w14:paraId="58F86E94">
      <w:pPr>
        <w:rPr>
          <w:rFonts w:hint="eastAsia" w:ascii="Arial" w:hAnsi="Arial"/>
          <w:color w:val="auto"/>
          <w:kern w:val="2"/>
          <w:sz w:val="32"/>
          <w:szCs w:val="32"/>
          <w:highlight w:val="none"/>
          <w:lang w:val="en-US" w:eastAsia="zh-CN"/>
        </w:rPr>
      </w:pPr>
    </w:p>
    <w:p w14:paraId="28D4ED9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48"/>
    </w:p>
    <w:p w14:paraId="5A12204F">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本项目将按照磋商文件第二章 供应商须知的相关要求及本章的规定评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3224582E">
      <w:pPr>
        <w:numPr>
          <w:ilvl w:val="0"/>
          <w:numId w:val="3"/>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7AF9AB9">
      <w:pPr>
        <w:numPr>
          <w:ilvl w:val="0"/>
          <w:numId w:val="0"/>
        </w:numPr>
        <w:spacing w:line="360" w:lineRule="auto"/>
        <w:ind w:firstLine="420" w:firstLineChars="200"/>
        <w:rPr>
          <w:rFonts w:hint="default"/>
          <w:color w:val="auto"/>
          <w:sz w:val="21"/>
          <w:szCs w:val="21"/>
          <w:highlight w:val="none"/>
          <w:lang w:val="en-US" w:eastAsia="zh-CN"/>
        </w:rPr>
      </w:pPr>
      <w:r>
        <w:rPr>
          <w:rFonts w:hint="eastAsia"/>
          <w:color w:val="auto"/>
          <w:sz w:val="21"/>
          <w:szCs w:val="21"/>
          <w:highlight w:val="none"/>
          <w:lang w:val="en-US" w:eastAsia="zh-CN"/>
        </w:rPr>
        <w:t>磋商</w:t>
      </w:r>
      <w:r>
        <w:rPr>
          <w:rFonts w:hint="default"/>
          <w:color w:val="auto"/>
          <w:sz w:val="21"/>
          <w:szCs w:val="21"/>
          <w:highlight w:val="none"/>
          <w:lang w:val="en-US" w:eastAsia="zh-CN"/>
        </w:rPr>
        <w:t>小组对供应商的响应文件进行初审，以确定其是否满足</w:t>
      </w:r>
      <w:r>
        <w:rPr>
          <w:rFonts w:hint="eastAsia"/>
          <w:color w:val="auto"/>
          <w:sz w:val="21"/>
          <w:szCs w:val="21"/>
          <w:highlight w:val="none"/>
          <w:lang w:val="en-US" w:eastAsia="zh-CN"/>
        </w:rPr>
        <w:t>磋商</w:t>
      </w:r>
      <w:r>
        <w:rPr>
          <w:rFonts w:hint="default"/>
          <w:color w:val="auto"/>
          <w:sz w:val="21"/>
          <w:szCs w:val="21"/>
          <w:highlight w:val="none"/>
          <w:lang w:val="en-US" w:eastAsia="zh-CN"/>
        </w:rPr>
        <w:t>文件的实质性要求。</w:t>
      </w:r>
    </w:p>
    <w:p w14:paraId="20C01C30">
      <w:pPr>
        <w:numPr>
          <w:ilvl w:val="0"/>
          <w:numId w:val="0"/>
        </w:numPr>
        <w:spacing w:line="360" w:lineRule="auto"/>
        <w:rPr>
          <w:rFonts w:hint="default"/>
          <w:color w:val="auto"/>
          <w:sz w:val="21"/>
          <w:szCs w:val="21"/>
          <w:highlight w:val="none"/>
          <w:lang w:val="en-US"/>
        </w:rPr>
      </w:pPr>
      <w:r>
        <w:rPr>
          <w:rFonts w:hint="default"/>
          <w:color w:val="auto"/>
          <w:sz w:val="21"/>
          <w:szCs w:val="21"/>
          <w:highlight w:val="none"/>
          <w:lang w:val="en-US" w:eastAsia="zh-CN"/>
        </w:rPr>
        <w:t>初审表如下</w:t>
      </w:r>
      <w:r>
        <w:rPr>
          <w:rFonts w:hint="eastAsia"/>
          <w:color w:val="auto"/>
          <w:sz w:val="21"/>
          <w:szCs w:val="21"/>
          <w:highlight w:val="none"/>
          <w:lang w:val="en-US" w:eastAsia="zh-CN"/>
        </w:rPr>
        <w:t>：</w:t>
      </w:r>
    </w:p>
    <w:tbl>
      <w:tblPr>
        <w:tblStyle w:val="40"/>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935"/>
        <w:gridCol w:w="4821"/>
        <w:gridCol w:w="1968"/>
      </w:tblGrid>
      <w:tr w14:paraId="7B9A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400" w:type="dxa"/>
            <w:gridSpan w:val="4"/>
            <w:tcBorders>
              <w:bottom w:val="single" w:color="auto" w:sz="4" w:space="0"/>
            </w:tcBorders>
            <w:vAlign w:val="center"/>
          </w:tcPr>
          <w:p w14:paraId="1EE22967">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cs="宋体"/>
                <w:b/>
                <w:color w:val="auto"/>
                <w:sz w:val="21"/>
                <w:szCs w:val="21"/>
                <w:highlight w:val="none"/>
                <w:lang w:val="en-US" w:eastAsia="zh-CN"/>
              </w:rPr>
              <w:t>初审表</w:t>
            </w:r>
          </w:p>
        </w:tc>
      </w:tr>
      <w:tr w14:paraId="1709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76" w:type="dxa"/>
            <w:tcBorders>
              <w:bottom w:val="single" w:color="auto" w:sz="4" w:space="0"/>
            </w:tcBorders>
            <w:vAlign w:val="center"/>
          </w:tcPr>
          <w:p w14:paraId="59EFF6B4">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rPr>
              <w:t>序号</w:t>
            </w:r>
          </w:p>
        </w:tc>
        <w:tc>
          <w:tcPr>
            <w:tcW w:w="1935" w:type="dxa"/>
            <w:tcBorders>
              <w:bottom w:val="single" w:color="auto" w:sz="4" w:space="0"/>
            </w:tcBorders>
            <w:vAlign w:val="center"/>
          </w:tcPr>
          <w:p w14:paraId="2604D046">
            <w:pPr>
              <w:pStyle w:val="133"/>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lang w:val="en-US" w:eastAsia="zh-CN"/>
              </w:rPr>
              <w:t>审查</w:t>
            </w:r>
            <w:r>
              <w:rPr>
                <w:rFonts w:hint="eastAsia" w:ascii="宋体" w:hAnsi="宋体" w:cs="宋体"/>
                <w:b/>
                <w:bCs/>
                <w:color w:val="auto"/>
                <w:kern w:val="2"/>
                <w:sz w:val="21"/>
                <w:szCs w:val="21"/>
                <w:highlight w:val="none"/>
              </w:rPr>
              <w:t>指标</w:t>
            </w:r>
          </w:p>
        </w:tc>
        <w:tc>
          <w:tcPr>
            <w:tcW w:w="4821" w:type="dxa"/>
            <w:tcBorders>
              <w:bottom w:val="single" w:color="auto" w:sz="4" w:space="0"/>
            </w:tcBorders>
            <w:vAlign w:val="center"/>
          </w:tcPr>
          <w:p w14:paraId="2AF914D1">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审查</w:t>
            </w:r>
            <w:r>
              <w:rPr>
                <w:rFonts w:hint="eastAsia" w:ascii="宋体" w:hAnsi="宋体" w:cs="宋体"/>
                <w:b/>
                <w:bCs/>
                <w:color w:val="auto"/>
                <w:sz w:val="21"/>
                <w:szCs w:val="21"/>
                <w:highlight w:val="none"/>
              </w:rPr>
              <w:t>标准</w:t>
            </w:r>
          </w:p>
        </w:tc>
        <w:tc>
          <w:tcPr>
            <w:tcW w:w="1968" w:type="dxa"/>
            <w:tcBorders>
              <w:bottom w:val="single" w:color="auto" w:sz="4" w:space="0"/>
            </w:tcBorders>
            <w:vAlign w:val="center"/>
          </w:tcPr>
          <w:p w14:paraId="223E4E91">
            <w:pPr>
              <w:adjustRightInd w:val="0"/>
              <w:snapToGrid w:val="0"/>
              <w:spacing w:line="360" w:lineRule="auto"/>
              <w:ind w:right="-10"/>
              <w:jc w:val="center"/>
              <w:rPr>
                <w:rFonts w:ascii="宋体" w:hAnsi="宋体" w:cs="宋体"/>
                <w:b/>
                <w:bCs/>
                <w:color w:val="auto"/>
                <w:sz w:val="21"/>
                <w:szCs w:val="21"/>
                <w:highlight w:val="none"/>
              </w:rPr>
            </w:pPr>
            <w:r>
              <w:rPr>
                <w:rFonts w:hint="eastAsia" w:ascii="宋体" w:hAnsi="宋体" w:cs="宋体"/>
                <w:b/>
                <w:bCs/>
                <w:color w:val="auto"/>
                <w:sz w:val="21"/>
                <w:szCs w:val="21"/>
                <w:highlight w:val="none"/>
              </w:rPr>
              <w:t>格式要求</w:t>
            </w:r>
          </w:p>
        </w:tc>
      </w:tr>
      <w:tr w14:paraId="3598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6" w:hRule="atLeast"/>
          <w:jc w:val="center"/>
        </w:trPr>
        <w:tc>
          <w:tcPr>
            <w:tcW w:w="676" w:type="dxa"/>
            <w:vAlign w:val="center"/>
          </w:tcPr>
          <w:p w14:paraId="284B7FFB">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935" w:type="dxa"/>
            <w:vAlign w:val="center"/>
          </w:tcPr>
          <w:p w14:paraId="2CA9A6B2">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营业执照等</w:t>
            </w:r>
          </w:p>
          <w:p w14:paraId="1FDD76E0">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证明文件</w:t>
            </w:r>
          </w:p>
        </w:tc>
        <w:tc>
          <w:tcPr>
            <w:tcW w:w="4821" w:type="dxa"/>
            <w:tcBorders>
              <w:bottom w:val="single" w:color="auto" w:sz="4" w:space="0"/>
            </w:tcBorders>
            <w:vAlign w:val="center"/>
          </w:tcPr>
          <w:p w14:paraId="054729C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为企业（包括合伙企业）的，应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供有效的营业执照；</w:t>
            </w:r>
          </w:p>
          <w:p w14:paraId="76B2CB9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为事业单位的，应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供有效的事业单位法人证书；</w:t>
            </w:r>
          </w:p>
          <w:p w14:paraId="054359BF">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是非企业机构的，应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供有效的执业许可证</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登记证书等证明文件；</w:t>
            </w:r>
          </w:p>
          <w:p w14:paraId="23D005CB">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是个体工商户的，应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供有效的个体工商户营业执照；</w:t>
            </w:r>
          </w:p>
          <w:p w14:paraId="56B3597D">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是自然人的，应</w:t>
            </w: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供有效的自然人身份证明。</w:t>
            </w:r>
          </w:p>
        </w:tc>
        <w:tc>
          <w:tcPr>
            <w:tcW w:w="1968" w:type="dxa"/>
            <w:vAlign w:val="center"/>
          </w:tcPr>
          <w:p w14:paraId="3920FDCB">
            <w:pP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提供</w:t>
            </w:r>
            <w:r>
              <w:rPr>
                <w:rFonts w:hint="eastAsia" w:ascii="宋体" w:hAnsi="宋体" w:eastAsia="宋体" w:cs="宋体"/>
                <w:color w:val="auto"/>
                <w:sz w:val="21"/>
                <w:szCs w:val="21"/>
                <w:highlight w:val="none"/>
                <w:lang w:val="en-US" w:eastAsia="zh-CN"/>
              </w:rPr>
              <w:t>材料</w:t>
            </w:r>
            <w:r>
              <w:rPr>
                <w:rFonts w:hint="eastAsia" w:ascii="宋体" w:hAnsi="宋体" w:eastAsia="宋体" w:cs="宋体"/>
                <w:color w:val="auto"/>
                <w:sz w:val="21"/>
                <w:szCs w:val="21"/>
                <w:highlight w:val="none"/>
                <w:lang w:eastAsia="zh-CN"/>
              </w:rPr>
              <w:t>扫描件</w:t>
            </w:r>
            <w:r>
              <w:rPr>
                <w:rFonts w:hint="eastAsia" w:ascii="宋体" w:hAnsi="宋体" w:eastAsia="宋体" w:cs="宋体"/>
                <w:color w:val="auto"/>
                <w:sz w:val="21"/>
                <w:szCs w:val="21"/>
                <w:highlight w:val="none"/>
                <w:lang w:val="en-US" w:eastAsia="zh-CN"/>
              </w:rPr>
              <w:t>或电子证照</w:t>
            </w:r>
            <w:r>
              <w:rPr>
                <w:rFonts w:hint="eastAsia" w:ascii="宋体" w:hAnsi="宋体" w:eastAsia="宋体" w:cs="宋体"/>
                <w:color w:val="auto"/>
                <w:sz w:val="21"/>
                <w:szCs w:val="21"/>
                <w:highlight w:val="none"/>
                <w:lang w:eastAsia="zh-CN"/>
              </w:rPr>
              <w:t>，应完整的体现出</w:t>
            </w:r>
            <w:r>
              <w:rPr>
                <w:rFonts w:hint="eastAsia" w:ascii="宋体" w:hAnsi="宋体" w:eastAsia="宋体" w:cs="宋体"/>
                <w:color w:val="auto"/>
                <w:sz w:val="21"/>
                <w:szCs w:val="21"/>
                <w:highlight w:val="none"/>
                <w:lang w:val="en-US" w:eastAsia="zh-CN"/>
              </w:rPr>
              <w:t>材料或电子证照</w:t>
            </w:r>
            <w:r>
              <w:rPr>
                <w:rFonts w:hint="eastAsia" w:ascii="宋体" w:hAnsi="宋体" w:eastAsia="宋体" w:cs="宋体"/>
                <w:color w:val="auto"/>
                <w:sz w:val="21"/>
                <w:szCs w:val="21"/>
                <w:highlight w:val="none"/>
                <w:lang w:eastAsia="zh-CN"/>
              </w:rPr>
              <w:t>全部内容。联合体</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lang w:eastAsia="zh-CN"/>
              </w:rPr>
              <w:t>的联合体各方均须提供。</w:t>
            </w:r>
          </w:p>
        </w:tc>
      </w:tr>
      <w:tr w14:paraId="1736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676" w:type="dxa"/>
            <w:tcBorders>
              <w:bottom w:val="single" w:color="auto" w:sz="4" w:space="0"/>
            </w:tcBorders>
            <w:vAlign w:val="center"/>
          </w:tcPr>
          <w:p w14:paraId="49318B3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935" w:type="dxa"/>
            <w:tcBorders>
              <w:bottom w:val="single" w:color="auto" w:sz="4" w:space="0"/>
            </w:tcBorders>
            <w:vAlign w:val="center"/>
          </w:tcPr>
          <w:p w14:paraId="6F5564F6">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供应商资格声明书</w:t>
            </w:r>
          </w:p>
        </w:tc>
        <w:tc>
          <w:tcPr>
            <w:tcW w:w="4821" w:type="dxa"/>
            <w:tcBorders>
              <w:bottom w:val="single" w:color="auto" w:sz="4" w:space="0"/>
            </w:tcBorders>
            <w:vAlign w:val="center"/>
          </w:tcPr>
          <w:p w14:paraId="2DC38C9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w:t>
            </w:r>
            <w:r>
              <w:rPr>
                <w:rFonts w:hint="eastAsia" w:ascii="宋体" w:hAnsi="宋体" w:eastAsia="宋体" w:cs="宋体"/>
                <w:color w:val="auto"/>
                <w:sz w:val="21"/>
                <w:szCs w:val="21"/>
                <w:highlight w:val="none"/>
              </w:rPr>
              <w:t>供符合</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文件要求的《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资格声明书》</w:t>
            </w:r>
            <w:r>
              <w:rPr>
                <w:rFonts w:hint="eastAsia" w:ascii="宋体" w:hAnsi="宋体" w:eastAsia="宋体" w:cs="宋体"/>
                <w:color w:val="auto"/>
                <w:sz w:val="21"/>
                <w:szCs w:val="21"/>
                <w:highlight w:val="none"/>
                <w:lang w:eastAsia="zh-CN"/>
              </w:rPr>
              <w:t>。</w:t>
            </w:r>
          </w:p>
        </w:tc>
        <w:tc>
          <w:tcPr>
            <w:tcW w:w="1968" w:type="dxa"/>
            <w:tcBorders>
              <w:bottom w:val="single" w:color="auto" w:sz="4" w:space="0"/>
            </w:tcBorders>
            <w:vAlign w:val="center"/>
          </w:tcPr>
          <w:p w14:paraId="4EF23DD3">
            <w:pPr>
              <w:spacing w:line="360" w:lineRule="auto"/>
              <w:jc w:val="center"/>
              <w:rPr>
                <w:rFonts w:hint="eastAsia"/>
                <w:sz w:val="21"/>
                <w:szCs w:val="21"/>
              </w:rPr>
            </w:pPr>
            <w:r>
              <w:rPr>
                <w:rFonts w:hint="eastAsia"/>
                <w:sz w:val="21"/>
                <w:szCs w:val="21"/>
              </w:rPr>
              <w:t>详见第六章</w:t>
            </w:r>
            <w:r>
              <w:rPr>
                <w:rFonts w:hint="eastAsia"/>
                <w:sz w:val="21"/>
                <w:szCs w:val="21"/>
                <w:lang w:val="en-US" w:eastAsia="zh-CN"/>
              </w:rPr>
              <w:t>响应</w:t>
            </w:r>
            <w:r>
              <w:rPr>
                <w:rFonts w:hint="eastAsia"/>
                <w:sz w:val="21"/>
                <w:szCs w:val="21"/>
              </w:rPr>
              <w:t>文件格式</w:t>
            </w:r>
            <w:r>
              <w:rPr>
                <w:rFonts w:hint="eastAsia"/>
                <w:sz w:val="21"/>
                <w:szCs w:val="21"/>
                <w:lang w:eastAsia="zh-CN"/>
              </w:rPr>
              <w:t>。</w:t>
            </w:r>
          </w:p>
        </w:tc>
      </w:tr>
      <w:tr w14:paraId="52AF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676" w:type="dxa"/>
            <w:tcBorders>
              <w:bottom w:val="single" w:color="auto" w:sz="4" w:space="0"/>
            </w:tcBorders>
            <w:vAlign w:val="center"/>
          </w:tcPr>
          <w:p w14:paraId="73580BA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935" w:type="dxa"/>
            <w:tcBorders>
              <w:bottom w:val="single" w:color="auto" w:sz="4" w:space="0"/>
            </w:tcBorders>
            <w:vAlign w:val="center"/>
          </w:tcPr>
          <w:p w14:paraId="55D43FDD">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供应商信用记录</w:t>
            </w:r>
          </w:p>
        </w:tc>
        <w:tc>
          <w:tcPr>
            <w:tcW w:w="4821" w:type="dxa"/>
            <w:tcBorders>
              <w:bottom w:val="single" w:color="auto" w:sz="4" w:space="0"/>
            </w:tcBorders>
            <w:vAlign w:val="center"/>
          </w:tcPr>
          <w:p w14:paraId="71749F0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不得存在</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zh-CN" w:eastAsia="zh-CN"/>
              </w:rPr>
              <w:t>须知正文第1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eastAsia="zh-CN"/>
              </w:rPr>
              <w:t>.</w:t>
            </w:r>
            <w:r>
              <w:rPr>
                <w:rFonts w:hint="eastAsia" w:ascii="宋体" w:hAnsi="宋体" w:eastAsia="宋体" w:cs="宋体"/>
                <w:color w:val="auto"/>
                <w:sz w:val="21"/>
                <w:szCs w:val="21"/>
                <w:highlight w:val="none"/>
                <w:lang w:val="en-US" w:eastAsia="zh-CN"/>
              </w:rPr>
              <w:t>3条中</w:t>
            </w:r>
            <w:r>
              <w:rPr>
                <w:rFonts w:hint="eastAsia" w:ascii="宋体" w:hAnsi="宋体" w:eastAsia="宋体" w:cs="宋体"/>
                <w:color w:val="auto"/>
                <w:sz w:val="21"/>
                <w:szCs w:val="21"/>
                <w:highlight w:val="none"/>
              </w:rPr>
              <w:t>的不良信用记录情形</w:t>
            </w:r>
          </w:p>
        </w:tc>
        <w:tc>
          <w:tcPr>
            <w:tcW w:w="1968" w:type="dxa"/>
            <w:tcBorders>
              <w:bottom w:val="single" w:color="auto" w:sz="4" w:space="0"/>
            </w:tcBorders>
            <w:vAlign w:val="center"/>
          </w:tcPr>
          <w:p w14:paraId="6347C87C">
            <w:pPr>
              <w:spacing w:line="360" w:lineRule="auto"/>
              <w:jc w:val="center"/>
              <w:rPr>
                <w:rFonts w:hint="default" w:ascii="宋体" w:hAnsi="宋体" w:eastAsia="宋体" w:cs="宋体"/>
                <w:color w:val="auto"/>
                <w:sz w:val="21"/>
                <w:szCs w:val="21"/>
                <w:highlight w:val="none"/>
                <w:lang w:val="en-US"/>
              </w:rPr>
            </w:pPr>
            <w:r>
              <w:rPr>
                <w:rFonts w:hint="default" w:ascii="宋体" w:hAnsi="宋体" w:eastAsia="宋体" w:cs="宋体"/>
                <w:color w:val="auto"/>
                <w:sz w:val="21"/>
                <w:szCs w:val="21"/>
                <w:highlight w:val="none"/>
                <w:lang w:val="en-US"/>
              </w:rPr>
              <w:t>无须</w:t>
            </w:r>
            <w:r>
              <w:rPr>
                <w:rFonts w:hint="default" w:ascii="宋体" w:hAnsi="宋体" w:eastAsia="宋体" w:cs="宋体"/>
                <w:color w:val="auto"/>
                <w:sz w:val="21"/>
                <w:szCs w:val="21"/>
                <w:highlight w:val="none"/>
                <w:lang w:val="en-US" w:eastAsia="zh-CN"/>
              </w:rPr>
              <w:t>供应商提</w:t>
            </w:r>
            <w:r>
              <w:rPr>
                <w:rFonts w:hint="default" w:ascii="宋体" w:hAnsi="宋体" w:eastAsia="宋体" w:cs="宋体"/>
                <w:color w:val="auto"/>
                <w:sz w:val="21"/>
                <w:szCs w:val="21"/>
                <w:highlight w:val="none"/>
                <w:lang w:val="en-US"/>
              </w:rPr>
              <w:t>供，由采购人或采购代理机构查询。</w:t>
            </w:r>
          </w:p>
        </w:tc>
      </w:tr>
      <w:tr w14:paraId="55FF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6" w:type="dxa"/>
            <w:vAlign w:val="center"/>
          </w:tcPr>
          <w:p w14:paraId="62A476E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4</w:t>
            </w:r>
          </w:p>
        </w:tc>
        <w:tc>
          <w:tcPr>
            <w:tcW w:w="1935" w:type="dxa"/>
            <w:vAlign w:val="center"/>
          </w:tcPr>
          <w:p w14:paraId="03CB29AA">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磋商响应函</w:t>
            </w:r>
          </w:p>
        </w:tc>
        <w:tc>
          <w:tcPr>
            <w:tcW w:w="4821" w:type="dxa"/>
            <w:vAlign w:val="center"/>
          </w:tcPr>
          <w:p w14:paraId="50E5D2E1">
            <w:pPr>
              <w:spacing w:after="50"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格式、填写要求符合磋商文件规定并</w:t>
            </w:r>
            <w:r>
              <w:rPr>
                <w:rFonts w:hint="eastAsia" w:ascii="宋体" w:hAnsi="宋体" w:cs="宋体"/>
                <w:color w:val="auto"/>
                <w:sz w:val="21"/>
                <w:szCs w:val="21"/>
                <w:highlight w:val="none"/>
                <w:lang w:val="en-US" w:eastAsia="zh-CN"/>
              </w:rPr>
              <w:t>签章</w:t>
            </w:r>
          </w:p>
        </w:tc>
        <w:tc>
          <w:tcPr>
            <w:tcW w:w="1968" w:type="dxa"/>
            <w:vAlign w:val="center"/>
          </w:tcPr>
          <w:p w14:paraId="52BB452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5889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6" w:type="dxa"/>
            <w:vAlign w:val="center"/>
          </w:tcPr>
          <w:p w14:paraId="785D24C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935" w:type="dxa"/>
            <w:vAlign w:val="center"/>
          </w:tcPr>
          <w:p w14:paraId="7E699036">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授权书</w:t>
            </w:r>
          </w:p>
        </w:tc>
        <w:tc>
          <w:tcPr>
            <w:tcW w:w="4821" w:type="dxa"/>
            <w:vAlign w:val="center"/>
          </w:tcPr>
          <w:p w14:paraId="59ADEC26">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格式、填写要求符合磋商文件规定并签章</w:t>
            </w:r>
          </w:p>
        </w:tc>
        <w:tc>
          <w:tcPr>
            <w:tcW w:w="1968" w:type="dxa"/>
            <w:vAlign w:val="center"/>
          </w:tcPr>
          <w:p w14:paraId="5949B6B4">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法定代表人参加磋商的无需此件，提供身份证明即可。详见第六章响应文件格式。</w:t>
            </w:r>
          </w:p>
        </w:tc>
      </w:tr>
      <w:tr w14:paraId="65D8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676" w:type="dxa"/>
            <w:vAlign w:val="center"/>
          </w:tcPr>
          <w:p w14:paraId="3F3601D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935" w:type="dxa"/>
            <w:vAlign w:val="center"/>
          </w:tcPr>
          <w:p w14:paraId="6C8C2FF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磋商</w:t>
            </w:r>
            <w:r>
              <w:rPr>
                <w:rFonts w:hint="eastAsia" w:asciiTheme="minorEastAsia" w:hAnsiTheme="minorEastAsia" w:eastAsiaTheme="minorEastAsia"/>
                <w:color w:val="auto"/>
                <w:sz w:val="21"/>
                <w:szCs w:val="21"/>
                <w:highlight w:val="none"/>
              </w:rPr>
              <w:t>报价</w:t>
            </w:r>
          </w:p>
        </w:tc>
        <w:tc>
          <w:tcPr>
            <w:tcW w:w="4821" w:type="dxa"/>
            <w:vAlign w:val="center"/>
          </w:tcPr>
          <w:p w14:paraId="60966DE8">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符合磋商文件供应商须知正文第9条要求</w:t>
            </w:r>
          </w:p>
        </w:tc>
        <w:tc>
          <w:tcPr>
            <w:tcW w:w="1968" w:type="dxa"/>
            <w:vAlign w:val="center"/>
          </w:tcPr>
          <w:p w14:paraId="4A4B7CA9">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详见第六章响应文件格式。  </w:t>
            </w:r>
          </w:p>
        </w:tc>
      </w:tr>
      <w:tr w14:paraId="6999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dxa"/>
            <w:vAlign w:val="center"/>
          </w:tcPr>
          <w:p w14:paraId="3A33AB54">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1935" w:type="dxa"/>
            <w:vAlign w:val="center"/>
          </w:tcPr>
          <w:p w14:paraId="5986EBEB">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4821" w:type="dxa"/>
            <w:vAlign w:val="center"/>
          </w:tcPr>
          <w:p w14:paraId="50E6B8BF">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1968" w:type="dxa"/>
            <w:vAlign w:val="center"/>
          </w:tcPr>
          <w:p w14:paraId="5F9AA852">
            <w:pPr>
              <w:spacing w:after="50" w:line="360" w:lineRule="auto"/>
              <w:ind w:right="-10" w:rightChars="0"/>
              <w:jc w:val="center"/>
              <w:rPr>
                <w:rFonts w:hint="eastAsia" w:ascii="宋体" w:hAnsi="宋体" w:eastAsia="宋体" w:cs="宋体"/>
                <w:color w:val="auto"/>
                <w:sz w:val="21"/>
                <w:szCs w:val="21"/>
                <w:highlight w:val="none"/>
              </w:rPr>
            </w:pPr>
          </w:p>
        </w:tc>
      </w:tr>
    </w:tbl>
    <w:p w14:paraId="36AFE1D6">
      <w:pPr>
        <w:numPr>
          <w:ilvl w:val="0"/>
          <w:numId w:val="0"/>
        </w:numPr>
        <w:ind w:firstLine="211" w:firstLineChars="100"/>
        <w:rPr>
          <w:rFonts w:hint="eastAsia" w:ascii="宋体" w:hAnsi="宋体" w:cs="宋体"/>
          <w:b w:val="0"/>
          <w:bCs/>
          <w:color w:val="auto"/>
          <w:sz w:val="21"/>
          <w:szCs w:val="21"/>
          <w:highlight w:val="none"/>
          <w:lang w:val="en-US" w:eastAsia="zh-CN"/>
        </w:rPr>
      </w:pPr>
      <w:bookmarkStart w:id="65" w:name="_Toc7241"/>
      <w:bookmarkStart w:id="66" w:name="_Toc27586"/>
      <w:bookmarkStart w:id="67" w:name="_Toc28300"/>
      <w:bookmarkStart w:id="68" w:name="_Toc431"/>
      <w:bookmarkStart w:id="69" w:name="_Toc3977"/>
      <w:r>
        <w:rPr>
          <w:rFonts w:hint="eastAsia" w:ascii="宋体" w:hAnsi="宋体" w:cs="宋体"/>
          <w:b/>
          <w:bCs w:val="0"/>
          <w:color w:val="auto"/>
          <w:sz w:val="21"/>
          <w:szCs w:val="21"/>
          <w:highlight w:val="none"/>
          <w:lang w:val="en-US" w:eastAsia="zh-CN"/>
        </w:rPr>
        <w:t>初审指标通过标准：</w:t>
      </w:r>
      <w:r>
        <w:rPr>
          <w:rFonts w:hint="eastAsia" w:ascii="宋体" w:hAnsi="宋体" w:cs="宋体"/>
          <w:b w:val="0"/>
          <w:bCs/>
          <w:color w:val="auto"/>
          <w:sz w:val="21"/>
          <w:szCs w:val="21"/>
          <w:highlight w:val="none"/>
          <w:lang w:val="en-US" w:eastAsia="zh-CN"/>
        </w:rPr>
        <w:t>供应商必须通过初审表中的全部评审指标。</w:t>
      </w:r>
    </w:p>
    <w:p w14:paraId="1801C756">
      <w:pPr>
        <w:spacing w:line="360" w:lineRule="auto"/>
        <w:ind w:firstLine="210" w:firstLineChars="1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2、异常低价响应审查</w:t>
      </w:r>
    </w:p>
    <w:tbl>
      <w:tblPr>
        <w:tblStyle w:val="40"/>
        <w:tblW w:w="58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309"/>
        <w:gridCol w:w="5591"/>
        <w:gridCol w:w="2351"/>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0040" w:type="dxa"/>
            <w:gridSpan w:val="4"/>
            <w:tcBorders>
              <w:bottom w:val="single" w:color="auto" w:sz="4" w:space="0"/>
            </w:tcBorders>
            <w:vAlign w:val="center"/>
          </w:tcPr>
          <w:p w14:paraId="0A55AF2A">
            <w:pPr>
              <w:spacing w:line="360" w:lineRule="auto"/>
              <w:jc w:val="center"/>
              <w:rPr>
                <w:rFonts w:ascii="宋体" w:hAnsi="宋体" w:eastAsia="宋体"/>
                <w:sz w:val="21"/>
                <w:szCs w:val="21"/>
                <w:highlight w:val="none"/>
              </w:rPr>
            </w:pPr>
            <w:r>
              <w:rPr>
                <w:rFonts w:hint="eastAsia" w:ascii="宋体" w:hAnsi="宋体" w:eastAsia="宋体" w:cs="宋体"/>
                <w:b/>
                <w:bCs/>
                <w:color w:val="auto"/>
                <w:sz w:val="21"/>
                <w:szCs w:val="21"/>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788" w:type="dxa"/>
            <w:tcBorders>
              <w:bottom w:val="single" w:color="auto" w:sz="4" w:space="0"/>
            </w:tcBorders>
            <w:vAlign w:val="center"/>
          </w:tcPr>
          <w:p w14:paraId="24C66339">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309" w:type="dxa"/>
            <w:tcBorders>
              <w:bottom w:val="single" w:color="auto" w:sz="4" w:space="0"/>
            </w:tcBorders>
            <w:vAlign w:val="center"/>
          </w:tcPr>
          <w:p w14:paraId="242D7536">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评审指标</w:t>
            </w:r>
          </w:p>
        </w:tc>
        <w:tc>
          <w:tcPr>
            <w:tcW w:w="5592" w:type="dxa"/>
            <w:tcBorders>
              <w:bottom w:val="single" w:color="auto" w:sz="4" w:space="0"/>
            </w:tcBorders>
            <w:vAlign w:val="center"/>
          </w:tcPr>
          <w:p w14:paraId="63EC8315">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评审标准</w:t>
            </w:r>
          </w:p>
        </w:tc>
        <w:tc>
          <w:tcPr>
            <w:tcW w:w="2351" w:type="dxa"/>
            <w:tcBorders>
              <w:bottom w:val="single" w:color="auto" w:sz="4" w:space="0"/>
            </w:tcBorders>
            <w:vAlign w:val="center"/>
          </w:tcPr>
          <w:p w14:paraId="39E809DA">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tcBorders>
              <w:bottom w:val="single" w:color="auto" w:sz="4" w:space="0"/>
            </w:tcBorders>
            <w:vAlign w:val="center"/>
          </w:tcPr>
          <w:p w14:paraId="53262601">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309" w:type="dxa"/>
            <w:tcBorders>
              <w:bottom w:val="single" w:color="auto" w:sz="4" w:space="0"/>
            </w:tcBorders>
            <w:vAlign w:val="center"/>
          </w:tcPr>
          <w:p w14:paraId="4828CEF5">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异常低价响应审查</w:t>
            </w:r>
          </w:p>
        </w:tc>
        <w:tc>
          <w:tcPr>
            <w:tcW w:w="5592" w:type="dxa"/>
            <w:tcBorders>
              <w:bottom w:val="single" w:color="auto" w:sz="4" w:space="0"/>
            </w:tcBorders>
            <w:vAlign w:val="center"/>
          </w:tcPr>
          <w:p w14:paraId="14855D12">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（1）报价＜全部通过初审供应商响应报价平均值×50%；</w:t>
            </w:r>
          </w:p>
          <w:p w14:paraId="12D6E1A2">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（2）报价＜通过初审的次低报价供应商响应报价×50%；</w:t>
            </w:r>
          </w:p>
          <w:p w14:paraId="595C90C5">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（3）报价＜采购项目最高限价（如采购项目未设定最高限价的，以采购项目预算金额作为最高限价）×45%；</w:t>
            </w:r>
          </w:p>
          <w:p w14:paraId="6545F9B4">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（4）谈判小组基于专业判断，认为供应商报价过低，有可能影响产品质量或者不能诚信履约的其他情形。</w:t>
            </w:r>
          </w:p>
          <w:p w14:paraId="14FCFEF9">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提醒：</w:t>
            </w:r>
          </w:p>
          <w:p w14:paraId="0BE4D07D">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（1）上述第（1）项数值计算：涉及总价、单价的精确到“分”并四舍五入，涉及费率的精确到小数点后两位，第三位四舍五入（例：如平均值为123.456元，即为123.46元；如平均值为80.126%，即为80.13%）。</w:t>
            </w:r>
          </w:p>
          <w:p w14:paraId="407B687B">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（2）上述报价均为供应商最后报价。</w:t>
            </w:r>
          </w:p>
        </w:tc>
        <w:tc>
          <w:tcPr>
            <w:tcW w:w="2351" w:type="dxa"/>
            <w:vAlign w:val="center"/>
          </w:tcPr>
          <w:p w14:paraId="4F4E35CC">
            <w:pP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3215560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注：</w:t>
      </w:r>
      <w:bookmarkEnd w:id="65"/>
      <w:bookmarkEnd w:id="66"/>
      <w:bookmarkEnd w:id="67"/>
      <w:bookmarkEnd w:id="68"/>
      <w:bookmarkEnd w:id="69"/>
      <w:r>
        <w:rPr>
          <w:rFonts w:hint="eastAsia" w:ascii="宋体" w:hAnsi="宋体" w:eastAsia="宋体" w:cs="Times New Roman"/>
          <w:sz w:val="21"/>
          <w:szCs w:val="21"/>
          <w:highlight w:val="none"/>
          <w:lang w:val="en-US" w:eastAsia="zh-CN"/>
        </w:rPr>
        <w:t>根据《关于推动解决政府采购异常低价问题的通知》（财库〔2026〕2号），采购人可以结合具体项目实际情况，提高上述评审标准第（1）项至第（3）项中的数值标准，但是最高不得超过65%。</w:t>
      </w:r>
    </w:p>
    <w:p w14:paraId="4F06E39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磋商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49988AE8">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 xml:space="preserve">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 </w:t>
      </w:r>
    </w:p>
    <w:p w14:paraId="0A09E5D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 w:val="21"/>
          <w:szCs w:val="21"/>
          <w:lang w:val="en-US" w:eastAsia="zh-CN" w:bidi="ar-SA"/>
        </w:rPr>
      </w:pPr>
      <w:r>
        <w:rPr>
          <w:rFonts w:hint="eastAsia" w:ascii="宋体" w:hAnsi="宋体" w:eastAsia="宋体" w:cs="Times New Roman"/>
          <w:sz w:val="21"/>
          <w:szCs w:val="21"/>
          <w:highlight w:val="none"/>
          <w:lang w:val="en-US" w:eastAsia="zh-CN"/>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p w14:paraId="421662E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b w:val="0"/>
          <w:bCs/>
          <w:color w:val="auto"/>
          <w:sz w:val="21"/>
          <w:szCs w:val="21"/>
          <w:lang w:val="en-US" w:eastAsia="zh-CN" w:bidi="ar-SA"/>
        </w:rPr>
      </w:pPr>
      <w:r>
        <w:rPr>
          <w:rFonts w:hint="eastAsia" w:ascii="宋体" w:hAnsi="宋体" w:cs="宋体"/>
          <w:b w:val="0"/>
          <w:bCs/>
          <w:color w:val="auto"/>
          <w:sz w:val="21"/>
          <w:szCs w:val="21"/>
          <w:lang w:val="en-US" w:eastAsia="zh-CN" w:bidi="ar-SA"/>
        </w:rPr>
        <w:t>3、</w:t>
      </w:r>
      <w:r>
        <w:rPr>
          <w:rFonts w:hint="eastAsia" w:ascii="宋体" w:hAnsi="宋体" w:eastAsia="宋体" w:cs="宋体"/>
          <w:b w:val="0"/>
          <w:bCs/>
          <w:color w:val="auto"/>
          <w:sz w:val="21"/>
          <w:szCs w:val="21"/>
          <w:lang w:val="en-US" w:eastAsia="zh-CN" w:bidi="ar-SA"/>
        </w:rPr>
        <w:t xml:space="preserve">综合评分 </w:t>
      </w:r>
    </w:p>
    <w:p w14:paraId="4094E45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 xml:space="preserve">3.1 磋商小组按照下表对进入综合评分的所有供应商的响应文件进行综合评分。 </w:t>
      </w:r>
    </w:p>
    <w:p w14:paraId="1A28ADCA">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 xml:space="preserve">3.2 本项目综合评分满分均为100分，其中：技术资信分值占总分值的权重为 </w:t>
      </w:r>
      <w:r>
        <w:rPr>
          <w:rFonts w:hint="eastAsia" w:ascii="宋体" w:hAnsi="宋体" w:cs="Times New Roman"/>
          <w:sz w:val="21"/>
          <w:szCs w:val="21"/>
          <w:highlight w:val="none"/>
          <w:lang w:val="en-US" w:eastAsia="zh-CN"/>
        </w:rPr>
        <w:t>7</w:t>
      </w:r>
      <w:r>
        <w:rPr>
          <w:rFonts w:hint="eastAsia" w:ascii="宋体" w:hAnsi="宋体" w:eastAsia="宋体" w:cs="Times New Roman"/>
          <w:sz w:val="21"/>
          <w:szCs w:val="21"/>
          <w:highlight w:val="none"/>
          <w:lang w:val="en-US" w:eastAsia="zh-CN"/>
        </w:rPr>
        <w:t xml:space="preserve">0  %，价格分值（投标费率）占总分值的权重为 </w:t>
      </w:r>
      <w:r>
        <w:rPr>
          <w:rFonts w:hint="eastAsia" w:ascii="宋体" w:hAnsi="宋体" w:cs="Times New Roman"/>
          <w:sz w:val="21"/>
          <w:szCs w:val="21"/>
          <w:highlight w:val="none"/>
          <w:lang w:val="en-US" w:eastAsia="zh-CN"/>
        </w:rPr>
        <w:t>3</w:t>
      </w:r>
      <w:bookmarkStart w:id="127" w:name="_GoBack"/>
      <w:bookmarkEnd w:id="127"/>
      <w:r>
        <w:rPr>
          <w:rFonts w:hint="eastAsia" w:ascii="宋体" w:hAnsi="宋体" w:eastAsia="宋体" w:cs="Times New Roman"/>
          <w:sz w:val="21"/>
          <w:szCs w:val="21"/>
          <w:highlight w:val="none"/>
          <w:lang w:val="en-US" w:eastAsia="zh-CN"/>
        </w:rPr>
        <w:t>0  %。具体评分细则如下：</w:t>
      </w:r>
    </w:p>
    <w:tbl>
      <w:tblPr>
        <w:tblStyle w:val="40"/>
        <w:tblW w:w="10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1667"/>
        <w:gridCol w:w="6147"/>
        <w:gridCol w:w="1271"/>
      </w:tblGrid>
      <w:tr w14:paraId="6DA3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352" w:type="dxa"/>
            <w:tcBorders>
              <w:top w:val="single" w:color="auto" w:sz="4" w:space="0"/>
              <w:left w:val="single" w:color="auto" w:sz="4" w:space="0"/>
              <w:bottom w:val="single" w:color="auto" w:sz="4" w:space="0"/>
              <w:right w:val="single" w:color="auto" w:sz="4" w:space="0"/>
            </w:tcBorders>
            <w:noWrap w:val="0"/>
            <w:vAlign w:val="center"/>
          </w:tcPr>
          <w:p w14:paraId="10B3B888">
            <w:pPr>
              <w:spacing w:line="360" w:lineRule="auto"/>
              <w:jc w:val="both"/>
              <w:rPr>
                <w:rFonts w:ascii="宋体" w:hAnsi="宋体" w:eastAsia="宋体"/>
                <w:b/>
                <w:bCs/>
                <w:sz w:val="21"/>
                <w:szCs w:val="21"/>
              </w:rPr>
            </w:pPr>
            <w:r>
              <w:rPr>
                <w:rFonts w:hint="eastAsia" w:ascii="宋体" w:hAnsi="宋体" w:eastAsia="宋体"/>
                <w:b/>
                <w:bCs/>
                <w:sz w:val="21"/>
                <w:szCs w:val="21"/>
              </w:rPr>
              <w:t>类别</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3793D215">
            <w:pPr>
              <w:spacing w:line="360" w:lineRule="auto"/>
              <w:jc w:val="both"/>
              <w:rPr>
                <w:rFonts w:ascii="宋体" w:hAnsi="宋体" w:eastAsia="宋体"/>
                <w:b/>
                <w:bCs/>
                <w:sz w:val="21"/>
                <w:szCs w:val="21"/>
              </w:rPr>
            </w:pPr>
            <w:r>
              <w:rPr>
                <w:rFonts w:hint="eastAsia" w:ascii="宋体" w:hAnsi="宋体" w:eastAsia="宋体"/>
                <w:b/>
                <w:bCs/>
                <w:sz w:val="21"/>
                <w:szCs w:val="21"/>
              </w:rPr>
              <w:t>评分内容</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7F420432">
            <w:pPr>
              <w:spacing w:line="360" w:lineRule="auto"/>
              <w:jc w:val="both"/>
              <w:rPr>
                <w:rFonts w:ascii="宋体" w:hAnsi="宋体" w:eastAsia="宋体"/>
                <w:b/>
                <w:bCs/>
                <w:sz w:val="21"/>
                <w:szCs w:val="21"/>
              </w:rPr>
            </w:pPr>
            <w:r>
              <w:rPr>
                <w:rFonts w:hint="eastAsia" w:ascii="宋体" w:hAnsi="宋体" w:eastAsia="宋体"/>
                <w:b/>
                <w:bCs/>
                <w:sz w:val="21"/>
                <w:szCs w:val="21"/>
              </w:rPr>
              <w:t>评分标准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E2403D0">
            <w:pPr>
              <w:spacing w:line="360" w:lineRule="auto"/>
              <w:jc w:val="both"/>
              <w:rPr>
                <w:rFonts w:ascii="宋体" w:hAnsi="宋体" w:eastAsia="宋体"/>
                <w:b/>
                <w:bCs/>
                <w:sz w:val="21"/>
                <w:szCs w:val="21"/>
              </w:rPr>
            </w:pPr>
            <w:r>
              <w:rPr>
                <w:rFonts w:hint="eastAsia" w:ascii="宋体" w:hAnsi="宋体" w:eastAsia="宋体"/>
                <w:b/>
                <w:bCs/>
                <w:sz w:val="21"/>
                <w:szCs w:val="21"/>
              </w:rPr>
              <w:t>分值范围</w:t>
            </w:r>
          </w:p>
        </w:tc>
      </w:tr>
      <w:tr w14:paraId="20BC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jc w:val="center"/>
        </w:trPr>
        <w:tc>
          <w:tcPr>
            <w:tcW w:w="1352" w:type="dxa"/>
            <w:vMerge w:val="restart"/>
            <w:tcBorders>
              <w:top w:val="single" w:color="auto" w:sz="4" w:space="0"/>
              <w:left w:val="single" w:color="auto" w:sz="4" w:space="0"/>
              <w:right w:val="single" w:color="auto" w:sz="4" w:space="0"/>
            </w:tcBorders>
            <w:noWrap w:val="0"/>
            <w:vAlign w:val="center"/>
          </w:tcPr>
          <w:p w14:paraId="755E4EA3">
            <w:pPr>
              <w:spacing w:line="360" w:lineRule="auto"/>
              <w:jc w:val="both"/>
              <w:rPr>
                <w:rFonts w:ascii="宋体" w:hAnsi="宋体" w:eastAsia="宋体"/>
                <w:sz w:val="21"/>
                <w:szCs w:val="21"/>
              </w:rPr>
            </w:pPr>
          </w:p>
          <w:p w14:paraId="45885748">
            <w:pPr>
              <w:spacing w:line="360" w:lineRule="auto"/>
              <w:jc w:val="both"/>
              <w:rPr>
                <w:rFonts w:ascii="宋体" w:hAnsi="宋体" w:eastAsia="宋体"/>
                <w:sz w:val="21"/>
                <w:szCs w:val="21"/>
              </w:rPr>
            </w:pPr>
          </w:p>
          <w:p w14:paraId="604C9517">
            <w:pPr>
              <w:spacing w:line="360" w:lineRule="auto"/>
              <w:jc w:val="both"/>
              <w:rPr>
                <w:rFonts w:ascii="宋体" w:hAnsi="宋体" w:eastAsia="宋体"/>
                <w:sz w:val="21"/>
                <w:szCs w:val="21"/>
              </w:rPr>
            </w:pPr>
            <w:r>
              <w:rPr>
                <w:rFonts w:hint="eastAsia" w:ascii="宋体" w:hAnsi="宋体" w:eastAsia="宋体"/>
                <w:sz w:val="21"/>
                <w:szCs w:val="21"/>
              </w:rPr>
              <w:t>技术资信分</w:t>
            </w:r>
          </w:p>
          <w:p w14:paraId="267748CE">
            <w:pPr>
              <w:spacing w:line="360" w:lineRule="auto"/>
              <w:jc w:val="both"/>
              <w:rPr>
                <w:rFonts w:ascii="宋体" w:hAnsi="宋体" w:eastAsia="宋体"/>
                <w:b/>
                <w:bCs/>
                <w:sz w:val="21"/>
                <w:szCs w:val="21"/>
              </w:rPr>
            </w:pPr>
            <w:r>
              <w:rPr>
                <w:rFonts w:hint="eastAsia" w:ascii="宋体" w:hAnsi="宋体" w:eastAsia="宋体"/>
                <w:sz w:val="21"/>
                <w:szCs w:val="21"/>
              </w:rPr>
              <w:t>（</w:t>
            </w:r>
            <w:r>
              <w:rPr>
                <w:rFonts w:hint="eastAsia" w:ascii="宋体" w:hAnsi="宋体"/>
                <w:sz w:val="21"/>
                <w:szCs w:val="21"/>
                <w:u w:val="single"/>
                <w:lang w:val="en-US" w:eastAsia="zh-CN"/>
              </w:rPr>
              <w:t>7</w:t>
            </w:r>
            <w:r>
              <w:rPr>
                <w:rFonts w:hint="eastAsia" w:ascii="宋体" w:hAnsi="宋体" w:eastAsia="宋体"/>
                <w:sz w:val="21"/>
                <w:szCs w:val="21"/>
                <w:u w:val="single"/>
              </w:rPr>
              <w:t>0</w:t>
            </w:r>
            <w:r>
              <w:rPr>
                <w:rFonts w:hint="eastAsia" w:ascii="宋体" w:hAnsi="宋体" w:eastAsia="宋体"/>
                <w:sz w:val="21"/>
                <w:szCs w:val="21"/>
              </w:rPr>
              <w:t>分）</w:t>
            </w:r>
          </w:p>
        </w:tc>
        <w:tc>
          <w:tcPr>
            <w:tcW w:w="1667" w:type="dxa"/>
            <w:tcBorders>
              <w:top w:val="single" w:color="auto" w:sz="4" w:space="0"/>
              <w:left w:val="single" w:color="auto" w:sz="4" w:space="0"/>
              <w:bottom w:val="single" w:color="auto" w:sz="4" w:space="0"/>
              <w:right w:val="single" w:color="auto" w:sz="4" w:space="0"/>
            </w:tcBorders>
            <w:noWrap w:val="0"/>
            <w:vAlign w:val="center"/>
          </w:tcPr>
          <w:p w14:paraId="75A03EDA">
            <w:pPr>
              <w:snapToGrid w:val="0"/>
              <w:spacing w:line="360"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总体实施方案</w:t>
            </w:r>
          </w:p>
          <w:p w14:paraId="17CEE675">
            <w:pPr>
              <w:snapToGrid w:val="0"/>
              <w:spacing w:line="360" w:lineRule="auto"/>
              <w:jc w:val="both"/>
              <w:rPr>
                <w:rFonts w:ascii="宋体" w:hAnsi="宋体" w:eastAsia="宋体"/>
                <w:bCs/>
                <w:sz w:val="21"/>
                <w:szCs w:val="21"/>
              </w:rPr>
            </w:pPr>
          </w:p>
        </w:tc>
        <w:tc>
          <w:tcPr>
            <w:tcW w:w="6147" w:type="dxa"/>
            <w:tcBorders>
              <w:top w:val="single" w:color="auto" w:sz="4" w:space="0"/>
              <w:left w:val="single" w:color="auto" w:sz="4" w:space="0"/>
              <w:bottom w:val="single" w:color="auto" w:sz="4" w:space="0"/>
              <w:right w:val="single" w:color="auto" w:sz="4" w:space="0"/>
            </w:tcBorders>
            <w:noWrap w:val="0"/>
            <w:vAlign w:val="center"/>
          </w:tcPr>
          <w:p w14:paraId="0F89B83C">
            <w:pPr>
              <w:pStyle w:val="2"/>
              <w:jc w:val="both"/>
              <w:rPr>
                <w:rFonts w:hint="eastAsia"/>
                <w:bCs/>
                <w:sz w:val="21"/>
                <w:szCs w:val="21"/>
                <w:lang w:val="en-US" w:eastAsia="zh-CN"/>
              </w:rPr>
            </w:pPr>
            <w:r>
              <w:rPr>
                <w:rFonts w:hint="eastAsia"/>
                <w:bCs/>
                <w:sz w:val="21"/>
                <w:szCs w:val="21"/>
                <w:lang w:val="en-US" w:eastAsia="zh-CN"/>
              </w:rPr>
              <w:t>根据采购文件及投标人提供的总体实施方案，内容主要包括实施进度计划、人员配置、项目进度保证措施、项目质量保证、技术培训、项目背景及需求分析等</w:t>
            </w:r>
          </w:p>
          <w:p w14:paraId="17083373">
            <w:pPr>
              <w:pStyle w:val="2"/>
              <w:jc w:val="both"/>
              <w:rPr>
                <w:rFonts w:hint="eastAsia"/>
                <w:bCs/>
                <w:sz w:val="21"/>
                <w:szCs w:val="21"/>
                <w:lang w:val="en-US" w:eastAsia="zh-CN"/>
              </w:rPr>
            </w:pPr>
            <w:r>
              <w:rPr>
                <w:rFonts w:hint="eastAsia"/>
                <w:bCs/>
                <w:sz w:val="21"/>
                <w:szCs w:val="21"/>
                <w:lang w:val="en-US" w:eastAsia="zh-CN"/>
              </w:rPr>
              <w:t>1.投标人提供的项目总体实施方案，方案完整详细，可行性、实用性、针对性强，得5分；</w:t>
            </w:r>
          </w:p>
          <w:p w14:paraId="0DD8A59E">
            <w:pPr>
              <w:pStyle w:val="2"/>
              <w:jc w:val="both"/>
              <w:rPr>
                <w:rFonts w:hint="eastAsia"/>
                <w:bCs/>
                <w:sz w:val="21"/>
                <w:szCs w:val="21"/>
                <w:lang w:val="en-US" w:eastAsia="zh-CN"/>
              </w:rPr>
            </w:pPr>
            <w:r>
              <w:rPr>
                <w:rFonts w:hint="eastAsia"/>
                <w:bCs/>
                <w:sz w:val="21"/>
                <w:szCs w:val="21"/>
                <w:lang w:val="en-US" w:eastAsia="zh-CN"/>
              </w:rPr>
              <w:t>2.投标人提供的项目总体实施方案，方案具有可行性、实用性和针对性，得3分；</w:t>
            </w:r>
          </w:p>
          <w:p w14:paraId="76D68087">
            <w:pPr>
              <w:pStyle w:val="2"/>
              <w:jc w:val="both"/>
              <w:rPr>
                <w:rFonts w:hint="eastAsia"/>
                <w:bCs/>
                <w:sz w:val="21"/>
                <w:szCs w:val="21"/>
                <w:lang w:val="en-US" w:eastAsia="zh-CN"/>
              </w:rPr>
            </w:pPr>
            <w:r>
              <w:rPr>
                <w:rFonts w:hint="eastAsia"/>
                <w:bCs/>
                <w:sz w:val="21"/>
                <w:szCs w:val="21"/>
                <w:lang w:val="en-US" w:eastAsia="zh-CN"/>
              </w:rPr>
              <w:t>3.投标人提供的项目总体实施方案，方案内容有缺失，可行性、实用性和针对性有待改善，得1分；</w:t>
            </w:r>
          </w:p>
          <w:p w14:paraId="4C4D005E">
            <w:pPr>
              <w:pStyle w:val="2"/>
              <w:jc w:val="both"/>
              <w:rPr>
                <w:bCs/>
                <w:sz w:val="21"/>
                <w:szCs w:val="21"/>
              </w:rPr>
            </w:pPr>
            <w:r>
              <w:rPr>
                <w:rFonts w:hint="eastAsia"/>
                <w:bCs/>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69A2009D">
            <w:pPr>
              <w:widowControl/>
              <w:spacing w:line="360" w:lineRule="auto"/>
              <w:jc w:val="both"/>
              <w:rPr>
                <w:rFonts w:ascii="宋体" w:hAnsi="宋体" w:eastAsia="宋体"/>
                <w:b/>
                <w:bCs/>
                <w:sz w:val="21"/>
                <w:szCs w:val="21"/>
              </w:rPr>
            </w:pPr>
            <w:r>
              <w:rPr>
                <w:rFonts w:hint="eastAsia" w:ascii="宋体" w:hAnsi="宋体" w:eastAsia="宋体" w:cs="宋体"/>
                <w:sz w:val="21"/>
                <w:szCs w:val="21"/>
              </w:rPr>
              <w:t>0-</w:t>
            </w:r>
            <w:r>
              <w:rPr>
                <w:rFonts w:hint="eastAsia" w:ascii="宋体" w:hAnsi="宋体" w:eastAsia="宋体" w:cs="宋体"/>
                <w:sz w:val="21"/>
                <w:szCs w:val="21"/>
                <w:lang w:val="en-US" w:eastAsia="zh-CN"/>
              </w:rPr>
              <w:t>5</w:t>
            </w:r>
            <w:r>
              <w:rPr>
                <w:rFonts w:hint="eastAsia" w:ascii="宋体" w:hAnsi="宋体" w:eastAsia="宋体" w:cs="宋体"/>
                <w:sz w:val="21"/>
                <w:szCs w:val="21"/>
              </w:rPr>
              <w:t>分</w:t>
            </w:r>
          </w:p>
        </w:tc>
      </w:tr>
      <w:tr w14:paraId="6129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352" w:type="dxa"/>
            <w:vMerge w:val="continue"/>
            <w:tcBorders>
              <w:left w:val="single" w:color="auto" w:sz="4" w:space="0"/>
              <w:right w:val="single" w:color="auto" w:sz="4" w:space="0"/>
            </w:tcBorders>
            <w:noWrap w:val="0"/>
            <w:vAlign w:val="center"/>
          </w:tcPr>
          <w:p w14:paraId="5A257D93">
            <w:pPr>
              <w:spacing w:line="360" w:lineRule="auto"/>
              <w:jc w:val="both"/>
              <w:rPr>
                <w:rFonts w:hint="eastAsia" w:ascii="宋体" w:hAnsi="宋体" w:eastAsia="宋体"/>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748D88D8">
            <w:pPr>
              <w:snapToGrid w:val="0"/>
              <w:spacing w:line="360" w:lineRule="auto"/>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系统技术基础能力方案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1B6B7250">
            <w:pPr>
              <w:pStyle w:val="2"/>
              <w:jc w:val="both"/>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1.完整响应全部功能，支持信创和非信创双环境兼容，满足等保二级及以上建设标准、具备 ESB集成总线能力，投标人提供的项目系统技术方案，方案完全匹配项目需求、技术细节完备，可行性、实用性、针对性强，得5分；</w:t>
            </w:r>
          </w:p>
          <w:p w14:paraId="194C23B4">
            <w:pPr>
              <w:pStyle w:val="2"/>
              <w:jc w:val="both"/>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2.投标人提供的项目系统技术方案，方案具有可行性、实用性和针对性，得3分；</w:t>
            </w:r>
          </w:p>
          <w:p w14:paraId="74674457">
            <w:pPr>
              <w:pStyle w:val="2"/>
              <w:jc w:val="both"/>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3.投标人提供的项目系统技术方案，方案内容有缺失，可行性、实用性和针对性有待改善，得1分；</w:t>
            </w:r>
          </w:p>
          <w:p w14:paraId="3986079D">
            <w:pPr>
              <w:pStyle w:val="2"/>
              <w:jc w:val="both"/>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0419E473">
            <w:pPr>
              <w:widowControl/>
              <w:spacing w:line="360" w:lineRule="auto"/>
              <w:jc w:val="both"/>
              <w:rPr>
                <w:rFonts w:hint="default" w:ascii="宋体" w:hAnsi="宋体" w:eastAsia="宋体" w:cs="宋体"/>
                <w:sz w:val="21"/>
                <w:szCs w:val="21"/>
                <w:lang w:val="en-US" w:eastAsia="zh-CN"/>
              </w:rPr>
            </w:pPr>
            <w:r>
              <w:rPr>
                <w:rFonts w:hint="eastAsia" w:ascii="宋体" w:hAnsi="宋体" w:cs="宋体"/>
                <w:sz w:val="21"/>
                <w:szCs w:val="21"/>
                <w:lang w:val="en-US" w:eastAsia="zh-CN"/>
              </w:rPr>
              <w:t>0-5分</w:t>
            </w:r>
          </w:p>
        </w:tc>
      </w:tr>
      <w:tr w14:paraId="0C15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352" w:type="dxa"/>
            <w:vMerge w:val="continue"/>
            <w:tcBorders>
              <w:left w:val="single" w:color="auto" w:sz="4" w:space="0"/>
              <w:right w:val="single" w:color="auto" w:sz="4" w:space="0"/>
            </w:tcBorders>
            <w:noWrap w:val="0"/>
            <w:vAlign w:val="center"/>
          </w:tcPr>
          <w:p w14:paraId="07D4B635">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5FA67460">
            <w:pPr>
              <w:spacing w:line="360" w:lineRule="auto"/>
              <w:jc w:val="both"/>
              <w:rPr>
                <w:rFonts w:ascii="宋体" w:hAnsi="宋体" w:eastAsia="宋体"/>
                <w:sz w:val="21"/>
                <w:szCs w:val="21"/>
              </w:rPr>
            </w:pPr>
            <w:r>
              <w:rPr>
                <w:rFonts w:hint="eastAsia" w:ascii="宋体" w:hAnsi="宋体" w:eastAsia="宋体"/>
                <w:sz w:val="21"/>
                <w:szCs w:val="21"/>
                <w:lang w:val="en-US" w:eastAsia="zh-CN"/>
              </w:rPr>
              <w:t>财务管理系统对接方案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031E94E4">
            <w:pPr>
              <w:spacing w:line="360" w:lineRule="auto"/>
              <w:jc w:val="both"/>
              <w:rPr>
                <w:rFonts w:hint="eastAsia" w:ascii="宋体" w:hAnsi="宋体" w:eastAsia="宋体"/>
                <w:sz w:val="21"/>
                <w:szCs w:val="21"/>
                <w:lang w:val="en-US" w:eastAsia="zh-CN"/>
              </w:rPr>
            </w:pPr>
            <w:r>
              <w:rPr>
                <w:rFonts w:hint="eastAsia" w:ascii="宋体" w:hAnsi="宋体" w:eastAsia="宋体"/>
                <w:sz w:val="21"/>
                <w:szCs w:val="21"/>
                <w:lang w:val="en-US" w:eastAsia="zh-CN"/>
              </w:rPr>
              <w:t>1.完整响应全部功能，可实现与我校财务管理系统（天大、天财财务管理系统）对接，投标人提供的项目系统技术方案，方案完全匹配项目需求、技术细节完备，可行性、实用性、针对性强，得5分；</w:t>
            </w:r>
          </w:p>
          <w:p w14:paraId="72DE0432">
            <w:pPr>
              <w:spacing w:line="360" w:lineRule="auto"/>
              <w:jc w:val="both"/>
              <w:rPr>
                <w:rFonts w:hint="eastAsia" w:ascii="宋体" w:hAnsi="宋体" w:eastAsia="宋体"/>
                <w:sz w:val="21"/>
                <w:szCs w:val="21"/>
                <w:lang w:val="en-US" w:eastAsia="zh-CN"/>
              </w:rPr>
            </w:pPr>
            <w:r>
              <w:rPr>
                <w:rFonts w:hint="eastAsia" w:ascii="宋体" w:hAnsi="宋体" w:eastAsia="宋体"/>
                <w:sz w:val="21"/>
                <w:szCs w:val="21"/>
                <w:lang w:val="en-US" w:eastAsia="zh-CN"/>
              </w:rPr>
              <w:t>2.投标人提供的项目系统技术方案，方案具有可行性、实用性和针对性，得3分；</w:t>
            </w:r>
          </w:p>
          <w:p w14:paraId="4931ADDE">
            <w:pPr>
              <w:spacing w:line="360" w:lineRule="auto"/>
              <w:jc w:val="both"/>
              <w:rPr>
                <w:rFonts w:hint="eastAsia" w:ascii="宋体" w:hAnsi="宋体" w:eastAsia="宋体"/>
                <w:sz w:val="21"/>
                <w:szCs w:val="21"/>
                <w:lang w:val="en-US" w:eastAsia="zh-CN"/>
              </w:rPr>
            </w:pPr>
            <w:r>
              <w:rPr>
                <w:rFonts w:hint="eastAsia" w:ascii="宋体" w:hAnsi="宋体" w:eastAsia="宋体"/>
                <w:sz w:val="21"/>
                <w:szCs w:val="21"/>
                <w:lang w:val="en-US" w:eastAsia="zh-CN"/>
              </w:rPr>
              <w:t>3.投标人提供的项目系统技术方案，方案内容有缺失，可行性、实用性和针对性有待改善，得1分；</w:t>
            </w:r>
          </w:p>
          <w:p w14:paraId="4D56720B">
            <w:pPr>
              <w:spacing w:line="360" w:lineRule="auto"/>
              <w:jc w:val="both"/>
              <w:rPr>
                <w:rFonts w:ascii="宋体" w:hAnsi="宋体" w:eastAsia="宋体"/>
                <w:sz w:val="21"/>
                <w:szCs w:val="21"/>
              </w:rPr>
            </w:pPr>
            <w:r>
              <w:rPr>
                <w:rFonts w:hint="eastAsia" w:ascii="宋体" w:hAnsi="宋体" w:eastAsia="宋体"/>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621234AC">
            <w:pPr>
              <w:spacing w:line="360" w:lineRule="auto"/>
              <w:jc w:val="both"/>
              <w:rPr>
                <w:rFonts w:ascii="宋体" w:hAnsi="宋体" w:eastAsia="宋体"/>
                <w:b/>
                <w:bCs/>
                <w:sz w:val="21"/>
                <w:szCs w:val="21"/>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4F16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jc w:val="center"/>
        </w:trPr>
        <w:tc>
          <w:tcPr>
            <w:tcW w:w="1352" w:type="dxa"/>
            <w:vMerge w:val="continue"/>
            <w:tcBorders>
              <w:left w:val="single" w:color="auto" w:sz="4" w:space="0"/>
              <w:right w:val="single" w:color="auto" w:sz="4" w:space="0"/>
            </w:tcBorders>
            <w:noWrap w:val="0"/>
            <w:vAlign w:val="center"/>
          </w:tcPr>
          <w:p w14:paraId="3993DF72">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1D485020">
            <w:pPr>
              <w:spacing w:line="360" w:lineRule="auto"/>
              <w:jc w:val="both"/>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资产管理系统对接方案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783D5D85">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1.完整响应全部功能，可实现与我校资产管理系统（久其智慧国资管理系统）对接，投标人提供的项目系统技术方案，方案完全匹配项目需求、技术细节完备，可行性、实用性、针对性强，得5分；</w:t>
            </w:r>
          </w:p>
          <w:p w14:paraId="2DE0EC4C">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2.投标人提供的项目系统技术方案，方案具有可行性、实用性和针对性，得3分；</w:t>
            </w:r>
          </w:p>
          <w:p w14:paraId="3829C52C">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3.投标人提供的项目系统技术方案，方案内容有缺失，可行性、实用性和针对性有待改善，得1分；</w:t>
            </w:r>
          </w:p>
          <w:p w14:paraId="6A26AB4C">
            <w:pPr>
              <w:spacing w:line="360" w:lineRule="auto"/>
              <w:jc w:val="both"/>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F88CAF4">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3308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1B07DB0E">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273D4EF6">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人事系统对接方案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3AF74AF3">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1.完整响应全部功能，可实现与我校人事管理系统（宏景eHR人力资源管理软件）对接，投标人提供的项目系统技术方案，方案完全匹配项目需求、技术细节完备，可行性、实用性、针对性强，得5分；</w:t>
            </w:r>
          </w:p>
          <w:p w14:paraId="1BE4DE6C">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2.投标人提供的项目系统技术方案，方案具有可行性、实用性和针对性，得3分；</w:t>
            </w:r>
          </w:p>
          <w:p w14:paraId="58F0A060">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3.投标人提供的项目系统技术方案，方案内容有缺失，可行性、实用性和针对性有待改善，得1分；</w:t>
            </w:r>
          </w:p>
          <w:p w14:paraId="425CF45C">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75BE21EE">
            <w:pPr>
              <w:spacing w:line="360" w:lineRule="auto"/>
              <w:jc w:val="both"/>
              <w:rPr>
                <w:rFonts w:ascii="宋体" w:hAnsi="宋体" w:eastAsia="宋体"/>
                <w:b/>
                <w:bCs/>
                <w:sz w:val="21"/>
                <w:szCs w:val="21"/>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5285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56EAC360">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78E1A529">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省级平台对接方案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7E873B11">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1.完整响应全部功能，可实现与安徽省教育厅高校质量工程项目平台、安徽省高校科研平台对接，投标人提供的项目系统技术方案，方案完全匹配项目需求、技术细节完备，可行性、实用性、针对性强，得5分；</w:t>
            </w:r>
          </w:p>
          <w:p w14:paraId="05984CC3">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2.投标人提供的项目系统技术方案，方案具有可行性、实用性和针对性，得3分；</w:t>
            </w:r>
          </w:p>
          <w:p w14:paraId="108E71D7">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3.投标人提供的项目系统技术方案，方案内容有缺失，可行性、实用性和针对性有待改善，得1分；</w:t>
            </w:r>
          </w:p>
          <w:p w14:paraId="7CFFCC4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FE20B46">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30B4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7D155708">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5EC8F632">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培训方案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0174261E">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评标委员会根据投标人提供的培训方案，该方案需包括培训内容、培训计划、培训对象、培训方式等，内容完善、落地性强，覆盖管理员、科研干事、全体教师，分阶段开展线下+线上培训，配套操作手册、复训计划，方案中培训次数6次及以上者得5分；</w:t>
            </w:r>
          </w:p>
          <w:p w14:paraId="64B1991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2.内容缺失，培训次数少于4次得3分；</w:t>
            </w:r>
          </w:p>
          <w:p w14:paraId="093725A8">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3.未提供 0 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0C04BB0A">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57A3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42CE28F8">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6B20CAE8">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历史数据录入、迁移专项方案</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61D7FECA">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1.根据投标人提供的历史数据能完整录入系统（从学校现有立项材料录入到新系统，如产生费用，则包含在本项目中，采购人不再额外支付费用），得5分。</w:t>
            </w:r>
          </w:p>
          <w:p w14:paraId="580F9845">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2.录入不完整，得3分；</w:t>
            </w:r>
          </w:p>
          <w:p w14:paraId="1D7A4CD6">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3.无法录入得0分。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2CFAF908">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5703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12E7CFF6">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3D784AD5">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质保与故障运维承诺</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50C9B586">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评标委员会根据投标人提供的售后服务方案进行评审，包括但不限于①售后服务内容、②故障响应时间、③响应方式、④应急处理等内容。</w:t>
            </w:r>
          </w:p>
          <w:p w14:paraId="557499FE">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1.投标人提供的项目售后服务方案，方案完整详细，可行性、实用性、针对性强，基础质保至少3年、承诺3年教师不限次数线下咨询、承诺30分钟故障响应，得5分；</w:t>
            </w:r>
          </w:p>
          <w:p w14:paraId="6F9DD2F0">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2.投标人提供的项目售后服务方案，方案具有可行性、实用性和针对性，得3分；</w:t>
            </w:r>
          </w:p>
          <w:p w14:paraId="3B2EE3C1">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3.投标人提供的项目售后服务方案，方案内容有缺失，可行性、实用性和针对性有待改善，得1分；</w:t>
            </w:r>
          </w:p>
          <w:p w14:paraId="7D0DF7D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4.方案不可行或者未提供得0分。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4CB8455F">
            <w:pPr>
              <w:spacing w:line="360" w:lineRule="auto"/>
              <w:jc w:val="both"/>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eastAsia="en-US"/>
              </w:rPr>
              <w:t>0-</w:t>
            </w: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14:paraId="02E4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5934A197">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72D3A729">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综合实力</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528B7A5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1.管理体系认证：具备有效 ISO9001 质量管理体系得 3 分；具备 ISO10015 培训管理体系得 3分，最高得6分。</w:t>
            </w:r>
          </w:p>
          <w:p w14:paraId="1D9763B9">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2.软件能力成熟度：投标人具有有效期内SPCA软件过程及能力成熟度评估证书（或CMMI软件能力成熟度模型集成证书或CSMM软件过程能力成熟度评估证书），获得3级及以上的得3分，获得1-2级得2分，未提供不得分。</w:t>
            </w:r>
          </w:p>
          <w:p w14:paraId="5B85537B">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3.自有核心软件技术知识产权：提供教科研或项目管理系统类相关发明专利/软件著作权两类证明最高得4分；仅通用办公软件不计分。</w:t>
            </w:r>
          </w:p>
          <w:p w14:paraId="6C8D6867">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4.信息安全服务资质：CCRC安全运维或CCRC软件安全开发：一级、二级资质得 3 分，三级资质得 2 分，无得 0 分。</w:t>
            </w:r>
          </w:p>
          <w:p w14:paraId="11ADC1FF">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注：</w:t>
            </w:r>
          </w:p>
          <w:p w14:paraId="0ACE8129">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1.若证书过期、无年检、证件模糊无法辨识，则本项对应分值为0分。</w:t>
            </w:r>
          </w:p>
          <w:p w14:paraId="1C555E12">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2.所有知识产权必须为所投教科研或项目管理系统相关，通用OA、财务软件软著不予计分。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490B2731">
            <w:pPr>
              <w:spacing w:line="360" w:lineRule="auto"/>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0-16分</w:t>
            </w:r>
          </w:p>
        </w:tc>
      </w:tr>
      <w:tr w14:paraId="5204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2" w:type="dxa"/>
            <w:vMerge w:val="continue"/>
            <w:tcBorders>
              <w:left w:val="single" w:color="auto" w:sz="4" w:space="0"/>
              <w:right w:val="single" w:color="auto" w:sz="4" w:space="0"/>
            </w:tcBorders>
            <w:noWrap w:val="0"/>
            <w:vAlign w:val="center"/>
          </w:tcPr>
          <w:p w14:paraId="29BF036F">
            <w:pPr>
              <w:spacing w:line="360" w:lineRule="auto"/>
              <w:ind w:firstLine="435"/>
              <w:jc w:val="both"/>
              <w:rPr>
                <w:rFonts w:ascii="宋体" w:hAnsi="宋体" w:eastAsia="宋体"/>
                <w:b/>
                <w:bCs/>
                <w:sz w:val="21"/>
                <w:szCs w:val="21"/>
              </w:rPr>
            </w:pPr>
          </w:p>
        </w:tc>
        <w:tc>
          <w:tcPr>
            <w:tcW w:w="1667" w:type="dxa"/>
            <w:tcBorders>
              <w:top w:val="single" w:color="auto" w:sz="4" w:space="0"/>
              <w:left w:val="single" w:color="auto" w:sz="4" w:space="0"/>
              <w:bottom w:val="single" w:color="auto" w:sz="4" w:space="0"/>
              <w:right w:val="single" w:color="auto" w:sz="4" w:space="0"/>
            </w:tcBorders>
            <w:noWrap w:val="0"/>
            <w:vAlign w:val="center"/>
          </w:tcPr>
          <w:p w14:paraId="66567F2F">
            <w:pPr>
              <w:spacing w:line="360" w:lineRule="auto"/>
              <w:jc w:val="both"/>
              <w:rPr>
                <w:rFonts w:hint="default" w:ascii="宋体" w:hAnsi="宋体" w:eastAsia="宋体"/>
                <w:sz w:val="21"/>
                <w:szCs w:val="21"/>
                <w:lang w:val="en-US" w:eastAsia="zh-CN"/>
              </w:rPr>
            </w:pPr>
            <w:r>
              <w:rPr>
                <w:rFonts w:hint="default" w:ascii="宋体" w:hAnsi="宋体" w:eastAsia="宋体"/>
                <w:sz w:val="21"/>
                <w:szCs w:val="21"/>
                <w:lang w:val="en-US" w:eastAsia="zh-CN"/>
              </w:rPr>
              <w:t>同类院校实施业绩</w:t>
            </w:r>
          </w:p>
        </w:tc>
        <w:tc>
          <w:tcPr>
            <w:tcW w:w="6147" w:type="dxa"/>
            <w:tcBorders>
              <w:top w:val="single" w:color="auto" w:sz="4" w:space="0"/>
              <w:left w:val="single" w:color="auto" w:sz="4" w:space="0"/>
              <w:bottom w:val="single" w:color="auto" w:sz="4" w:space="0"/>
              <w:right w:val="single" w:color="auto" w:sz="4" w:space="0"/>
            </w:tcBorders>
            <w:noWrap w:val="0"/>
            <w:vAlign w:val="center"/>
          </w:tcPr>
          <w:p w14:paraId="16B10E0C">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1.近5年（2021—2026）完成高校教科研管理系统完整落地项目，高职高专、本科院校项目均可认定为有效业绩，同一学校多期项目仅计 1 次。每提供1个有效合同得3分，最高9分。</w:t>
            </w:r>
          </w:p>
          <w:p w14:paraId="0EC8964D">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2.提供合同复印件或扫描件或影印件并加盖供应商公章。若合同中未能体现以上业绩，由合同采购方出具相关佐证材料，并加盖合同采购方公章。</w:t>
            </w:r>
          </w:p>
          <w:p w14:paraId="3F03BCE9">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3.投标文件中所提供的业绩均为已实施完成的业绩，投标人提供承诺函（格式自拟，并加盖投标人公章）。提示：如供应商虚假承诺，将承担相关责任。</w:t>
            </w:r>
          </w:p>
          <w:p w14:paraId="7CA06688">
            <w:pPr>
              <w:spacing w:line="360" w:lineRule="auto"/>
              <w:jc w:val="both"/>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4.未提供有效业绩得 0 分。</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470CDAB9">
            <w:pPr>
              <w:spacing w:line="360" w:lineRule="auto"/>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0-9分</w:t>
            </w:r>
          </w:p>
        </w:tc>
      </w:tr>
      <w:tr w14:paraId="7BD3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jc w:val="center"/>
        </w:trPr>
        <w:tc>
          <w:tcPr>
            <w:tcW w:w="1352" w:type="dxa"/>
            <w:tcBorders>
              <w:left w:val="single" w:color="auto" w:sz="4" w:space="0"/>
              <w:right w:val="single" w:color="auto" w:sz="4" w:space="0"/>
            </w:tcBorders>
            <w:noWrap w:val="0"/>
            <w:vAlign w:val="center"/>
          </w:tcPr>
          <w:p w14:paraId="42E43CF2">
            <w:pPr>
              <w:spacing w:line="360" w:lineRule="auto"/>
              <w:ind w:firstLine="210" w:firstLineChars="100"/>
              <w:jc w:val="both"/>
              <w:rPr>
                <w:rFonts w:ascii="宋体" w:hAnsi="宋体" w:eastAsia="宋体"/>
                <w:sz w:val="21"/>
                <w:szCs w:val="21"/>
              </w:rPr>
            </w:pPr>
            <w:r>
              <w:rPr>
                <w:rFonts w:hint="eastAsia" w:ascii="宋体" w:hAnsi="宋体" w:eastAsia="宋体"/>
                <w:sz w:val="21"/>
                <w:szCs w:val="21"/>
              </w:rPr>
              <w:t>价格分</w:t>
            </w:r>
          </w:p>
          <w:p w14:paraId="612E5458">
            <w:pPr>
              <w:spacing w:line="360" w:lineRule="auto"/>
              <w:jc w:val="both"/>
              <w:rPr>
                <w:rFonts w:ascii="宋体" w:hAnsi="宋体" w:eastAsia="宋体"/>
                <w:b/>
                <w:bCs/>
                <w:sz w:val="21"/>
                <w:szCs w:val="21"/>
              </w:rPr>
            </w:pPr>
            <w:r>
              <w:rPr>
                <w:rFonts w:hint="eastAsia" w:ascii="宋体" w:hAnsi="宋体" w:eastAsia="宋体"/>
                <w:sz w:val="21"/>
                <w:szCs w:val="21"/>
              </w:rPr>
              <w:t>（</w:t>
            </w:r>
            <w:r>
              <w:rPr>
                <w:rFonts w:hint="eastAsia" w:ascii="宋体" w:hAnsi="宋体"/>
                <w:sz w:val="21"/>
                <w:szCs w:val="21"/>
                <w:u w:val="single"/>
                <w:lang w:val="en-US" w:eastAsia="zh-CN"/>
              </w:rPr>
              <w:t>3</w:t>
            </w:r>
            <w:r>
              <w:rPr>
                <w:rFonts w:hint="eastAsia" w:ascii="宋体" w:hAnsi="宋体" w:eastAsia="宋体"/>
                <w:sz w:val="21"/>
                <w:szCs w:val="21"/>
                <w:u w:val="single"/>
              </w:rPr>
              <w:t>0</w:t>
            </w:r>
            <w:r>
              <w:rPr>
                <w:rFonts w:hint="eastAsia" w:ascii="宋体" w:hAnsi="宋体" w:eastAsia="宋体"/>
                <w:sz w:val="21"/>
                <w:szCs w:val="21"/>
              </w:rPr>
              <w:t>分）</w:t>
            </w:r>
          </w:p>
        </w:tc>
        <w:tc>
          <w:tcPr>
            <w:tcW w:w="9085" w:type="dxa"/>
            <w:gridSpan w:val="3"/>
            <w:tcBorders>
              <w:top w:val="single" w:color="auto" w:sz="4" w:space="0"/>
              <w:left w:val="single" w:color="auto" w:sz="4" w:space="0"/>
              <w:bottom w:val="single" w:color="auto" w:sz="4" w:space="0"/>
              <w:right w:val="single" w:color="auto" w:sz="4" w:space="0"/>
            </w:tcBorders>
            <w:noWrap w:val="0"/>
            <w:vAlign w:val="center"/>
          </w:tcPr>
          <w:p w14:paraId="51619EBE">
            <w:pPr>
              <w:spacing w:line="360" w:lineRule="auto"/>
              <w:jc w:val="both"/>
              <w:rPr>
                <w:rFonts w:hint="eastAsia" w:ascii="宋体" w:hAnsi="宋体" w:eastAsia="宋体"/>
                <w:b w:val="0"/>
                <w:bCs w:val="0"/>
                <w:sz w:val="21"/>
                <w:szCs w:val="21"/>
              </w:rPr>
            </w:pPr>
            <w:r>
              <w:rPr>
                <w:rFonts w:hint="eastAsia" w:ascii="宋体" w:hAnsi="宋体" w:eastAsia="宋体"/>
                <w:b w:val="0"/>
                <w:bCs w:val="0"/>
                <w:sz w:val="21"/>
                <w:szCs w:val="21"/>
              </w:rPr>
              <w:t>价格分统一采用低价优先法，即满足磋商文件要求且最后报价最低的供应商的价格为磋商基准价，其价格分为满分</w:t>
            </w:r>
            <w:r>
              <w:rPr>
                <w:rFonts w:hint="eastAsia" w:ascii="宋体" w:hAnsi="宋体"/>
                <w:b w:val="0"/>
                <w:bCs w:val="0"/>
                <w:sz w:val="21"/>
                <w:szCs w:val="21"/>
                <w:lang w:val="en-US" w:eastAsia="zh-CN"/>
              </w:rPr>
              <w:t>3</w:t>
            </w:r>
            <w:r>
              <w:rPr>
                <w:rFonts w:hint="eastAsia" w:ascii="宋体" w:hAnsi="宋体" w:eastAsia="宋体"/>
                <w:b w:val="0"/>
                <w:bCs w:val="0"/>
                <w:sz w:val="21"/>
                <w:szCs w:val="21"/>
                <w:lang w:val="en-US" w:eastAsia="zh-CN"/>
              </w:rPr>
              <w:t>0</w:t>
            </w:r>
            <w:r>
              <w:rPr>
                <w:rFonts w:hint="eastAsia" w:ascii="宋体" w:hAnsi="宋体" w:eastAsia="宋体"/>
                <w:b w:val="0"/>
                <w:bCs w:val="0"/>
                <w:sz w:val="21"/>
                <w:szCs w:val="21"/>
              </w:rPr>
              <w:t>分。其他供应商的价格分统一按照下列公式计算：</w:t>
            </w:r>
          </w:p>
          <w:p w14:paraId="4A7AFA4E">
            <w:pPr>
              <w:spacing w:line="360" w:lineRule="auto"/>
              <w:jc w:val="both"/>
              <w:rPr>
                <w:rFonts w:ascii="宋体" w:hAnsi="宋体" w:eastAsia="宋体"/>
                <w:b/>
                <w:bCs/>
                <w:sz w:val="21"/>
                <w:szCs w:val="21"/>
              </w:rPr>
            </w:pPr>
            <w:r>
              <w:rPr>
                <w:rFonts w:hint="eastAsia" w:ascii="宋体" w:hAnsi="宋体" w:eastAsia="宋体"/>
                <w:b w:val="0"/>
                <w:bCs w:val="0"/>
                <w:sz w:val="21"/>
                <w:szCs w:val="21"/>
              </w:rPr>
              <w:t>磋商报价得分＝（磋商基准价/最后磋商报价）×</w:t>
            </w:r>
            <w:r>
              <w:rPr>
                <w:rFonts w:hint="eastAsia" w:ascii="宋体" w:hAnsi="宋体"/>
                <w:b w:val="0"/>
                <w:bCs w:val="0"/>
                <w:sz w:val="21"/>
                <w:szCs w:val="21"/>
                <w:lang w:val="en-US" w:eastAsia="zh-CN"/>
              </w:rPr>
              <w:t>3</w:t>
            </w:r>
            <w:r>
              <w:rPr>
                <w:rFonts w:hint="eastAsia" w:ascii="宋体" w:hAnsi="宋体" w:eastAsia="宋体"/>
                <w:b w:val="0"/>
                <w:bCs w:val="0"/>
                <w:sz w:val="21"/>
                <w:szCs w:val="21"/>
                <w:lang w:val="en-US" w:eastAsia="zh-CN"/>
              </w:rPr>
              <w:t>0</w:t>
            </w:r>
            <w:r>
              <w:rPr>
                <w:rFonts w:hint="eastAsia" w:ascii="宋体" w:hAnsi="宋体" w:eastAsia="宋体"/>
                <w:b w:val="0"/>
                <w:bCs w:val="0"/>
                <w:sz w:val="21"/>
                <w:szCs w:val="21"/>
              </w:rPr>
              <w:t>％×100</w:t>
            </w:r>
          </w:p>
        </w:tc>
      </w:tr>
    </w:tbl>
    <w:p w14:paraId="4C4B15BA">
      <w:pPr>
        <w:pStyle w:val="14"/>
        <w:keepNext w:val="0"/>
        <w:keepLines w:val="0"/>
        <w:pageBreakBefore w:val="0"/>
        <w:widowControl w:val="0"/>
        <w:kinsoku/>
        <w:wordWrap/>
        <w:overflowPunct/>
        <w:topLinePunct w:val="0"/>
        <w:autoSpaceDE/>
        <w:autoSpaceDN/>
        <w:bidi w:val="0"/>
        <w:adjustRightInd/>
        <w:snapToGrid/>
        <w:spacing w:before="157" w:beforeLines="50" w:after="0"/>
        <w:ind w:left="0" w:leftChars="0" w:firstLine="0" w:firstLineChars="0"/>
        <w:textAlignment w:val="auto"/>
        <w:rPr>
          <w:rFonts w:hint="eastAsia"/>
          <w:color w:val="auto"/>
          <w:highlight w:val="none"/>
          <w:lang w:val="en-US" w:eastAsia="zh-CN"/>
        </w:rPr>
      </w:pPr>
      <w:r>
        <w:rPr>
          <w:rFonts w:hint="eastAsia"/>
          <w:color w:val="auto"/>
          <w:highlight w:val="none"/>
          <w:lang w:val="en-US" w:eastAsia="zh-CN"/>
        </w:rPr>
        <w:t>3.3分值汇总</w:t>
      </w:r>
    </w:p>
    <w:p w14:paraId="6A486990">
      <w:pPr>
        <w:pStyle w:val="14"/>
        <w:ind w:left="0" w:leftChars="0" w:firstLine="0" w:firstLineChars="0"/>
        <w:rPr>
          <w:rFonts w:hint="eastAsia"/>
          <w:color w:val="auto"/>
          <w:highlight w:val="none"/>
          <w:lang w:val="en-US" w:eastAsia="zh-CN"/>
        </w:rPr>
      </w:pPr>
      <w:r>
        <w:rPr>
          <w:rFonts w:hint="eastAsia"/>
          <w:color w:val="auto"/>
          <w:highlight w:val="none"/>
          <w:lang w:val="en-US" w:eastAsia="zh-CN"/>
        </w:rPr>
        <w:t>（1）磋商小组各成员应当独立对每个有效响应的文件进行评价、打分，然后汇总每个供应商每项评分因素的得分，再取各位评委评分之平均值，四舍五入保留至小数点后两位数，得到该供应商的技术资信分。</w:t>
      </w:r>
    </w:p>
    <w:p w14:paraId="4F07A0B1">
      <w:pPr>
        <w:pStyle w:val="14"/>
        <w:ind w:left="0" w:leftChars="0" w:firstLine="0" w:firstLineChars="0"/>
        <w:rPr>
          <w:rFonts w:hint="eastAsia"/>
          <w:color w:val="auto"/>
          <w:highlight w:val="none"/>
          <w:lang w:val="en-US" w:eastAsia="zh-CN"/>
        </w:rPr>
      </w:pPr>
      <w:r>
        <w:rPr>
          <w:rFonts w:hint="eastAsia"/>
          <w:color w:val="auto"/>
          <w:highlight w:val="none"/>
          <w:lang w:val="en-US" w:eastAsia="zh-CN"/>
        </w:rPr>
        <w:t>（2）将每个供应商的技术资信分加上根据上述标准计算出的价格分，即为该供应商的综合总得分。</w:t>
      </w:r>
    </w:p>
    <w:p w14:paraId="15DB1798">
      <w:pPr>
        <w:rPr>
          <w:rFonts w:hint="eastAsia"/>
          <w:lang w:val="en-US" w:eastAsia="zh-CN"/>
        </w:rPr>
      </w:pPr>
      <w:r>
        <w:rPr>
          <w:rFonts w:hint="eastAsia"/>
          <w:color w:val="auto"/>
          <w:highlight w:val="none"/>
          <w:lang w:val="en-US" w:eastAsia="zh-CN"/>
        </w:rPr>
        <w:t>（3）投标人要严格按照招标文件规定提交类似业绩和奖项供评标委员会评审，投标人应根据招标文件要求，最多只能提供N个类似业绩、M个奖项。若超过上述数量，评标委员会仅评审投标文件中排序在前的类似业绩和奖项，多余的类似业绩和奖项在本项目招投标活动中不予评审。（注：N、M分别为投标人获取满分的类似业绩和奖项的最少数量）。</w:t>
      </w:r>
      <w:bookmarkStart w:id="70" w:name="_Toc54941341"/>
      <w:bookmarkStart w:id="71" w:name="_Toc439316880"/>
      <w:bookmarkStart w:id="72" w:name="_Toc1812"/>
      <w:bookmarkStart w:id="73" w:name="_Toc8981"/>
    </w:p>
    <w:p w14:paraId="2114B15D">
      <w:pPr>
        <w:pStyle w:val="3"/>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合 同</w:t>
      </w:r>
    </w:p>
    <w:p w14:paraId="163075B1">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57002AE6">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0E4CF258">
      <w:pPr>
        <w:pStyle w:val="2"/>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610ED54E">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33044915">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p>
    <w:p w14:paraId="67058B72">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4922425E">
      <w:pPr>
        <w:pageBreakBefore w:val="0"/>
        <w:kinsoku/>
        <w:wordWrap/>
        <w:overflowPunct/>
        <w:topLinePunct w:val="0"/>
        <w:bidi w:val="0"/>
        <w:spacing w:line="360" w:lineRule="auto"/>
        <w:ind w:left="420" w:leftChars="200" w:firstLine="1680" w:firstLineChars="7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59F5713">
      <w:pPr>
        <w:pageBreakBefore w:val="0"/>
        <w:kinsoku/>
        <w:wordWrap/>
        <w:overflowPunct/>
        <w:topLinePunct w:val="0"/>
        <w:bidi w:val="0"/>
        <w:spacing w:line="360" w:lineRule="auto"/>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74FBDF7">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49FE18B3">
      <w:pPr>
        <w:pageBreakBefore w:val="0"/>
        <w:kinsoku/>
        <w:wordWrap/>
        <w:overflowPunct/>
        <w:topLinePunct w:val="0"/>
        <w:bidi w:val="0"/>
        <w:spacing w:line="360" w:lineRule="auto"/>
        <w:ind w:left="420" w:leftChars="200" w:firstLine="1680" w:firstLineChars="7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50DA0133">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5DDDF5B1">
      <w:pPr>
        <w:pageBreakBefore w:val="0"/>
        <w:kinsoku/>
        <w:wordWrap/>
        <w:overflowPunct/>
        <w:topLinePunct w:val="0"/>
        <w:bidi w:val="0"/>
        <w:spacing w:line="360" w:lineRule="auto"/>
        <w:ind w:left="420" w:leftChars="200"/>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32534CF7">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145BDCF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p>
    <w:p w14:paraId="6A0B34CB">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pPr>
    </w:p>
    <w:p w14:paraId="08B3F7FC">
      <w:pPr>
        <w:pageBreakBefore w:val="0"/>
        <w:kinsoku/>
        <w:wordWrap/>
        <w:overflowPunct/>
        <w:topLinePunct w:val="0"/>
        <w:bidi w:val="0"/>
        <w:spacing w:line="360" w:lineRule="auto"/>
        <w:ind w:left="420" w:leftChars="200" w:firstLine="1680" w:firstLineChars="700"/>
        <w:textAlignment w:val="auto"/>
        <w:rPr>
          <w:rFonts w:hint="eastAsia" w:ascii="宋体" w:hAnsi="宋体" w:eastAsia="宋体" w:cs="宋体"/>
          <w:sz w:val="24"/>
          <w:szCs w:val="24"/>
          <w:highlight w:val="none"/>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p>
    <w:p w14:paraId="1A5F71D1">
      <w:pPr>
        <w:pStyle w:val="15"/>
        <w:pageBreakBefore w:val="0"/>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依据《中华人民共和国民法典》</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《中华人民共和国政府采购法》等有关的法律法规，以及</w:t>
      </w:r>
      <w:r>
        <w:rPr>
          <w:rFonts w:hint="eastAsia" w:ascii="宋体" w:hAnsi="宋体" w:eastAsia="宋体" w:cs="宋体"/>
          <w:i w:val="0"/>
          <w:iCs w:val="0"/>
          <w:sz w:val="24"/>
          <w:szCs w:val="24"/>
          <w:highlight w:val="none"/>
          <w:u w:val="none"/>
          <w:lang w:eastAsia="zh-CN"/>
        </w:rPr>
        <w:t>本采购项目</w:t>
      </w:r>
      <w:r>
        <w:rPr>
          <w:rFonts w:hint="eastAsia" w:ascii="宋体" w:hAnsi="宋体" w:eastAsia="宋体" w:cs="宋体"/>
          <w:sz w:val="24"/>
          <w:szCs w:val="24"/>
          <w:highlight w:val="none"/>
        </w:rPr>
        <w:t>的</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lang w:val="en-US" w:eastAsia="zh-CN"/>
        </w:rPr>
        <w:t>/磋商</w:t>
      </w:r>
      <w:r>
        <w:rPr>
          <w:rFonts w:hint="eastAsia" w:ascii="宋体" w:hAnsi="宋体" w:eastAsia="宋体" w:cs="宋体"/>
          <w:sz w:val="24"/>
          <w:szCs w:val="24"/>
          <w:highlight w:val="none"/>
          <w:lang w:eastAsia="zh-CN"/>
        </w:rPr>
        <w:t>文件等</w:t>
      </w:r>
      <w:r>
        <w:rPr>
          <w:rFonts w:hint="eastAsia" w:ascii="宋体" w:hAnsi="宋体" w:eastAsia="宋体" w:cs="宋体"/>
          <w:sz w:val="24"/>
          <w:szCs w:val="24"/>
          <w:highlight w:val="none"/>
        </w:rPr>
        <w:t>采购文件</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乙方的《投标（响应）文件》及《中标（成交）通知书》，甲乙双方同意签订本合同。具体情况及要求如下：     </w:t>
      </w:r>
    </w:p>
    <w:p w14:paraId="1E98B72D">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1.</w:t>
      </w:r>
      <w:r>
        <w:rPr>
          <w:rFonts w:hint="eastAsia" w:ascii="宋体" w:hAnsi="宋体" w:eastAsia="宋体" w:cs="宋体"/>
          <w:b/>
          <w:sz w:val="24"/>
          <w:szCs w:val="24"/>
          <w:highlight w:val="none"/>
        </w:rPr>
        <w:t>项目信息</w:t>
      </w:r>
    </w:p>
    <w:p w14:paraId="6822A358">
      <w:pPr>
        <w:pStyle w:val="15"/>
        <w:pageBreakBefore w:val="0"/>
        <w:numPr>
          <w:ilvl w:val="0"/>
          <w:numId w:val="0"/>
        </w:numPr>
        <w:kinsoku/>
        <w:wordWrap/>
        <w:overflowPunct/>
        <w:topLinePunct w:val="0"/>
        <w:bidi w:val="0"/>
        <w:adjustRightInd w:val="0"/>
        <w:snapToGrid w:val="0"/>
        <w:spacing w:before="0" w:beforeLines="0" w:after="0" w:line="360" w:lineRule="auto"/>
        <w:ind w:left="0" w:leftChars="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lang w:val="en-US" w:eastAsia="zh-CN" w:bidi="he-IL"/>
        </w:rPr>
        <w:t>（1）</w:t>
      </w:r>
      <w:r>
        <w:rPr>
          <w:rFonts w:hint="eastAsia" w:ascii="宋体" w:hAnsi="宋体" w:eastAsia="宋体" w:cs="宋体"/>
          <w:sz w:val="24"/>
          <w:szCs w:val="24"/>
          <w:highlight w:val="none"/>
        </w:rPr>
        <w:t>采购项目名称：</w:t>
      </w:r>
      <w:r>
        <w:rPr>
          <w:rFonts w:hint="eastAsia" w:ascii="宋体" w:hAnsi="宋体" w:eastAsia="宋体" w:cs="宋体"/>
          <w:sz w:val="24"/>
          <w:szCs w:val="24"/>
          <w:highlight w:val="none"/>
          <w:u w:val="single"/>
        </w:rPr>
        <w:t xml:space="preserve">                                          </w:t>
      </w:r>
    </w:p>
    <w:p w14:paraId="58BECF89">
      <w:pPr>
        <w:pStyle w:val="15"/>
        <w:pageBreakBefore w:val="0"/>
        <w:numPr>
          <w:ilvl w:val="-1"/>
          <w:numId w:val="0"/>
        </w:numPr>
        <w:tabs>
          <w:tab w:val="left" w:pos="999"/>
        </w:tabs>
        <w:kinsoku/>
        <w:wordWrap/>
        <w:overflowPunct/>
        <w:topLinePunct w:val="0"/>
        <w:bidi w:val="0"/>
        <w:adjustRightInd w:val="0"/>
        <w:snapToGrid w:val="0"/>
        <w:spacing w:before="0" w:beforeLines="0" w:after="0" w:line="360" w:lineRule="auto"/>
        <w:ind w:left="0" w:leftChars="0" w:firstLine="0" w:firstLineChars="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 xml:space="preserve">         采购项目编号：</w:t>
      </w:r>
      <w:r>
        <w:rPr>
          <w:rFonts w:hint="eastAsia" w:ascii="宋体" w:hAnsi="宋体" w:eastAsia="宋体" w:cs="宋体"/>
          <w:sz w:val="24"/>
          <w:szCs w:val="24"/>
          <w:highlight w:val="none"/>
          <w:u w:val="single"/>
        </w:rPr>
        <w:t xml:space="preserve">                                          </w:t>
      </w:r>
    </w:p>
    <w:p w14:paraId="683D4E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）项目内容：</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lang w:val="en" w:eastAsia="zh-CN"/>
        </w:rPr>
        <w:t xml:space="preserve">   </w:t>
      </w:r>
    </w:p>
    <w:p w14:paraId="28B8E56C">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2.合同金额</w:t>
      </w:r>
    </w:p>
    <w:p w14:paraId="0E00B1A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（1）合同金额小写：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EEB48CA">
      <w:pPr>
        <w:pageBreakBefore w:val="0"/>
        <w:kinsoku/>
        <w:wordWrap/>
        <w:overflowPunct/>
        <w:topLinePunct w:val="0"/>
        <w:bidi w:val="0"/>
        <w:adjustRightInd w:val="0"/>
        <w:snapToGrid w:val="0"/>
        <w:spacing w:before="0" w:beforeLines="0" w:line="360" w:lineRule="auto"/>
        <w:ind w:left="0" w:firstLine="0" w:firstLineChars="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15B66079">
      <w:pPr>
        <w:pageBreakBefore w:val="0"/>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（注：固定单价合同应填写单价和最高限价）</w:t>
      </w:r>
    </w:p>
    <w:p w14:paraId="0C74EE47">
      <w:pPr>
        <w:pageBreakBefore w:val="0"/>
        <w:numPr>
          <w:ilvl w:val="-1"/>
          <w:numId w:val="0"/>
        </w:numPr>
        <w:kinsoku/>
        <w:wordWrap/>
        <w:overflowPunct/>
        <w:topLinePunct w:val="0"/>
        <w:bidi w:val="0"/>
        <w:adjustRightInd w:val="0"/>
        <w:snapToGrid w:val="0"/>
        <w:spacing w:before="0" w:beforeLines="0"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合同定价方式</w:t>
      </w:r>
      <w:r>
        <w:rPr>
          <w:rFonts w:hint="eastAsia" w:ascii="宋体" w:hAnsi="宋体" w:eastAsia="宋体" w:cs="宋体"/>
          <w:sz w:val="24"/>
          <w:szCs w:val="24"/>
          <w:highlight w:val="none"/>
          <w:lang w:eastAsia="zh-CN"/>
        </w:rPr>
        <w:t>（采用组合定价方式的，可以勾选多项）</w:t>
      </w:r>
      <w:r>
        <w:rPr>
          <w:rFonts w:hint="eastAsia" w:ascii="宋体" w:hAnsi="宋体" w:eastAsia="宋体" w:cs="宋体"/>
          <w:sz w:val="24"/>
          <w:szCs w:val="24"/>
          <w:highlight w:val="none"/>
        </w:rPr>
        <w:t>：</w:t>
      </w:r>
    </w:p>
    <w:p w14:paraId="5457C78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固定总价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固定单价</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固定费率</w:t>
      </w:r>
      <w:r>
        <w:rPr>
          <w:rFonts w:hint="eastAsia" w:ascii="宋体" w:hAnsi="宋体" w:eastAsia="宋体" w:cs="宋体"/>
          <w:iCs/>
          <w:sz w:val="24"/>
          <w:szCs w:val="24"/>
          <w:highlight w:val="none"/>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 xml:space="preserve">成本补偿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rPr>
        <w:t>绩效激励</w:t>
      </w:r>
      <w:r>
        <w:rPr>
          <w:rFonts w:hint="eastAsia" w:ascii="宋体" w:hAnsi="宋体" w:eastAsia="宋体" w:cs="宋体"/>
          <w:iCs/>
          <w:sz w:val="24"/>
          <w:szCs w:val="24"/>
          <w:highlight w:val="none"/>
          <w:lang w:val="en-US" w:eastAsia="zh-CN"/>
        </w:rPr>
        <w:t xml:space="preserve"> </w:t>
      </w:r>
      <w:r>
        <w:rPr>
          <w:rFonts w:hint="eastAsia" w:ascii="宋体" w:hAnsi="宋体" w:eastAsia="宋体" w:cs="宋体"/>
          <w:iCs/>
          <w:sz w:val="24"/>
          <w:szCs w:val="24"/>
          <w:highlight w:val="none"/>
        </w:rPr>
        <w:sym w:font="Wingdings" w:char="00A8"/>
      </w:r>
      <w:r>
        <w:rPr>
          <w:rFonts w:hint="eastAsia" w:ascii="宋体" w:hAnsi="宋体" w:eastAsia="宋体" w:cs="宋体"/>
          <w:iCs/>
          <w:sz w:val="24"/>
          <w:szCs w:val="24"/>
          <w:highlight w:val="none"/>
          <w:lang w:eastAsia="zh-CN"/>
        </w:rPr>
        <w:t>其他</w:t>
      </w:r>
      <w:r>
        <w:rPr>
          <w:rFonts w:hint="eastAsia" w:ascii="宋体" w:hAnsi="宋体" w:eastAsia="宋体" w:cs="宋体"/>
          <w:sz w:val="24"/>
          <w:szCs w:val="24"/>
          <w:highlight w:val="none"/>
          <w:u w:val="single"/>
        </w:rPr>
        <w:t xml:space="preserve">       </w:t>
      </w:r>
    </w:p>
    <w:p w14:paraId="21B03338">
      <w:pPr>
        <w:pStyle w:val="138"/>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）付款方式（按项目实际勾选填写）：</w:t>
      </w:r>
    </w:p>
    <w:p w14:paraId="3626D7F7">
      <w:pPr>
        <w:pageBreakBefore w:val="0"/>
        <w:kinsoku/>
        <w:wordWrap/>
        <w:overflowPunct/>
        <w:topLinePunct w:val="0"/>
        <w:bidi w:val="0"/>
        <w:adjustRightInd w:val="0"/>
        <w:snapToGrid w:val="0"/>
        <w:spacing w:before="0" w:beforeLines="0" w:line="360" w:lineRule="auto"/>
        <w:ind w:firstLine="720" w:firstLineChars="3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全额付款：</w:t>
      </w:r>
      <w:r>
        <w:rPr>
          <w:rFonts w:hint="eastAsia" w:ascii="宋体" w:hAnsi="宋体" w:eastAsia="宋体" w:cs="宋体"/>
          <w:sz w:val="24"/>
          <w:szCs w:val="24"/>
          <w:highlight w:val="none"/>
          <w:u w:val="single"/>
        </w:rPr>
        <w:t xml:space="preserve">  （应</w:t>
      </w:r>
      <w:r>
        <w:rPr>
          <w:rFonts w:hint="eastAsia" w:ascii="宋体" w:hAnsi="宋体" w:eastAsia="宋体" w:cs="宋体"/>
          <w:sz w:val="24"/>
          <w:szCs w:val="24"/>
          <w:highlight w:val="none"/>
          <w:u w:val="single"/>
          <w:lang w:eastAsia="zh-CN"/>
        </w:rPr>
        <w:t>明确</w:t>
      </w:r>
      <w:r>
        <w:rPr>
          <w:rFonts w:hint="eastAsia" w:ascii="宋体" w:hAnsi="宋体" w:eastAsia="宋体" w:cs="宋体"/>
          <w:sz w:val="24"/>
          <w:szCs w:val="24"/>
          <w:highlight w:val="none"/>
          <w:u w:val="single"/>
        </w:rPr>
        <w:t>一次性支付合同款项</w:t>
      </w:r>
      <w:r>
        <w:rPr>
          <w:rFonts w:hint="eastAsia" w:ascii="宋体" w:hAnsi="宋体" w:eastAsia="宋体" w:cs="宋体"/>
          <w:sz w:val="24"/>
          <w:szCs w:val="24"/>
          <w:highlight w:val="none"/>
          <w:u w:val="single"/>
          <w:lang w:eastAsia="zh-CN"/>
        </w:rPr>
        <w:t>的条件</w:t>
      </w:r>
      <w:r>
        <w:rPr>
          <w:rFonts w:hint="eastAsia" w:ascii="宋体" w:hAnsi="宋体" w:eastAsia="宋体" w:cs="宋体"/>
          <w:sz w:val="24"/>
          <w:szCs w:val="24"/>
          <w:highlight w:val="none"/>
          <w:u w:val="single"/>
        </w:rPr>
        <w:t xml:space="preserve">）                    </w:t>
      </w:r>
    </w:p>
    <w:p w14:paraId="6D2635DF">
      <w:pPr>
        <w:pageBreakBefore w:val="0"/>
        <w:kinsoku/>
        <w:wordWrap/>
        <w:overflowPunct/>
        <w:topLinePunct w:val="0"/>
        <w:bidi w:val="0"/>
        <w:snapToGrid w:val="0"/>
        <w:spacing w:beforeLines="0"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rPr>
        <w:t>分期付款：</w:t>
      </w:r>
      <w:r>
        <w:rPr>
          <w:rFonts w:hint="eastAsia" w:ascii="宋体" w:hAnsi="宋体" w:eastAsia="宋体" w:cs="宋体"/>
          <w:sz w:val="24"/>
          <w:szCs w:val="24"/>
          <w:highlight w:val="none"/>
          <w:u w:val="single"/>
        </w:rPr>
        <w:t xml:space="preserve">  （应明确分期支付合同款项的各期比例和支付条件</w:t>
      </w:r>
      <w:r>
        <w:rPr>
          <w:rFonts w:hint="eastAsia" w:ascii="宋体" w:hAnsi="宋体" w:eastAsia="宋体" w:cs="宋体"/>
          <w:sz w:val="24"/>
          <w:szCs w:val="24"/>
          <w:highlight w:val="none"/>
          <w:u w:val="single"/>
          <w:lang w:eastAsia="zh-CN"/>
        </w:rPr>
        <w:t>，各期支付条件应与分期履约验收情况挂钩</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eastAsia="zh-CN"/>
        </w:rPr>
        <w:t>，</w:t>
      </w:r>
      <w:r>
        <w:rPr>
          <w:rFonts w:hint="eastAsia" w:ascii="宋体" w:hAnsi="宋体" w:eastAsia="宋体" w:cs="宋体"/>
          <w:sz w:val="24"/>
          <w:szCs w:val="24"/>
          <w:highlight w:val="none"/>
          <w:lang w:eastAsia="zh-CN"/>
        </w:rPr>
        <w:t>其中涉及预付款的</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（应明确预付款的支付比例和支付条件） </w:t>
      </w:r>
    </w:p>
    <w:p w14:paraId="4A719BEE">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3.合同履行</w:t>
      </w:r>
    </w:p>
    <w:p w14:paraId="28BF1DF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（1）起始日期：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日，完成日期：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0CCC266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履约</w:t>
      </w:r>
      <w:r>
        <w:rPr>
          <w:rFonts w:hint="eastAsia" w:ascii="宋体" w:hAnsi="宋体" w:eastAsia="宋体" w:cs="宋体"/>
          <w:sz w:val="24"/>
          <w:szCs w:val="24"/>
          <w:highlight w:val="none"/>
        </w:rPr>
        <w:t>地点</w:t>
      </w:r>
      <w:r>
        <w:rPr>
          <w:rFonts w:hint="eastAsia" w:ascii="宋体" w:hAnsi="宋体" w:eastAsia="宋体" w:cs="宋体"/>
          <w:b w:val="0"/>
          <w:bCs/>
          <w:sz w:val="24"/>
          <w:szCs w:val="24"/>
          <w:highlight w:val="none"/>
        </w:rPr>
        <w:t>：</w:t>
      </w:r>
      <w:r>
        <w:rPr>
          <w:rFonts w:hint="eastAsia" w:ascii="宋体" w:hAnsi="宋体" w:eastAsia="宋体" w:cs="宋体"/>
          <w:sz w:val="24"/>
          <w:szCs w:val="24"/>
          <w:highlight w:val="none"/>
          <w:u w:val="single"/>
        </w:rPr>
        <w:t xml:space="preserve">                             </w:t>
      </w:r>
    </w:p>
    <w:p w14:paraId="7BF283D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（3）履约担保：</w:t>
      </w:r>
      <w:r>
        <w:rPr>
          <w:rFonts w:hint="eastAsia" w:ascii="宋体" w:hAnsi="宋体" w:eastAsia="宋体" w:cs="宋体"/>
          <w:sz w:val="24"/>
          <w:szCs w:val="24"/>
          <w:highlight w:val="none"/>
          <w:lang w:val="en-US" w:eastAsia="zh-CN"/>
        </w:rPr>
        <w:t>是否收取履约保证金：</w:t>
      </w:r>
      <w:r>
        <w:rPr>
          <w:rFonts w:hint="eastAsia" w:ascii="宋体" w:hAnsi="宋体" w:eastAsia="宋体" w:cs="宋体"/>
          <w:sz w:val="24"/>
          <w:szCs w:val="24"/>
          <w:highlight w:val="none"/>
        </w:rPr>
        <w:sym w:font="Wingdings" w:char="00A8"/>
      </w:r>
      <w:r>
        <w:rPr>
          <w:rFonts w:hint="eastAsia" w:ascii="宋体" w:hAnsi="宋体" w:eastAsia="宋体" w:cs="宋体"/>
          <w:sz w:val="24"/>
          <w:szCs w:val="24"/>
          <w:highlight w:val="none"/>
          <w:lang w:eastAsia="zh-CN"/>
        </w:rPr>
        <w:t>是</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sym w:font="Wingdings" w:char="00FE"/>
      </w:r>
      <w:r>
        <w:rPr>
          <w:rFonts w:hint="eastAsia" w:ascii="宋体" w:hAnsi="宋体" w:eastAsia="宋体" w:cs="宋体"/>
          <w:sz w:val="24"/>
          <w:szCs w:val="24"/>
          <w:highlight w:val="none"/>
          <w:lang w:eastAsia="zh-CN"/>
        </w:rPr>
        <w:t>否</w:t>
      </w:r>
    </w:p>
    <w:p w14:paraId="689C04D4">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lang w:val="en-US" w:eastAsia="zh-CN" w:bidi="ar-SA"/>
        </w:rPr>
      </w:pPr>
      <w:r>
        <w:rPr>
          <w:rFonts w:hint="eastAsia" w:ascii="宋体" w:hAnsi="宋体" w:eastAsia="宋体" w:cs="宋体"/>
          <w:b/>
          <w:sz w:val="24"/>
          <w:szCs w:val="24"/>
          <w:lang w:val="en-US" w:eastAsia="zh-CN" w:bidi="ar-SA"/>
        </w:rPr>
        <w:t>4.合同验收</w:t>
      </w:r>
    </w:p>
    <w:p w14:paraId="3480CE54">
      <w:pPr>
        <w:pageBreakBefore w:val="0"/>
        <w:numPr>
          <w:ilvl w:val="0"/>
          <w:numId w:val="4"/>
        </w:numPr>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验收组织方式：</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自行组织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委托第三方组织</w:t>
      </w:r>
    </w:p>
    <w:p w14:paraId="093E188E">
      <w:pPr>
        <w:pageBreakBefore w:val="0"/>
        <w:numPr>
          <w:ilvl w:val="0"/>
          <w:numId w:val="0"/>
        </w:numPr>
        <w:kinsoku/>
        <w:wordWrap/>
        <w:overflowPunct/>
        <w:topLinePunct w:val="0"/>
        <w:bidi w:val="0"/>
        <w:adjustRightInd w:val="0"/>
        <w:snapToGrid w:val="0"/>
        <w:spacing w:before="0" w:beforeLines="0" w:line="360" w:lineRule="auto"/>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lang w:val="en-US" w:eastAsia="zh-CN"/>
        </w:rPr>
        <w:t xml:space="preserve">         </w:t>
      </w:r>
      <w:r>
        <w:rPr>
          <w:rFonts w:hint="eastAsia" w:ascii="宋体" w:hAnsi="宋体" w:eastAsia="宋体" w:cs="宋体"/>
          <w:bCs/>
          <w:sz w:val="24"/>
          <w:szCs w:val="24"/>
          <w:highlight w:val="none"/>
        </w:rPr>
        <w:t>验收主体：</w:t>
      </w:r>
      <w:r>
        <w:rPr>
          <w:rFonts w:hint="eastAsia" w:ascii="宋体" w:hAnsi="宋体" w:eastAsia="宋体" w:cs="宋体"/>
          <w:bCs/>
          <w:sz w:val="24"/>
          <w:szCs w:val="24"/>
          <w:highlight w:val="none"/>
          <w:u w:val="single"/>
        </w:rPr>
        <w:t xml:space="preserve">                  </w:t>
      </w:r>
    </w:p>
    <w:p w14:paraId="5536F458">
      <w:pPr>
        <w:pageBreakBefore w:val="0"/>
        <w:kinsoku/>
        <w:wordWrap/>
        <w:overflowPunct/>
        <w:topLinePunct w:val="0"/>
        <w:bidi w:val="0"/>
        <w:adjustRightInd w:val="0"/>
        <w:snapToGrid w:val="0"/>
        <w:spacing w:before="0" w:beforeLines="0" w:line="360" w:lineRule="auto"/>
        <w:ind w:firstLine="480" w:firstLineChars="200"/>
        <w:textAlignment w:val="auto"/>
        <w:rPr>
          <w:rFonts w:hint="default" w:ascii="宋体" w:hAnsi="宋体" w:eastAsia="宋体" w:cs="宋体"/>
          <w:bCs/>
          <w:sz w:val="24"/>
          <w:szCs w:val="24"/>
          <w:highlight w:val="none"/>
          <w:u w:val="single"/>
          <w:lang w:val="en-US"/>
        </w:rPr>
      </w:pPr>
      <w:r>
        <w:rPr>
          <w:rFonts w:hint="eastAsia" w:ascii="宋体" w:hAnsi="宋体" w:eastAsia="宋体" w:cs="宋体"/>
          <w:bCs/>
          <w:sz w:val="24"/>
          <w:szCs w:val="24"/>
          <w:highlight w:val="none"/>
        </w:rPr>
        <w:t>（2）履约验收时间：</w:t>
      </w:r>
      <w:r>
        <w:rPr>
          <w:rFonts w:hint="eastAsia" w:ascii="宋体" w:hAnsi="宋体" w:eastAsia="宋体" w:cs="宋体"/>
          <w:bCs/>
          <w:sz w:val="24"/>
          <w:szCs w:val="24"/>
          <w:highlight w:val="none"/>
          <w:u w:val="single"/>
          <w:lang w:val="en-US" w:eastAsia="zh-CN"/>
        </w:rPr>
        <w:t xml:space="preserve">                                         </w:t>
      </w:r>
    </w:p>
    <w:p w14:paraId="4F0B6C60">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（3）履约验收方式：</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p>
    <w:p w14:paraId="24B23338">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（4）履约验收程序：</w:t>
      </w:r>
      <w:r>
        <w:rPr>
          <w:rFonts w:hint="eastAsia" w:ascii="宋体" w:hAnsi="宋体" w:eastAsia="宋体" w:cs="宋体"/>
          <w:bCs/>
          <w:sz w:val="24"/>
          <w:szCs w:val="24"/>
          <w:highlight w:val="none"/>
          <w:u w:val="single"/>
        </w:rPr>
        <w:t xml:space="preserve">                                         </w:t>
      </w:r>
    </w:p>
    <w:p w14:paraId="49FDA31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（5）履约验收的内容：</w:t>
      </w:r>
      <w:r>
        <w:rPr>
          <w:rFonts w:hint="eastAsia" w:ascii="宋体" w:hAnsi="宋体" w:eastAsia="宋体" w:cs="宋体"/>
          <w:bCs/>
          <w:sz w:val="24"/>
          <w:szCs w:val="24"/>
          <w:highlight w:val="none"/>
          <w:u w:val="single"/>
        </w:rPr>
        <w:t xml:space="preserve">                                       </w:t>
      </w:r>
    </w:p>
    <w:p w14:paraId="484B46E6">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rPr>
        <w:t>（6）履约验收标准：</w:t>
      </w:r>
      <w:r>
        <w:rPr>
          <w:rFonts w:hint="eastAsia" w:ascii="宋体" w:hAnsi="宋体" w:eastAsia="宋体" w:cs="宋体"/>
          <w:bCs/>
          <w:sz w:val="24"/>
          <w:szCs w:val="24"/>
          <w:highlight w:val="none"/>
          <w:u w:val="single"/>
        </w:rPr>
        <w:t xml:space="preserve">                                         </w:t>
      </w:r>
    </w:p>
    <w:p w14:paraId="2E55878D">
      <w:pPr>
        <w:pStyle w:val="137"/>
        <w:pageBreakBefore w:val="0"/>
        <w:kinsoku/>
        <w:wordWrap/>
        <w:overflowPunct/>
        <w:topLinePunct w:val="0"/>
        <w:bidi w:val="0"/>
        <w:spacing w:beforeLines="0"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bCs/>
          <w:sz w:val="24"/>
          <w:szCs w:val="24"/>
          <w:highlight w:val="none"/>
          <w:u w:val="none"/>
          <w:lang w:eastAsia="zh-CN"/>
        </w:rPr>
        <w:t>（</w:t>
      </w:r>
      <w:r>
        <w:rPr>
          <w:rFonts w:hint="eastAsia" w:ascii="宋体" w:hAnsi="宋体" w:eastAsia="宋体" w:cs="宋体"/>
          <w:bCs/>
          <w:sz w:val="24"/>
          <w:szCs w:val="24"/>
          <w:highlight w:val="none"/>
          <w:u w:val="none"/>
          <w:lang w:val="en-US" w:eastAsia="zh-CN"/>
        </w:rPr>
        <w:t>7</w:t>
      </w:r>
      <w:r>
        <w:rPr>
          <w:rFonts w:hint="eastAsia" w:ascii="宋体" w:hAnsi="宋体" w:eastAsia="宋体" w:cs="宋体"/>
          <w:bCs/>
          <w:sz w:val="24"/>
          <w:szCs w:val="24"/>
          <w:highlight w:val="none"/>
          <w:u w:val="none"/>
          <w:lang w:eastAsia="zh-CN"/>
        </w:rPr>
        <w:t>）是否以采购活动中供应商提供的样品作为参考：</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 xml:space="preserve">是  </w:t>
      </w:r>
      <w:r>
        <w:rPr>
          <w:rFonts w:hint="eastAsia" w:ascii="宋体" w:hAnsi="宋体" w:eastAsia="宋体" w:cs="宋体"/>
          <w:sz w:val="24"/>
          <w:szCs w:val="24"/>
          <w:highlight w:val="none"/>
        </w:rPr>
        <w:sym w:font="Wingdings" w:char="00A8"/>
      </w:r>
      <w:r>
        <w:rPr>
          <w:rFonts w:hint="eastAsia" w:ascii="宋体" w:hAnsi="宋体" w:eastAsia="宋体" w:cs="宋体"/>
          <w:bCs/>
          <w:sz w:val="24"/>
          <w:szCs w:val="24"/>
          <w:highlight w:val="none"/>
        </w:rPr>
        <w:t>否</w:t>
      </w:r>
    </w:p>
    <w:p w14:paraId="1E1ADB02">
      <w:pPr>
        <w:pageBreakBefore w:val="0"/>
        <w:numPr>
          <w:ilvl w:val="0"/>
          <w:numId w:val="0"/>
        </w:numPr>
        <w:kinsoku/>
        <w:wordWrap/>
        <w:overflowPunct/>
        <w:topLinePunct w:val="0"/>
        <w:bidi w:val="0"/>
        <w:adjustRightInd w:val="0"/>
        <w:snapToGrid w:val="0"/>
        <w:spacing w:before="0" w:beforeLines="0" w:line="36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lang w:val="en-US" w:eastAsia="zh-CN" w:bidi="ar-SA"/>
        </w:rPr>
        <w:t>5.</w:t>
      </w:r>
      <w:r>
        <w:rPr>
          <w:rFonts w:hint="eastAsia" w:ascii="宋体" w:hAnsi="宋体" w:eastAsia="宋体" w:cs="宋体"/>
          <w:b/>
          <w:sz w:val="24"/>
          <w:szCs w:val="24"/>
          <w:highlight w:val="none"/>
        </w:rPr>
        <w:t>组成合同的文件</w:t>
      </w:r>
    </w:p>
    <w:p w14:paraId="22765AF7">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本协议书与下列文件一起构成合同文件，如下述文件之间有任何抵触、矛盾或歧义，应按以下顺序解释：</w:t>
      </w:r>
    </w:p>
    <w:p w14:paraId="518016E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政府采购</w:t>
      </w:r>
      <w:r>
        <w:rPr>
          <w:rFonts w:hint="eastAsia" w:ascii="宋体" w:hAnsi="宋体" w:eastAsia="宋体" w:cs="宋体"/>
          <w:color w:val="auto"/>
          <w:sz w:val="24"/>
          <w:szCs w:val="24"/>
          <w:highlight w:val="none"/>
        </w:rPr>
        <w:t>合同协议书及其变更、补充</w:t>
      </w:r>
      <w:r>
        <w:rPr>
          <w:rFonts w:hint="eastAsia" w:ascii="宋体" w:hAnsi="宋体" w:eastAsia="宋体" w:cs="宋体"/>
          <w:color w:val="auto"/>
          <w:sz w:val="24"/>
          <w:szCs w:val="24"/>
          <w:highlight w:val="none"/>
          <w:lang w:eastAsia="zh-CN"/>
        </w:rPr>
        <w:t>协议</w:t>
      </w:r>
    </w:p>
    <w:p w14:paraId="2BB99E9C">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）政府采购合同专用条款</w:t>
      </w:r>
    </w:p>
    <w:p w14:paraId="552DD82F">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）政府采购合同通用条款</w:t>
      </w:r>
    </w:p>
    <w:p w14:paraId="1771AB4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w:t>
      </w:r>
    </w:p>
    <w:p w14:paraId="0DD54A39">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）投标（响应）文件</w:t>
      </w:r>
    </w:p>
    <w:p w14:paraId="09451CC2">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30AD4F8E">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3A49B6EA">
      <w:pPr>
        <w:pageBreakBefore w:val="0"/>
        <w:kinsoku/>
        <w:wordWrap/>
        <w:overflowPunct/>
        <w:topLinePunct w:val="0"/>
        <w:bidi w:val="0"/>
        <w:adjustRightInd w:val="0"/>
        <w:snapToGrid w:val="0"/>
        <w:spacing w:before="0" w:beforeLines="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）国家法律、行政法规和规章制度规定或合同约定的作为合同组成部分的其他文件</w:t>
      </w:r>
    </w:p>
    <w:p w14:paraId="18256E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6.违约责任</w:t>
      </w:r>
    </w:p>
    <w:p w14:paraId="556F6DDA">
      <w:pPr>
        <w:snapToGrid w:val="0"/>
        <w:spacing w:line="360" w:lineRule="auto"/>
        <w:ind w:firstLine="480" w:firstLineChars="200"/>
        <w:rPr>
          <w:rFonts w:hint="eastAsia" w:ascii="宋体" w:hAnsi="宋体" w:cs="宋体"/>
          <w:sz w:val="24"/>
          <w:szCs w:val="24"/>
        </w:rPr>
      </w:pPr>
      <w:bookmarkStart w:id="74" w:name="_Toc15583"/>
      <w:bookmarkStart w:id="75" w:name="_Toc16021"/>
      <w:bookmarkStart w:id="76" w:name="_Toc28375"/>
      <w:r>
        <w:rPr>
          <w:rFonts w:hint="eastAsia" w:ascii="宋体" w:hAnsi="宋体" w:cs="宋体"/>
          <w:sz w:val="24"/>
          <w:szCs w:val="24"/>
        </w:rPr>
        <w:t>6.1除不可抗力外，如果乙方没有按照本合同约定的期限、地点和方式履行，那么甲方可要求乙方支付违约金，违约金按每迟延履行一日的应提供而未提供服务价格的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；迟延履行的违约金计算数额达到前述最高限额之日起，甲方有权在要求乙方支付违约金的同时，书面通知乙方解除本合同；</w:t>
      </w:r>
    </w:p>
    <w:p w14:paraId="371330D4">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6.2除不可抗力外，如果甲方没有按照本合同约定的付款方式付款，那么乙方可要求甲方支付违约金，违约金按每迟延付款一日的应付而未付款的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 0.</w:t>
      </w:r>
      <w:r>
        <w:rPr>
          <w:rFonts w:hint="eastAsia" w:ascii="宋体" w:hAnsi="宋体" w:cs="宋体"/>
          <w:sz w:val="24"/>
          <w:szCs w:val="24"/>
          <w:u w:val="single"/>
          <w:lang w:val="en-US" w:eastAsia="zh-CN"/>
        </w:rPr>
        <w:t>03</w:t>
      </w:r>
      <w:r>
        <w:rPr>
          <w:rFonts w:hint="eastAsia" w:ascii="宋体" w:hAnsi="宋体" w:cs="宋体"/>
          <w:sz w:val="24"/>
          <w:szCs w:val="24"/>
          <w:u w:val="single"/>
        </w:rPr>
        <w:t xml:space="preserve"> %</w:t>
      </w:r>
      <w:r>
        <w:rPr>
          <w:rFonts w:hint="eastAsia" w:ascii="宋体" w:hAnsi="宋体" w:cs="宋体"/>
          <w:sz w:val="24"/>
          <w:szCs w:val="24"/>
        </w:rPr>
        <w:t>计算，最高限额为本合同总价的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30</w:t>
      </w:r>
      <w:r>
        <w:rPr>
          <w:rFonts w:hint="eastAsia" w:ascii="宋体" w:hAnsi="宋体" w:cs="宋体"/>
          <w:sz w:val="24"/>
          <w:szCs w:val="24"/>
          <w:u w:val="single"/>
        </w:rPr>
        <w:t xml:space="preserve"> %</w:t>
      </w:r>
      <w:r>
        <w:rPr>
          <w:rFonts w:hint="eastAsia" w:ascii="宋体" w:hAnsi="宋体" w:cs="宋体"/>
          <w:sz w:val="24"/>
          <w:szCs w:val="24"/>
        </w:rPr>
        <w:t>；迟延付款的违约金计算数额达到前述最高限额之日起，乙方有权在要求甲方支付违约金的同时，书面通知甲方解除本合同；</w:t>
      </w:r>
    </w:p>
    <w:p w14:paraId="2A6CEADE">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及要求违约方向守约方支付合同结算金额的30%的违约金；</w:t>
      </w:r>
    </w:p>
    <w:p w14:paraId="58F2525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AF23FD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690EE1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6.6因任何一方违约引发诉讼的，违约方应承担守约方为维护自身权益而产生的合理成本支出，包括但不限于律师费、诉讼费、保全费、差旅费、公证费、鉴定费等。</w:t>
      </w:r>
    </w:p>
    <w:p w14:paraId="753F8968">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7.合同争议的解决</w:t>
      </w:r>
      <w:bookmarkEnd w:id="74"/>
      <w:bookmarkEnd w:id="75"/>
      <w:bookmarkEnd w:id="76"/>
    </w:p>
    <w:p w14:paraId="61B45C1E">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5F3EC4F6">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0616F7F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3A32CBF1">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49C6AB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65BD7E1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257F47BC">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w:t>
      </w:r>
    </w:p>
    <w:p w14:paraId="7DC8558F">
      <w:pPr>
        <w:pStyle w:val="48"/>
        <w:rPr>
          <w:rFonts w:hint="eastAsia" w:ascii="宋体" w:hAnsi="宋体" w:cs="宋体"/>
          <w:sz w:val="24"/>
          <w:szCs w:val="24"/>
          <w:u w:val="single"/>
        </w:rPr>
      </w:pPr>
    </w:p>
    <w:tbl>
      <w:tblPr>
        <w:tblStyle w:val="40"/>
        <w:tblW w:w="5080"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735"/>
        <w:gridCol w:w="2106"/>
        <w:gridCol w:w="2433"/>
        <w:gridCol w:w="2221"/>
      </w:tblGrid>
      <w:tr w14:paraId="770702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2549" w:type="pct"/>
            <w:gridSpan w:val="2"/>
            <w:tcBorders>
              <w:bottom w:val="single" w:color="auto" w:sz="2" w:space="0"/>
              <w:right w:val="single" w:color="auto" w:sz="2" w:space="0"/>
            </w:tcBorders>
            <w:vAlign w:val="center"/>
          </w:tcPr>
          <w:p w14:paraId="0D7BAAAF">
            <w:pPr>
              <w:snapToGrid w:val="0"/>
              <w:spacing w:line="360" w:lineRule="auto"/>
              <w:jc w:val="center"/>
              <w:rPr>
                <w:rFonts w:hint="eastAsia" w:ascii="宋体" w:hAnsi="宋体" w:cs="宋体"/>
                <w:sz w:val="24"/>
                <w:szCs w:val="24"/>
              </w:rPr>
            </w:pPr>
            <w:r>
              <w:rPr>
                <w:rFonts w:hint="eastAsia" w:ascii="宋体" w:hAnsi="宋体" w:cs="宋体"/>
                <w:sz w:val="24"/>
                <w:szCs w:val="24"/>
              </w:rPr>
              <w:t>甲方（采购人、受采购人委托签订合同的单位或采购文件约定的合同甲方）</w:t>
            </w:r>
          </w:p>
        </w:tc>
        <w:tc>
          <w:tcPr>
            <w:tcW w:w="2450" w:type="pct"/>
            <w:gridSpan w:val="2"/>
            <w:tcBorders>
              <w:left w:val="single" w:color="auto" w:sz="2" w:space="0"/>
              <w:bottom w:val="single" w:color="auto" w:sz="2" w:space="0"/>
            </w:tcBorders>
            <w:vAlign w:val="center"/>
          </w:tcPr>
          <w:p w14:paraId="5C4FA8AE">
            <w:pPr>
              <w:snapToGrid w:val="0"/>
              <w:spacing w:line="360" w:lineRule="auto"/>
              <w:jc w:val="center"/>
              <w:rPr>
                <w:rFonts w:hint="eastAsia" w:ascii="宋体" w:hAnsi="宋体" w:cs="宋体"/>
                <w:sz w:val="24"/>
                <w:szCs w:val="24"/>
              </w:rPr>
            </w:pPr>
            <w:r>
              <w:rPr>
                <w:rFonts w:hint="eastAsia" w:ascii="宋体" w:hAnsi="宋体" w:cs="宋体"/>
                <w:sz w:val="24"/>
                <w:szCs w:val="24"/>
              </w:rPr>
              <w:t>乙方（供应商）</w:t>
            </w:r>
          </w:p>
        </w:tc>
      </w:tr>
      <w:tr w14:paraId="7DCDF0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62F36E5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2FDE2D9F">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09" w:type="pct"/>
            <w:tcBorders>
              <w:top w:val="single" w:color="auto" w:sz="2" w:space="0"/>
              <w:left w:val="single" w:color="auto" w:sz="2" w:space="0"/>
              <w:bottom w:val="single" w:color="auto" w:sz="2" w:space="0"/>
              <w:right w:val="single" w:color="auto" w:sz="2" w:space="0"/>
            </w:tcBorders>
            <w:vAlign w:val="center"/>
          </w:tcPr>
          <w:p w14:paraId="7988F0F1">
            <w:pPr>
              <w:snapToGrid w:val="0"/>
              <w:spacing w:line="360" w:lineRule="auto"/>
              <w:jc w:val="center"/>
              <w:rPr>
                <w:rFonts w:hint="eastAsia" w:ascii="宋体" w:hAnsi="宋体" w:cs="宋体"/>
                <w:sz w:val="24"/>
                <w:szCs w:val="24"/>
              </w:rPr>
            </w:pPr>
            <w:r>
              <w:rPr>
                <w:rFonts w:hint="eastAsia" w:ascii="宋体" w:hAnsi="宋体" w:cs="宋体"/>
                <w:sz w:val="24"/>
                <w:szCs w:val="24"/>
              </w:rPr>
              <w:t>桐城师范高等专科学校</w:t>
            </w:r>
          </w:p>
        </w:tc>
        <w:tc>
          <w:tcPr>
            <w:tcW w:w="1281" w:type="pct"/>
            <w:tcBorders>
              <w:top w:val="single" w:color="auto" w:sz="2" w:space="0"/>
              <w:left w:val="single" w:color="auto" w:sz="2" w:space="0"/>
              <w:bottom w:val="single" w:color="auto" w:sz="2" w:space="0"/>
              <w:right w:val="single" w:color="auto" w:sz="2" w:space="0"/>
            </w:tcBorders>
            <w:vAlign w:val="center"/>
          </w:tcPr>
          <w:p w14:paraId="159058FF">
            <w:pPr>
              <w:snapToGrid w:val="0"/>
              <w:spacing w:line="360" w:lineRule="auto"/>
              <w:jc w:val="center"/>
              <w:rPr>
                <w:rFonts w:hint="eastAsia" w:ascii="宋体" w:hAnsi="宋体" w:cs="宋体"/>
                <w:sz w:val="24"/>
                <w:szCs w:val="24"/>
              </w:rPr>
            </w:pPr>
            <w:r>
              <w:rPr>
                <w:rFonts w:hint="eastAsia" w:ascii="宋体" w:hAnsi="宋体" w:cs="宋体"/>
                <w:sz w:val="24"/>
                <w:szCs w:val="24"/>
              </w:rPr>
              <w:t>单位名称</w:t>
            </w:r>
          </w:p>
          <w:p w14:paraId="5DB2E376">
            <w:pPr>
              <w:snapToGrid w:val="0"/>
              <w:spacing w:line="360" w:lineRule="auto"/>
              <w:jc w:val="center"/>
              <w:rPr>
                <w:rFonts w:hint="eastAsia" w:ascii="宋体" w:hAnsi="宋体" w:cs="宋体"/>
                <w:sz w:val="24"/>
                <w:szCs w:val="24"/>
              </w:rPr>
            </w:pPr>
            <w:r>
              <w:rPr>
                <w:rFonts w:hint="eastAsia" w:ascii="宋体" w:hAnsi="宋体" w:cs="宋体"/>
                <w:sz w:val="24"/>
                <w:szCs w:val="24"/>
              </w:rPr>
              <w:t>（公章或合同章）</w:t>
            </w:r>
          </w:p>
        </w:tc>
        <w:tc>
          <w:tcPr>
            <w:tcW w:w="1169" w:type="pct"/>
            <w:tcBorders>
              <w:top w:val="single" w:color="auto" w:sz="2" w:space="0"/>
              <w:left w:val="single" w:color="auto" w:sz="2" w:space="0"/>
              <w:bottom w:val="single" w:color="auto" w:sz="2" w:space="0"/>
            </w:tcBorders>
            <w:vAlign w:val="center"/>
          </w:tcPr>
          <w:p w14:paraId="32CD01E1">
            <w:pPr>
              <w:snapToGrid w:val="0"/>
              <w:spacing w:line="360" w:lineRule="auto"/>
              <w:jc w:val="center"/>
              <w:rPr>
                <w:rFonts w:hint="eastAsia" w:ascii="宋体" w:hAnsi="宋体" w:cs="宋体"/>
                <w:spacing w:val="20"/>
                <w:sz w:val="24"/>
                <w:szCs w:val="24"/>
              </w:rPr>
            </w:pPr>
          </w:p>
        </w:tc>
      </w:tr>
      <w:tr w14:paraId="06D96A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right w:val="single" w:color="auto" w:sz="2" w:space="0"/>
            </w:tcBorders>
            <w:vAlign w:val="center"/>
          </w:tcPr>
          <w:p w14:paraId="6096F1D1">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19C7B82B">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或其委托代理人</w:t>
            </w:r>
          </w:p>
          <w:p w14:paraId="1DF109E9">
            <w:pPr>
              <w:snapToGrid w:val="0"/>
              <w:spacing w:line="360" w:lineRule="auto"/>
              <w:ind w:firstLine="115" w:firstLineChars="48"/>
              <w:jc w:val="center"/>
              <w:rPr>
                <w:rFonts w:hint="eastAsia" w:ascii="宋体" w:hAnsi="宋体" w:cs="宋体"/>
                <w:sz w:val="24"/>
                <w:szCs w:val="24"/>
              </w:rPr>
            </w:pPr>
            <w:r>
              <w:rPr>
                <w:rFonts w:hint="eastAsia" w:ascii="宋体" w:hAnsi="宋体" w:cs="宋体"/>
                <w:sz w:val="24"/>
                <w:szCs w:val="24"/>
              </w:rPr>
              <w:t>（签章）</w:t>
            </w:r>
          </w:p>
        </w:tc>
        <w:tc>
          <w:tcPr>
            <w:tcW w:w="1109" w:type="pct"/>
            <w:tcBorders>
              <w:top w:val="single" w:color="auto" w:sz="2" w:space="0"/>
              <w:left w:val="single" w:color="auto" w:sz="2" w:space="0"/>
              <w:right w:val="single" w:color="auto" w:sz="2" w:space="0"/>
            </w:tcBorders>
            <w:vAlign w:val="center"/>
          </w:tcPr>
          <w:p w14:paraId="431603A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right w:val="single" w:color="auto" w:sz="2" w:space="0"/>
            </w:tcBorders>
            <w:vAlign w:val="center"/>
          </w:tcPr>
          <w:p w14:paraId="3E9675CE">
            <w:pPr>
              <w:snapToGrid w:val="0"/>
              <w:spacing w:line="360" w:lineRule="auto"/>
              <w:jc w:val="center"/>
              <w:rPr>
                <w:rFonts w:hint="eastAsia" w:ascii="宋体" w:hAnsi="宋体" w:cs="宋体"/>
                <w:sz w:val="24"/>
                <w:szCs w:val="24"/>
              </w:rPr>
            </w:pPr>
            <w:r>
              <w:rPr>
                <w:rFonts w:hint="eastAsia" w:ascii="宋体" w:hAnsi="宋体" w:cs="宋体"/>
                <w:sz w:val="24"/>
                <w:szCs w:val="24"/>
              </w:rPr>
              <w:t>法定代表人</w:t>
            </w:r>
          </w:p>
          <w:p w14:paraId="2D3247C3">
            <w:pPr>
              <w:snapToGrid w:val="0"/>
              <w:spacing w:line="360" w:lineRule="auto"/>
              <w:jc w:val="center"/>
              <w:rPr>
                <w:rFonts w:hint="eastAsia" w:ascii="宋体" w:hAnsi="宋体" w:cs="宋体"/>
                <w:sz w:val="24"/>
                <w:szCs w:val="24"/>
              </w:rPr>
            </w:pPr>
            <w:r>
              <w:rPr>
                <w:rFonts w:hint="eastAsia" w:ascii="宋体" w:hAnsi="宋体" w:cs="宋体"/>
                <w:sz w:val="24"/>
                <w:szCs w:val="24"/>
              </w:rPr>
              <w:t>或其委托代理人</w:t>
            </w:r>
          </w:p>
          <w:p w14:paraId="7CF7DB34">
            <w:pPr>
              <w:snapToGrid w:val="0"/>
              <w:spacing w:line="360" w:lineRule="auto"/>
              <w:jc w:val="center"/>
              <w:rPr>
                <w:rFonts w:hint="eastAsia" w:ascii="宋体" w:hAnsi="宋体" w:cs="宋体"/>
                <w:sz w:val="24"/>
                <w:szCs w:val="24"/>
              </w:rPr>
            </w:pPr>
            <w:r>
              <w:rPr>
                <w:rFonts w:hint="eastAsia" w:ascii="宋体" w:hAnsi="宋体" w:cs="宋体"/>
                <w:sz w:val="24"/>
                <w:szCs w:val="24"/>
              </w:rPr>
              <w:t>（签章）</w:t>
            </w:r>
          </w:p>
        </w:tc>
        <w:tc>
          <w:tcPr>
            <w:tcW w:w="1169" w:type="pct"/>
            <w:tcBorders>
              <w:top w:val="single" w:color="auto" w:sz="2" w:space="0"/>
              <w:left w:val="single" w:color="auto" w:sz="2" w:space="0"/>
              <w:bottom w:val="single" w:color="auto" w:sz="2" w:space="0"/>
            </w:tcBorders>
            <w:vAlign w:val="center"/>
          </w:tcPr>
          <w:p w14:paraId="4BA15226">
            <w:pPr>
              <w:snapToGrid w:val="0"/>
              <w:spacing w:line="360" w:lineRule="auto"/>
              <w:jc w:val="center"/>
              <w:rPr>
                <w:rFonts w:hint="eastAsia" w:ascii="宋体" w:hAnsi="宋体" w:cs="宋体"/>
                <w:sz w:val="24"/>
                <w:szCs w:val="24"/>
              </w:rPr>
            </w:pPr>
          </w:p>
        </w:tc>
      </w:tr>
      <w:tr w14:paraId="3A004E3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23911FAF">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09" w:type="pct"/>
            <w:tcBorders>
              <w:top w:val="single" w:color="auto" w:sz="2" w:space="0"/>
              <w:left w:val="single" w:color="auto" w:sz="2" w:space="0"/>
              <w:bottom w:val="single" w:color="auto" w:sz="2" w:space="0"/>
              <w:right w:val="single" w:color="auto" w:sz="2" w:space="0"/>
            </w:tcBorders>
            <w:vAlign w:val="center"/>
          </w:tcPr>
          <w:p w14:paraId="117933E0">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71C7CDCC">
            <w:pPr>
              <w:snapToGrid w:val="0"/>
              <w:spacing w:line="360" w:lineRule="auto"/>
              <w:jc w:val="center"/>
              <w:rPr>
                <w:rFonts w:hint="eastAsia" w:ascii="宋体" w:hAnsi="宋体" w:cs="宋体"/>
                <w:sz w:val="24"/>
                <w:szCs w:val="24"/>
              </w:rPr>
            </w:pPr>
            <w:r>
              <w:rPr>
                <w:rFonts w:hint="eastAsia" w:ascii="宋体" w:hAnsi="宋体" w:cs="宋体"/>
                <w:sz w:val="24"/>
                <w:szCs w:val="24"/>
              </w:rPr>
              <w:t>住  所</w:t>
            </w:r>
          </w:p>
        </w:tc>
        <w:tc>
          <w:tcPr>
            <w:tcW w:w="1169" w:type="pct"/>
            <w:tcBorders>
              <w:top w:val="single" w:color="auto" w:sz="2" w:space="0"/>
              <w:left w:val="single" w:color="auto" w:sz="2" w:space="0"/>
              <w:bottom w:val="single" w:color="auto" w:sz="2" w:space="0"/>
            </w:tcBorders>
            <w:vAlign w:val="center"/>
          </w:tcPr>
          <w:p w14:paraId="192EF882">
            <w:pPr>
              <w:snapToGrid w:val="0"/>
              <w:spacing w:line="360" w:lineRule="auto"/>
              <w:jc w:val="center"/>
              <w:rPr>
                <w:rFonts w:hint="eastAsia" w:ascii="宋体" w:hAnsi="宋体" w:cs="宋体"/>
                <w:spacing w:val="20"/>
                <w:sz w:val="24"/>
                <w:szCs w:val="24"/>
              </w:rPr>
            </w:pPr>
          </w:p>
        </w:tc>
      </w:tr>
      <w:tr w14:paraId="4DD3BC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38C4AC21">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09" w:type="pct"/>
            <w:tcBorders>
              <w:top w:val="single" w:color="auto" w:sz="2" w:space="0"/>
              <w:left w:val="single" w:color="auto" w:sz="2" w:space="0"/>
              <w:bottom w:val="single" w:color="auto" w:sz="2" w:space="0"/>
              <w:right w:val="single" w:color="auto" w:sz="2" w:space="0"/>
            </w:tcBorders>
            <w:vAlign w:val="center"/>
          </w:tcPr>
          <w:p w14:paraId="6C0C5144">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2F969165">
            <w:pPr>
              <w:snapToGrid w:val="0"/>
              <w:spacing w:line="360" w:lineRule="auto"/>
              <w:jc w:val="center"/>
              <w:rPr>
                <w:rFonts w:hint="eastAsia" w:ascii="宋体" w:hAnsi="宋体" w:cs="宋体"/>
                <w:sz w:val="24"/>
                <w:szCs w:val="24"/>
              </w:rPr>
            </w:pPr>
            <w:r>
              <w:rPr>
                <w:rFonts w:hint="eastAsia" w:ascii="宋体" w:hAnsi="宋体" w:cs="宋体"/>
                <w:sz w:val="24"/>
                <w:szCs w:val="24"/>
              </w:rPr>
              <w:t>联 系 人</w:t>
            </w:r>
          </w:p>
        </w:tc>
        <w:tc>
          <w:tcPr>
            <w:tcW w:w="1169" w:type="pct"/>
            <w:tcBorders>
              <w:top w:val="single" w:color="auto" w:sz="2" w:space="0"/>
              <w:left w:val="single" w:color="auto" w:sz="2" w:space="0"/>
              <w:bottom w:val="single" w:color="auto" w:sz="2" w:space="0"/>
            </w:tcBorders>
            <w:vAlign w:val="center"/>
          </w:tcPr>
          <w:p w14:paraId="3E54948D">
            <w:pPr>
              <w:snapToGrid w:val="0"/>
              <w:spacing w:line="360" w:lineRule="auto"/>
              <w:jc w:val="center"/>
              <w:rPr>
                <w:rFonts w:hint="eastAsia" w:ascii="宋体" w:hAnsi="宋体" w:cs="宋体"/>
                <w:spacing w:val="20"/>
                <w:sz w:val="24"/>
                <w:szCs w:val="24"/>
              </w:rPr>
            </w:pPr>
          </w:p>
        </w:tc>
      </w:tr>
      <w:tr w14:paraId="60CBEB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1440" w:type="pct"/>
            <w:tcBorders>
              <w:top w:val="single" w:color="auto" w:sz="2" w:space="0"/>
              <w:bottom w:val="single" w:color="auto" w:sz="2" w:space="0"/>
              <w:right w:val="single" w:color="auto" w:sz="2" w:space="0"/>
            </w:tcBorders>
            <w:vAlign w:val="center"/>
          </w:tcPr>
          <w:p w14:paraId="4EEB3F45">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09" w:type="pct"/>
            <w:tcBorders>
              <w:top w:val="single" w:color="auto" w:sz="2" w:space="0"/>
              <w:left w:val="single" w:color="auto" w:sz="2" w:space="0"/>
              <w:bottom w:val="single" w:color="auto" w:sz="2" w:space="0"/>
              <w:right w:val="single" w:color="auto" w:sz="2" w:space="0"/>
            </w:tcBorders>
            <w:vAlign w:val="center"/>
          </w:tcPr>
          <w:p w14:paraId="31E7127C">
            <w:pPr>
              <w:snapToGrid w:val="0"/>
              <w:spacing w:line="360" w:lineRule="auto"/>
              <w:jc w:val="center"/>
              <w:rPr>
                <w:rFonts w:hint="eastAsia" w:ascii="宋体" w:hAnsi="宋体" w:cs="宋体"/>
                <w:sz w:val="24"/>
                <w:szCs w:val="24"/>
              </w:rPr>
            </w:pPr>
          </w:p>
        </w:tc>
        <w:tc>
          <w:tcPr>
            <w:tcW w:w="1281" w:type="pct"/>
            <w:tcBorders>
              <w:top w:val="single" w:color="auto" w:sz="2" w:space="0"/>
              <w:left w:val="single" w:color="auto" w:sz="2" w:space="0"/>
              <w:bottom w:val="single" w:color="auto" w:sz="2" w:space="0"/>
              <w:right w:val="single" w:color="auto" w:sz="2" w:space="0"/>
            </w:tcBorders>
            <w:vAlign w:val="center"/>
          </w:tcPr>
          <w:p w14:paraId="08BCDF6A">
            <w:pPr>
              <w:snapToGrid w:val="0"/>
              <w:spacing w:line="360" w:lineRule="auto"/>
              <w:jc w:val="center"/>
              <w:rPr>
                <w:rFonts w:hint="eastAsia" w:ascii="宋体" w:hAnsi="宋体" w:cs="宋体"/>
                <w:sz w:val="24"/>
                <w:szCs w:val="24"/>
              </w:rPr>
            </w:pPr>
            <w:r>
              <w:rPr>
                <w:rFonts w:hint="eastAsia" w:ascii="宋体" w:hAnsi="宋体" w:cs="宋体"/>
                <w:sz w:val="24"/>
                <w:szCs w:val="24"/>
              </w:rPr>
              <w:t>联系电话</w:t>
            </w:r>
          </w:p>
        </w:tc>
        <w:tc>
          <w:tcPr>
            <w:tcW w:w="1169" w:type="pct"/>
            <w:tcBorders>
              <w:top w:val="single" w:color="auto" w:sz="2" w:space="0"/>
              <w:left w:val="single" w:color="auto" w:sz="2" w:space="0"/>
              <w:bottom w:val="single" w:color="auto" w:sz="2" w:space="0"/>
            </w:tcBorders>
            <w:vAlign w:val="center"/>
          </w:tcPr>
          <w:p w14:paraId="50D39A1B">
            <w:pPr>
              <w:snapToGrid w:val="0"/>
              <w:spacing w:line="360" w:lineRule="auto"/>
              <w:jc w:val="center"/>
              <w:rPr>
                <w:rFonts w:hint="eastAsia" w:ascii="宋体" w:hAnsi="宋体" w:cs="宋体"/>
                <w:spacing w:val="20"/>
                <w:sz w:val="24"/>
                <w:szCs w:val="24"/>
              </w:rPr>
            </w:pPr>
          </w:p>
        </w:tc>
      </w:tr>
    </w:tbl>
    <w:p w14:paraId="7EF9B88A">
      <w:pPr>
        <w:widowControl/>
        <w:spacing w:line="560" w:lineRule="exact"/>
        <w:jc w:val="left"/>
        <w:rPr>
          <w:rFonts w:hint="eastAsia"/>
          <w:lang w:val="zh-CN"/>
        </w:rPr>
      </w:pPr>
      <w:r>
        <w:rPr>
          <w:rFonts w:hint="eastAsia" w:ascii="宋体" w:hAnsi="宋体" w:eastAsia="宋体" w:cs="宋体"/>
          <w:sz w:val="24"/>
          <w:szCs w:val="24"/>
          <w:highlight w:val="none"/>
          <w:u w:val="single"/>
        </w:rPr>
        <w:br w:type="page"/>
      </w:r>
    </w:p>
    <w:bookmarkEnd w:id="70"/>
    <w:bookmarkEnd w:id="71"/>
    <w:bookmarkEnd w:id="72"/>
    <w:bookmarkEnd w:id="73"/>
    <w:p w14:paraId="3BD274A0">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77" w:name="_Toc417656001"/>
      <w:r>
        <w:rPr>
          <w:rFonts w:hint="eastAsia" w:ascii="Arial" w:hAnsi="Arial"/>
          <w:color w:val="auto"/>
          <w:kern w:val="2"/>
          <w:sz w:val="36"/>
          <w:szCs w:val="36"/>
          <w:highlight w:val="none"/>
        </w:rPr>
        <w:t>响应文件格式</w:t>
      </w:r>
      <w:bookmarkEnd w:id="77"/>
    </w:p>
    <w:p w14:paraId="6F61B9AA">
      <w:pPr>
        <w:spacing w:line="360" w:lineRule="auto"/>
        <w:jc w:val="center"/>
        <w:rPr>
          <w:rFonts w:ascii="仿宋" w:hAnsi="仿宋" w:eastAsia="仿宋"/>
          <w:b/>
          <w:color w:val="auto"/>
          <w:spacing w:val="20"/>
          <w:sz w:val="36"/>
          <w:szCs w:val="36"/>
          <w:highlight w:val="none"/>
          <w:u w:val="single"/>
        </w:rPr>
      </w:pPr>
    </w:p>
    <w:p w14:paraId="77CB8270">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41851454">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5570D467">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693F3B23">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10B9FA7C">
      <w:pPr>
        <w:pStyle w:val="48"/>
        <w:ind w:left="0" w:leftChars="0" w:firstLine="0" w:firstLineChars="0"/>
        <w:rPr>
          <w:rFonts w:ascii="宋体"/>
          <w:color w:val="auto"/>
          <w:sz w:val="24"/>
          <w:highlight w:val="none"/>
        </w:rPr>
      </w:pPr>
    </w:p>
    <w:p w14:paraId="72A1B507">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51AC5DAF">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681D6926">
      <w:pPr>
        <w:spacing w:line="360" w:lineRule="auto"/>
        <w:ind w:firstLine="602" w:firstLineChars="200"/>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p>
    <w:p w14:paraId="5925B018">
      <w:pPr>
        <w:spacing w:line="360" w:lineRule="auto"/>
        <w:rPr>
          <w:rFonts w:ascii="仿宋_GB2312" w:eastAsia="仿宋_GB2312"/>
          <w:color w:val="auto"/>
          <w:sz w:val="30"/>
          <w:szCs w:val="30"/>
          <w:highlight w:val="none"/>
        </w:rPr>
      </w:pPr>
    </w:p>
    <w:p w14:paraId="2356CC2F">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1C2C49">
      <w:pPr>
        <w:spacing w:line="480" w:lineRule="exact"/>
        <w:jc w:val="center"/>
        <w:rPr>
          <w:rFonts w:ascii="宋体" w:hAnsi="宋体"/>
          <w:b/>
          <w:color w:val="auto"/>
          <w:sz w:val="30"/>
          <w:szCs w:val="30"/>
          <w:highlight w:val="none"/>
        </w:rPr>
      </w:pPr>
    </w:p>
    <w:p w14:paraId="54D5A13D">
      <w:pPr>
        <w:spacing w:line="480" w:lineRule="exact"/>
        <w:rPr>
          <w:rFonts w:ascii="黑体" w:eastAsia="黑体"/>
          <w:b/>
          <w:bCs/>
          <w:color w:val="auto"/>
          <w:szCs w:val="21"/>
          <w:highlight w:val="none"/>
        </w:rPr>
      </w:pPr>
    </w:p>
    <w:p w14:paraId="01FCE25C">
      <w:pPr>
        <w:pStyle w:val="49"/>
      </w:pPr>
    </w:p>
    <w:p w14:paraId="28878E0F">
      <w:pPr>
        <w:rPr>
          <w:color w:val="auto"/>
          <w:highlight w:val="none"/>
        </w:rPr>
      </w:pPr>
    </w:p>
    <w:p w14:paraId="4DB001B2">
      <w:pPr>
        <w:jc w:val="center"/>
        <w:rPr>
          <w:rFonts w:hint="eastAsia" w:ascii="宋体" w:hAnsi="宋体" w:cs="宋体"/>
          <w:b/>
          <w:color w:val="auto"/>
          <w:sz w:val="32"/>
          <w:szCs w:val="32"/>
          <w:highlight w:val="none"/>
        </w:rPr>
      </w:pPr>
    </w:p>
    <w:p w14:paraId="19B9598F">
      <w:pPr>
        <w:spacing w:line="360" w:lineRule="auto"/>
        <w:jc w:val="center"/>
        <w:outlineLvl w:val="1"/>
        <w:rPr>
          <w:rFonts w:asciiTheme="minorEastAsia" w:hAnsiTheme="minorEastAsia" w:eastAsiaTheme="minorEastAsia"/>
          <w:b/>
          <w:color w:val="auto"/>
          <w:sz w:val="24"/>
          <w:highlight w:val="none"/>
        </w:rPr>
      </w:pPr>
      <w:bookmarkStart w:id="78" w:name="_Toc461053086"/>
      <w:bookmarkStart w:id="79" w:name="_Toc461056631"/>
      <w:bookmarkStart w:id="80" w:name="_Toc26791"/>
      <w:bookmarkStart w:id="81" w:name="_Toc520983587"/>
      <w:bookmarkStart w:id="82" w:name="_Toc5881"/>
      <w:r>
        <w:rPr>
          <w:rFonts w:hint="eastAsia" w:asciiTheme="minorEastAsia" w:hAnsiTheme="minorEastAsia" w:eastAsiaTheme="minorEastAsia"/>
          <w:b/>
          <w:color w:val="auto"/>
          <w:sz w:val="24"/>
          <w:highlight w:val="none"/>
        </w:rPr>
        <w:t>一</w:t>
      </w:r>
      <w:bookmarkEnd w:id="78"/>
      <w:bookmarkEnd w:id="79"/>
      <w:r>
        <w:rPr>
          <w:rFonts w:hint="eastAsia" w:asciiTheme="minorEastAsia" w:hAnsiTheme="minorEastAsia" w:eastAsiaTheme="minorEastAsia"/>
          <w:b/>
          <w:color w:val="auto"/>
          <w:sz w:val="24"/>
          <w:highlight w:val="none"/>
        </w:rPr>
        <w:t>、报价表格式</w:t>
      </w:r>
      <w:bookmarkEnd w:id="80"/>
      <w:bookmarkEnd w:id="81"/>
      <w:bookmarkEnd w:id="82"/>
    </w:p>
    <w:p w14:paraId="446639F9">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737EF59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A1E5EC7">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2B9B9F4">
      <w:pPr>
        <w:wordWrap w:val="0"/>
        <w:spacing w:beforeAutospacing="0" w:line="360" w:lineRule="auto"/>
        <w:jc w:val="right"/>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87C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B4C9337">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728BE9F4">
            <w:pPr>
              <w:spacing w:line="360" w:lineRule="auto"/>
              <w:rPr>
                <w:rFonts w:ascii="宋体" w:hAnsi="宋体" w:eastAsia="宋体"/>
                <w:b/>
                <w:color w:val="auto"/>
                <w:sz w:val="24"/>
                <w:highlight w:val="none"/>
              </w:rPr>
            </w:pPr>
          </w:p>
        </w:tc>
      </w:tr>
      <w:tr w14:paraId="63DC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90EC5DA">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磋商范围</w:t>
            </w:r>
          </w:p>
        </w:tc>
        <w:tc>
          <w:tcPr>
            <w:tcW w:w="3557" w:type="pct"/>
            <w:tcBorders>
              <w:left w:val="single" w:color="auto" w:sz="4" w:space="0"/>
            </w:tcBorders>
            <w:vAlign w:val="center"/>
          </w:tcPr>
          <w:p w14:paraId="314BE3B2">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4B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BA1171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69F33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11263759">
            <w:pPr>
              <w:snapToGrid w:val="0"/>
              <w:spacing w:line="360" w:lineRule="auto"/>
              <w:rPr>
                <w:rFonts w:ascii="宋体" w:hAnsi="宋体" w:eastAsia="宋体"/>
                <w:color w:val="auto"/>
                <w:sz w:val="24"/>
                <w:szCs w:val="28"/>
                <w:highlight w:val="none"/>
              </w:rPr>
            </w:pPr>
          </w:p>
          <w:p w14:paraId="00CEDBB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10315E39">
            <w:pPr>
              <w:spacing w:line="360" w:lineRule="auto"/>
              <w:ind w:right="-670"/>
              <w:rPr>
                <w:rFonts w:hint="eastAsia"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4936452F">
            <w:pPr>
              <w:snapToGrid w:val="0"/>
              <w:spacing w:line="360" w:lineRule="auto"/>
              <w:rPr>
                <w:rFonts w:ascii="宋体" w:hAnsi="宋体" w:eastAsia="宋体"/>
                <w:b/>
                <w:color w:val="auto"/>
                <w:sz w:val="24"/>
                <w:highlight w:val="none"/>
              </w:rPr>
            </w:pPr>
          </w:p>
        </w:tc>
      </w:tr>
      <w:tr w14:paraId="3E62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A22BEB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B5F88B">
            <w:pPr>
              <w:spacing w:line="360" w:lineRule="auto"/>
              <w:rPr>
                <w:rFonts w:ascii="宋体" w:hAnsi="宋体" w:eastAsia="宋体"/>
                <w:b/>
                <w:color w:val="auto"/>
                <w:sz w:val="24"/>
                <w:highlight w:val="none"/>
              </w:rPr>
            </w:pPr>
          </w:p>
        </w:tc>
      </w:tr>
    </w:tbl>
    <w:p w14:paraId="136B28F6">
      <w:pPr>
        <w:spacing w:line="360" w:lineRule="auto"/>
        <w:ind w:firstLine="4800" w:firstLineChars="2000"/>
        <w:rPr>
          <w:rFonts w:hint="eastAsia" w:ascii="宋体" w:hAnsi="宋体" w:eastAsia="宋体"/>
          <w:color w:val="auto"/>
          <w:sz w:val="24"/>
          <w:highlight w:val="none"/>
        </w:rPr>
      </w:pPr>
    </w:p>
    <w:p w14:paraId="01C994F2">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0B66485B">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EA74FCE">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B3E707C">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1.本表内容根据磋商文件要求包括了</w:t>
      </w:r>
      <w:r>
        <w:rPr>
          <w:rFonts w:hint="eastAsia" w:ascii="宋体" w:hAnsi="宋体"/>
          <w:b/>
          <w:bCs/>
          <w:color w:val="auto"/>
          <w:sz w:val="24"/>
          <w:szCs w:val="28"/>
          <w:highlight w:val="none"/>
          <w:lang w:val="en-US" w:eastAsia="zh-CN"/>
        </w:rPr>
        <w:t>货物</w:t>
      </w:r>
      <w:r>
        <w:rPr>
          <w:rFonts w:hint="eastAsia" w:ascii="宋体" w:hAnsi="宋体" w:eastAsia="宋体"/>
          <w:b/>
          <w:bCs/>
          <w:color w:val="auto"/>
          <w:sz w:val="24"/>
          <w:szCs w:val="28"/>
          <w:highlight w:val="none"/>
        </w:rPr>
        <w:t>及其配套的设计、采购、制造、检测、试验、运输、保险、仓储、税费以及现场落地、安装及安装耗损、调试、培训、技术服务（包括技术资料、图纸的提供）质保期内的售后服务保障等所有费用。</w:t>
      </w:r>
    </w:p>
    <w:p w14:paraId="3EA70ECA">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22822C07">
      <w:pPr>
        <w:adjustRightInd w:val="0"/>
        <w:snapToGrid w:val="0"/>
        <w:spacing w:line="360" w:lineRule="auto"/>
        <w:ind w:firstLine="482" w:firstLineChars="200"/>
        <w:rPr>
          <w:rFonts w:hint="default" w:ascii="宋体" w:hAnsi="宋体" w:eastAsia="宋体"/>
          <w:b/>
          <w:bCs/>
          <w:color w:val="auto"/>
          <w:sz w:val="24"/>
          <w:szCs w:val="28"/>
          <w:highlight w:val="none"/>
          <w:lang w:val="en-US" w:eastAsia="zh-CN"/>
        </w:rPr>
      </w:pPr>
      <w:r>
        <w:rPr>
          <w:rFonts w:hint="eastAsia" w:ascii="宋体" w:hAnsi="宋体" w:eastAsia="宋体"/>
          <w:b/>
          <w:bCs/>
          <w:color w:val="auto"/>
          <w:sz w:val="24"/>
          <w:szCs w:val="28"/>
          <w:highlight w:val="none"/>
          <w:lang w:val="en-US" w:eastAsia="zh-CN"/>
        </w:rPr>
        <w:t>3</w:t>
      </w:r>
      <w:r>
        <w:rPr>
          <w:rFonts w:hint="eastAsia" w:ascii="宋体" w:hAnsi="宋体" w:eastAsia="宋体"/>
          <w:b/>
          <w:bCs/>
          <w:color w:val="auto"/>
          <w:sz w:val="24"/>
          <w:szCs w:val="28"/>
          <w:highlight w:val="none"/>
        </w:rPr>
        <w:t>.表中大写金额与小写金额不一致的，以大写金额为准。</w:t>
      </w:r>
    </w:p>
    <w:p w14:paraId="2FEFAA11">
      <w:pPr>
        <w:widowControl/>
        <w:jc w:val="left"/>
        <w:rPr>
          <w:rFonts w:ascii="宋体" w:hAnsi="宋体" w:eastAsia="宋体"/>
          <w:b/>
          <w:bCs/>
          <w:color w:val="auto"/>
          <w:sz w:val="24"/>
          <w:szCs w:val="28"/>
          <w:highlight w:val="none"/>
        </w:rPr>
      </w:pPr>
      <w:r>
        <w:rPr>
          <w:rFonts w:ascii="宋体" w:hAnsi="宋体" w:eastAsia="宋体"/>
          <w:b/>
          <w:bCs/>
          <w:color w:val="auto"/>
          <w:sz w:val="24"/>
          <w:szCs w:val="28"/>
          <w:highlight w:val="none"/>
        </w:rPr>
        <w:br w:type="page"/>
      </w:r>
    </w:p>
    <w:p w14:paraId="5DA14137">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3409"/>
        <w:gridCol w:w="1488"/>
        <w:gridCol w:w="1862"/>
        <w:gridCol w:w="1720"/>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序号</w:t>
            </w:r>
          </w:p>
        </w:tc>
        <w:tc>
          <w:tcPr>
            <w:tcW w:w="1823" w:type="pct"/>
            <w:noWrap w:val="0"/>
            <w:vAlign w:val="center"/>
          </w:tcPr>
          <w:p w14:paraId="3BDB2F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服务内容</w:t>
            </w:r>
          </w:p>
        </w:tc>
        <w:tc>
          <w:tcPr>
            <w:tcW w:w="796" w:type="pct"/>
            <w:noWrap w:val="0"/>
            <w:vAlign w:val="center"/>
          </w:tcPr>
          <w:p w14:paraId="5868306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项</w:t>
            </w:r>
          </w:p>
        </w:tc>
        <w:tc>
          <w:tcPr>
            <w:tcW w:w="996" w:type="pct"/>
            <w:noWrap w:val="0"/>
            <w:vAlign w:val="center"/>
          </w:tcPr>
          <w:p w14:paraId="7934227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单价</w:t>
            </w:r>
          </w:p>
        </w:tc>
        <w:tc>
          <w:tcPr>
            <w:tcW w:w="920" w:type="pct"/>
            <w:noWrap w:val="0"/>
            <w:vAlign w:val="center"/>
          </w:tcPr>
          <w:p w14:paraId="639A00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63" w:type="pct"/>
            <w:tcBorders>
              <w:bottom w:val="single" w:color="auto" w:sz="4" w:space="0"/>
            </w:tcBorders>
            <w:noWrap w:val="0"/>
            <w:vAlign w:val="center"/>
          </w:tcPr>
          <w:p w14:paraId="0E2044D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1</w:t>
            </w:r>
          </w:p>
        </w:tc>
        <w:tc>
          <w:tcPr>
            <w:tcW w:w="1823" w:type="pct"/>
            <w:noWrap w:val="0"/>
            <w:vAlign w:val="center"/>
          </w:tcPr>
          <w:p w14:paraId="7880AC6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7F73F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1EA2F8B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60206FF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463" w:type="pct"/>
            <w:noWrap w:val="0"/>
            <w:vAlign w:val="center"/>
          </w:tcPr>
          <w:p w14:paraId="552E171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2</w:t>
            </w:r>
          </w:p>
        </w:tc>
        <w:tc>
          <w:tcPr>
            <w:tcW w:w="1823" w:type="pct"/>
            <w:noWrap w:val="0"/>
            <w:vAlign w:val="center"/>
          </w:tcPr>
          <w:p w14:paraId="3F742D3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B39482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036157F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5AAEBA9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463" w:type="pct"/>
            <w:noWrap w:val="0"/>
            <w:vAlign w:val="center"/>
          </w:tcPr>
          <w:p w14:paraId="51DE39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3</w:t>
            </w:r>
          </w:p>
        </w:tc>
        <w:tc>
          <w:tcPr>
            <w:tcW w:w="1823" w:type="pct"/>
            <w:noWrap w:val="0"/>
            <w:vAlign w:val="center"/>
          </w:tcPr>
          <w:p w14:paraId="129DB36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3101AE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44FF404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307B30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463" w:type="pct"/>
            <w:noWrap w:val="0"/>
            <w:vAlign w:val="center"/>
          </w:tcPr>
          <w:p w14:paraId="768FF88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ascii="宋体" w:hAnsi="宋体" w:eastAsia="宋体"/>
                <w:sz w:val="24"/>
                <w:highlight w:val="none"/>
              </w:rPr>
              <w:t>…</w:t>
            </w:r>
          </w:p>
        </w:tc>
        <w:tc>
          <w:tcPr>
            <w:tcW w:w="1823" w:type="pct"/>
            <w:noWrap w:val="0"/>
            <w:vAlign w:val="center"/>
          </w:tcPr>
          <w:p w14:paraId="53F54BD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3093FF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363C901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20" w:type="pct"/>
            <w:noWrap w:val="0"/>
            <w:vAlign w:val="center"/>
          </w:tcPr>
          <w:p w14:paraId="050C455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79" w:type="pct"/>
            <w:gridSpan w:val="4"/>
            <w:noWrap w:val="0"/>
            <w:vAlign w:val="center"/>
          </w:tcPr>
          <w:p w14:paraId="4C32EF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b/>
                <w:sz w:val="24"/>
                <w:highlight w:val="none"/>
              </w:rPr>
              <w:t>合计金额（元）</w:t>
            </w:r>
          </w:p>
        </w:tc>
        <w:tc>
          <w:tcPr>
            <w:tcW w:w="920" w:type="pct"/>
            <w:noWrap w:val="0"/>
            <w:vAlign w:val="center"/>
          </w:tcPr>
          <w:p w14:paraId="56C4B51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bl>
    <w:p w14:paraId="4B6DB865">
      <w:pPr>
        <w:pStyle w:val="126"/>
        <w:jc w:val="both"/>
        <w:rPr>
          <w:rFonts w:hint="eastAsia" w:ascii="宋体" w:hAnsi="宋体" w:eastAsia="宋体"/>
          <w:b/>
          <w:bCs/>
          <w:highlight w:val="none"/>
          <w:lang w:val="en-US" w:eastAsia="zh-CN"/>
        </w:rPr>
      </w:pPr>
    </w:p>
    <w:p w14:paraId="0446BDE9">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5AAF2D69">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228A7822">
      <w:pPr>
        <w:pStyle w:val="126"/>
        <w:ind w:left="-108"/>
        <w:jc w:val="both"/>
        <w:rPr>
          <w:rFonts w:hint="eastAsia" w:ascii="宋体" w:hAnsi="宋体" w:eastAsia="宋体"/>
          <w:b/>
          <w:bCs/>
          <w:highlight w:val="none"/>
          <w:lang w:val="en-US" w:eastAsia="zh-CN"/>
        </w:rPr>
      </w:pPr>
    </w:p>
    <w:p w14:paraId="0983D8E1">
      <w:pPr>
        <w:pStyle w:val="126"/>
        <w:ind w:left="-108"/>
        <w:jc w:val="both"/>
        <w:rPr>
          <w:rFonts w:hint="eastAsia" w:ascii="宋体" w:hAnsi="宋体" w:eastAsia="宋体"/>
          <w:b/>
          <w:bCs/>
          <w:highlight w:val="none"/>
          <w:lang w:val="en-US" w:eastAsia="zh-CN"/>
        </w:rPr>
      </w:pPr>
    </w:p>
    <w:p w14:paraId="6710D830">
      <w:pPr>
        <w:pStyle w:val="126"/>
        <w:ind w:left="-108"/>
        <w:jc w:val="both"/>
        <w:rPr>
          <w:rFonts w:hint="eastAsia" w:ascii="宋体" w:hAnsi="宋体" w:eastAsia="宋体"/>
          <w:b/>
          <w:bCs/>
          <w:highlight w:val="none"/>
          <w:lang w:val="en-US" w:eastAsia="zh-CN"/>
        </w:rPr>
      </w:pPr>
    </w:p>
    <w:p w14:paraId="09FDD686">
      <w:pPr>
        <w:pStyle w:val="126"/>
        <w:ind w:left="-108"/>
        <w:jc w:val="both"/>
        <w:rPr>
          <w:rFonts w:hint="eastAsia" w:ascii="宋体" w:hAnsi="宋体" w:eastAsia="宋体"/>
          <w:b/>
          <w:bCs/>
          <w:highlight w:val="none"/>
          <w:lang w:val="en-US" w:eastAsia="zh-CN"/>
        </w:rPr>
      </w:pPr>
    </w:p>
    <w:p w14:paraId="377ABE4F">
      <w:pPr>
        <w:pStyle w:val="126"/>
        <w:ind w:left="-108"/>
        <w:jc w:val="both"/>
        <w:rPr>
          <w:rFonts w:hint="eastAsia" w:ascii="宋体" w:hAnsi="宋体" w:eastAsia="宋体"/>
          <w:b/>
          <w:bCs/>
          <w:highlight w:val="none"/>
          <w:lang w:val="en-US" w:eastAsia="zh-CN"/>
        </w:rPr>
      </w:pPr>
    </w:p>
    <w:p w14:paraId="38CF75EE">
      <w:pPr>
        <w:pStyle w:val="126"/>
        <w:ind w:left="-108"/>
        <w:jc w:val="both"/>
        <w:rPr>
          <w:rFonts w:hint="eastAsia" w:ascii="宋体" w:hAnsi="宋体" w:eastAsia="宋体"/>
          <w:b/>
          <w:bCs/>
          <w:highlight w:val="none"/>
          <w:lang w:val="en-US" w:eastAsia="zh-CN"/>
        </w:rPr>
      </w:pPr>
    </w:p>
    <w:p w14:paraId="0A4850BF">
      <w:pPr>
        <w:pStyle w:val="126"/>
        <w:ind w:left="-108"/>
        <w:jc w:val="both"/>
        <w:rPr>
          <w:rFonts w:hint="eastAsia" w:ascii="宋体" w:hAnsi="宋体" w:eastAsia="宋体"/>
          <w:b/>
          <w:bCs/>
          <w:highlight w:val="none"/>
          <w:lang w:val="en-US" w:eastAsia="zh-CN"/>
        </w:rPr>
      </w:pPr>
    </w:p>
    <w:p w14:paraId="23C68B4F">
      <w:pPr>
        <w:pStyle w:val="126"/>
        <w:ind w:left="-108"/>
        <w:jc w:val="both"/>
        <w:rPr>
          <w:rFonts w:hint="eastAsia" w:ascii="宋体" w:hAnsi="宋体" w:eastAsia="宋体"/>
          <w:b/>
          <w:bCs/>
          <w:highlight w:val="none"/>
          <w:lang w:val="en-US" w:eastAsia="zh-CN"/>
        </w:rPr>
      </w:pPr>
    </w:p>
    <w:p w14:paraId="41CBE10F">
      <w:pPr>
        <w:pStyle w:val="126"/>
        <w:ind w:left="-108"/>
        <w:jc w:val="both"/>
        <w:rPr>
          <w:rFonts w:hint="eastAsia" w:ascii="宋体" w:hAnsi="宋体" w:eastAsia="宋体"/>
          <w:b/>
          <w:bCs/>
          <w:highlight w:val="none"/>
          <w:lang w:val="en-US" w:eastAsia="zh-CN"/>
        </w:rPr>
      </w:pPr>
    </w:p>
    <w:p w14:paraId="64DDE308">
      <w:pPr>
        <w:pStyle w:val="126"/>
        <w:ind w:left="-108"/>
        <w:jc w:val="both"/>
        <w:rPr>
          <w:rFonts w:hint="eastAsia" w:ascii="宋体" w:hAnsi="宋体" w:eastAsia="宋体"/>
          <w:b/>
          <w:bCs/>
          <w:highlight w:val="none"/>
          <w:lang w:val="en-US" w:eastAsia="zh-CN"/>
        </w:rPr>
      </w:pPr>
    </w:p>
    <w:p w14:paraId="343CABE2">
      <w:pPr>
        <w:pStyle w:val="126"/>
        <w:ind w:left="-108"/>
        <w:jc w:val="both"/>
        <w:rPr>
          <w:rFonts w:hint="eastAsia" w:ascii="宋体" w:hAnsi="宋体" w:eastAsia="宋体"/>
          <w:b/>
          <w:bCs/>
          <w:highlight w:val="none"/>
          <w:lang w:val="en-US" w:eastAsia="zh-CN"/>
        </w:rPr>
      </w:pPr>
    </w:p>
    <w:p w14:paraId="7AA9EF5D">
      <w:pPr>
        <w:pStyle w:val="126"/>
        <w:ind w:left="-108"/>
        <w:jc w:val="both"/>
        <w:rPr>
          <w:rFonts w:hint="eastAsia" w:ascii="宋体" w:hAnsi="宋体" w:eastAsia="宋体"/>
          <w:b/>
          <w:bCs/>
          <w:highlight w:val="none"/>
          <w:lang w:val="en-US" w:eastAsia="zh-CN"/>
        </w:rPr>
      </w:pPr>
    </w:p>
    <w:p w14:paraId="4174EE1F">
      <w:pPr>
        <w:pStyle w:val="126"/>
        <w:ind w:left="-108"/>
        <w:jc w:val="both"/>
        <w:rPr>
          <w:rFonts w:hint="eastAsia" w:ascii="宋体" w:hAnsi="宋体" w:eastAsia="宋体"/>
          <w:b/>
          <w:bCs/>
          <w:highlight w:val="none"/>
          <w:lang w:val="en-US" w:eastAsia="zh-CN"/>
        </w:rPr>
      </w:pPr>
    </w:p>
    <w:p w14:paraId="4DE62E08">
      <w:pPr>
        <w:pStyle w:val="126"/>
        <w:ind w:left="-108"/>
        <w:jc w:val="both"/>
        <w:rPr>
          <w:rFonts w:hint="eastAsia" w:ascii="宋体" w:hAnsi="宋体" w:eastAsia="宋体"/>
          <w:b/>
          <w:bCs/>
          <w:highlight w:val="none"/>
          <w:lang w:val="en-US" w:eastAsia="zh-CN"/>
        </w:rPr>
      </w:pPr>
    </w:p>
    <w:p w14:paraId="4B3DB03F">
      <w:pPr>
        <w:pStyle w:val="126"/>
        <w:ind w:left="-108"/>
        <w:jc w:val="both"/>
        <w:rPr>
          <w:rFonts w:hint="eastAsia" w:ascii="宋体" w:hAnsi="宋体" w:eastAsia="宋体"/>
          <w:b/>
          <w:bCs/>
          <w:highlight w:val="none"/>
          <w:lang w:val="en-US" w:eastAsia="zh-CN"/>
        </w:rPr>
      </w:pPr>
    </w:p>
    <w:p w14:paraId="733F53A0">
      <w:pPr>
        <w:pStyle w:val="126"/>
        <w:ind w:left="-108"/>
        <w:jc w:val="both"/>
        <w:rPr>
          <w:rFonts w:hint="eastAsia" w:ascii="宋体" w:hAnsi="宋体" w:eastAsia="宋体"/>
          <w:b/>
          <w:bCs/>
          <w:highlight w:val="none"/>
          <w:lang w:val="en-US" w:eastAsia="zh-CN"/>
        </w:rPr>
      </w:pPr>
    </w:p>
    <w:p w14:paraId="22851E24">
      <w:pPr>
        <w:pStyle w:val="126"/>
        <w:ind w:left="-108"/>
        <w:jc w:val="both"/>
        <w:rPr>
          <w:rFonts w:hint="eastAsia" w:ascii="宋体" w:hAnsi="宋体" w:eastAsia="宋体"/>
          <w:b/>
          <w:bCs/>
          <w:highlight w:val="none"/>
          <w:lang w:val="en-US" w:eastAsia="zh-CN"/>
        </w:rPr>
      </w:pPr>
    </w:p>
    <w:p w14:paraId="3297F0FE">
      <w:pPr>
        <w:pStyle w:val="126"/>
        <w:ind w:left="-108"/>
        <w:jc w:val="both"/>
        <w:rPr>
          <w:rFonts w:hint="eastAsia" w:ascii="宋体" w:hAnsi="宋体" w:eastAsia="宋体"/>
          <w:b/>
          <w:bCs/>
          <w:highlight w:val="none"/>
          <w:lang w:val="en-US" w:eastAsia="zh-CN"/>
        </w:rPr>
      </w:pPr>
    </w:p>
    <w:p w14:paraId="64C8DDFC">
      <w:pPr>
        <w:pStyle w:val="126"/>
        <w:ind w:left="-108"/>
        <w:jc w:val="both"/>
        <w:rPr>
          <w:rFonts w:hint="eastAsia" w:ascii="宋体" w:hAnsi="宋体" w:eastAsia="宋体"/>
          <w:b/>
          <w:bCs/>
          <w:highlight w:val="none"/>
          <w:lang w:val="en-US" w:eastAsia="zh-CN"/>
        </w:rPr>
      </w:pPr>
    </w:p>
    <w:p w14:paraId="057B01D7">
      <w:pPr>
        <w:pStyle w:val="126"/>
        <w:ind w:left="-108"/>
        <w:jc w:val="both"/>
        <w:rPr>
          <w:rFonts w:hint="eastAsia" w:ascii="宋体" w:hAnsi="宋体" w:eastAsia="宋体"/>
          <w:b/>
          <w:bCs/>
          <w:highlight w:val="none"/>
          <w:lang w:val="en-US" w:eastAsia="zh-CN"/>
        </w:rPr>
      </w:pPr>
    </w:p>
    <w:p w14:paraId="06463D82">
      <w:pPr>
        <w:pStyle w:val="126"/>
        <w:ind w:left="-108"/>
        <w:jc w:val="both"/>
        <w:rPr>
          <w:rFonts w:hint="eastAsia" w:ascii="宋体" w:hAnsi="宋体" w:eastAsia="宋体"/>
          <w:b/>
          <w:bCs/>
          <w:highlight w:val="none"/>
          <w:lang w:val="en-US" w:eastAsia="zh-CN"/>
        </w:rPr>
      </w:pPr>
    </w:p>
    <w:p w14:paraId="61C0D65E">
      <w:pPr>
        <w:widowControl/>
        <w:jc w:val="left"/>
        <w:rPr>
          <w:rFonts w:ascii="宋体" w:hAnsi="宋体" w:eastAsia="宋体"/>
          <w:b/>
          <w:bCs/>
          <w:color w:val="auto"/>
          <w:sz w:val="24"/>
          <w:szCs w:val="28"/>
          <w:highlight w:val="none"/>
        </w:rPr>
      </w:pPr>
    </w:p>
    <w:p w14:paraId="68A4208E">
      <w:pPr>
        <w:spacing w:line="360" w:lineRule="auto"/>
        <w:jc w:val="center"/>
        <w:outlineLvl w:val="1"/>
        <w:rPr>
          <w:rFonts w:asciiTheme="minorEastAsia" w:hAnsiTheme="minorEastAsia" w:eastAsiaTheme="minorEastAsia"/>
          <w:b/>
          <w:color w:val="auto"/>
          <w:sz w:val="24"/>
          <w:highlight w:val="none"/>
        </w:rPr>
      </w:pPr>
      <w:bookmarkStart w:id="83" w:name="_Toc461053087"/>
      <w:bookmarkStart w:id="84" w:name="_Toc461056632"/>
      <w:bookmarkStart w:id="85" w:name="_Toc28695"/>
      <w:bookmarkStart w:id="86" w:name="_Toc520983588"/>
      <w:bookmarkStart w:id="87" w:name="_Toc32436"/>
      <w:r>
        <w:rPr>
          <w:rFonts w:hint="eastAsia" w:asciiTheme="minorEastAsia" w:hAnsiTheme="minorEastAsia" w:eastAsiaTheme="minorEastAsia"/>
          <w:b/>
          <w:color w:val="auto"/>
          <w:sz w:val="24"/>
          <w:highlight w:val="none"/>
        </w:rPr>
        <w:t>二</w:t>
      </w:r>
      <w:bookmarkEnd w:id="83"/>
      <w:bookmarkEnd w:id="84"/>
      <w:r>
        <w:rPr>
          <w:rFonts w:hint="eastAsia" w:asciiTheme="minorEastAsia" w:hAnsiTheme="minorEastAsia" w:eastAsiaTheme="minorEastAsia"/>
          <w:b/>
          <w:color w:val="auto"/>
          <w:sz w:val="24"/>
          <w:highlight w:val="none"/>
        </w:rPr>
        <w:t>、最后承诺报价表</w:t>
      </w:r>
      <w:bookmarkEnd w:id="85"/>
      <w:bookmarkEnd w:id="86"/>
      <w:bookmarkEnd w:id="87"/>
    </w:p>
    <w:p w14:paraId="7E649E58">
      <w:pPr>
        <w:spacing w:before="156" w:beforeLines="50" w:after="156" w:afterLines="50" w:line="360" w:lineRule="auto"/>
        <w:ind w:firstLine="236" w:firstLineChars="98"/>
        <w:jc w:val="center"/>
        <w:rPr>
          <w:rFonts w:ascii="宋体" w:hAnsi="宋体" w:eastAsia="宋体"/>
          <w:b/>
          <w:color w:val="auto"/>
          <w:sz w:val="24"/>
          <w:szCs w:val="28"/>
          <w:highlight w:val="none"/>
        </w:rPr>
      </w:pPr>
      <w:r>
        <w:rPr>
          <w:rFonts w:hint="eastAsia" w:ascii="宋体" w:hAnsi="宋体" w:eastAsia="宋体"/>
          <w:b/>
          <w:color w:val="auto"/>
          <w:sz w:val="24"/>
          <w:szCs w:val="28"/>
          <w:highlight w:val="none"/>
        </w:rPr>
        <w:t>（第</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rPr>
        <w:t>次报价书）</w:t>
      </w:r>
    </w:p>
    <w:p w14:paraId="195FD5AE">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7FCD52A">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5530F463">
      <w:pPr>
        <w:wordWrap w:val="0"/>
        <w:spacing w:beforeAutospacing="0" w:line="360" w:lineRule="auto"/>
        <w:jc w:val="right"/>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47A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25345D1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7D6166BF">
            <w:pPr>
              <w:spacing w:line="360" w:lineRule="auto"/>
              <w:rPr>
                <w:rFonts w:ascii="宋体" w:hAnsi="宋体" w:eastAsia="宋体"/>
                <w:b/>
                <w:color w:val="auto"/>
                <w:sz w:val="24"/>
                <w:highlight w:val="none"/>
              </w:rPr>
            </w:pPr>
          </w:p>
        </w:tc>
      </w:tr>
      <w:tr w14:paraId="0FD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A9F6FFB">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磋商</w:t>
            </w:r>
            <w:r>
              <w:rPr>
                <w:rFonts w:hint="eastAsia" w:ascii="宋体" w:hAnsi="宋体" w:eastAsia="宋体"/>
                <w:b/>
                <w:color w:val="auto"/>
                <w:sz w:val="24"/>
                <w:highlight w:val="none"/>
              </w:rPr>
              <w:t>范围</w:t>
            </w:r>
          </w:p>
        </w:tc>
        <w:tc>
          <w:tcPr>
            <w:tcW w:w="3556" w:type="pct"/>
            <w:tcBorders>
              <w:left w:val="single" w:color="auto" w:sz="4" w:space="0"/>
            </w:tcBorders>
            <w:vAlign w:val="center"/>
          </w:tcPr>
          <w:p w14:paraId="3FD963C8">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045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273E375">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0374BC0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6A57BBC0">
            <w:pPr>
              <w:snapToGrid w:val="0"/>
              <w:spacing w:line="360" w:lineRule="auto"/>
              <w:rPr>
                <w:rFonts w:ascii="宋体" w:hAnsi="宋体" w:eastAsia="宋体"/>
                <w:color w:val="auto"/>
                <w:sz w:val="24"/>
                <w:szCs w:val="28"/>
                <w:highlight w:val="none"/>
              </w:rPr>
            </w:pPr>
          </w:p>
          <w:p w14:paraId="48D29B0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p>
          <w:p w14:paraId="45A1A035">
            <w:pPr>
              <w:spacing w:line="360" w:lineRule="auto"/>
              <w:ind w:right="-670"/>
              <w:rPr>
                <w:rFonts w:ascii="宋体" w:hAnsi="宋体" w:eastAsia="宋体"/>
                <w:b/>
                <w:color w:val="auto"/>
                <w:sz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p>
        </w:tc>
      </w:tr>
      <w:tr w14:paraId="0BF4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443" w:type="pct"/>
            <w:vAlign w:val="center"/>
          </w:tcPr>
          <w:p w14:paraId="186225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54E98CD2">
            <w:pPr>
              <w:spacing w:line="360" w:lineRule="auto"/>
              <w:rPr>
                <w:rFonts w:ascii="宋体" w:hAnsi="宋体" w:eastAsia="宋体"/>
                <w:b/>
                <w:color w:val="auto"/>
                <w:sz w:val="24"/>
                <w:highlight w:val="none"/>
              </w:rPr>
            </w:pPr>
          </w:p>
        </w:tc>
      </w:tr>
    </w:tbl>
    <w:p w14:paraId="6B17390E">
      <w:pPr>
        <w:spacing w:line="360" w:lineRule="auto"/>
        <w:ind w:firstLine="3600" w:firstLineChars="1500"/>
        <w:jc w:val="left"/>
        <w:rPr>
          <w:rFonts w:hint="eastAsia" w:ascii="宋体" w:hAnsi="宋体" w:eastAsia="宋体"/>
          <w:color w:val="auto"/>
          <w:sz w:val="24"/>
          <w:highlight w:val="none"/>
        </w:rPr>
      </w:pPr>
    </w:p>
    <w:p w14:paraId="5E31BF6B">
      <w:pPr>
        <w:spacing w:line="360" w:lineRule="auto"/>
        <w:ind w:firstLine="3600" w:firstLineChars="1500"/>
        <w:jc w:val="left"/>
        <w:rPr>
          <w:rFonts w:ascii="宋体" w:hAnsi="宋体" w:eastAsia="宋体"/>
          <w:color w:val="auto"/>
          <w:sz w:val="24"/>
          <w:highlight w:val="none"/>
        </w:rPr>
      </w:pPr>
      <w:r>
        <w:rPr>
          <w:rFonts w:hint="eastAsia" w:ascii="宋体" w:hAnsi="宋体" w:eastAsia="宋体"/>
          <w:color w:val="auto"/>
          <w:sz w:val="24"/>
          <w:highlight w:val="none"/>
        </w:rPr>
        <w:t>供应商公章或授权代表签字：</w:t>
      </w:r>
      <w:r>
        <w:rPr>
          <w:rFonts w:hint="eastAsia" w:ascii="宋体" w:hAnsi="宋体" w:eastAsia="宋体"/>
          <w:color w:val="auto"/>
          <w:sz w:val="24"/>
          <w:highlight w:val="none"/>
          <w:u w:val="single"/>
        </w:rPr>
        <w:t xml:space="preserve">             </w:t>
      </w:r>
    </w:p>
    <w:p w14:paraId="2E3C56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0415931">
      <w:pPr>
        <w:spacing w:line="360" w:lineRule="auto"/>
        <w:jc w:val="left"/>
        <w:rPr>
          <w:rFonts w:hint="eastAsia" w:ascii="宋体" w:hAnsi="宋体" w:eastAsia="宋体"/>
          <w:b/>
          <w:bCs/>
          <w:color w:val="auto"/>
          <w:sz w:val="24"/>
          <w:highlight w:val="none"/>
        </w:rPr>
      </w:pPr>
      <w:r>
        <w:rPr>
          <w:rFonts w:hint="eastAsia" w:ascii="宋体" w:hAnsi="宋体" w:eastAsia="宋体"/>
          <w:b/>
          <w:bCs/>
          <w:color w:val="auto"/>
          <w:sz w:val="24"/>
          <w:highlight w:val="none"/>
        </w:rPr>
        <w:t>注：</w:t>
      </w:r>
    </w:p>
    <w:p w14:paraId="0C6A350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bCs/>
          <w:color w:val="auto"/>
          <w:sz w:val="24"/>
          <w:highlight w:val="none"/>
        </w:rPr>
      </w:pPr>
      <w:r>
        <w:rPr>
          <w:rFonts w:hint="eastAsia" w:ascii="宋体" w:hAnsi="宋体" w:eastAsia="宋体"/>
          <w:b/>
          <w:bCs/>
          <w:color w:val="auto"/>
          <w:sz w:val="24"/>
          <w:highlight w:val="none"/>
          <w:lang w:val="en-US" w:eastAsia="zh-CN"/>
        </w:rPr>
        <w:t>1.</w:t>
      </w:r>
      <w:r>
        <w:rPr>
          <w:rFonts w:hint="eastAsia" w:ascii="宋体" w:hAnsi="宋体" w:eastAsia="宋体"/>
          <w:b/>
          <w:bCs/>
          <w:color w:val="auto"/>
          <w:sz w:val="24"/>
          <w:highlight w:val="none"/>
        </w:rPr>
        <w:t>本页《报价表》由供应商在接到报价通知后依据磋商情况填写,并在规定时间内提交。</w:t>
      </w:r>
      <w:r>
        <w:rPr>
          <w:rFonts w:hint="eastAsia" w:ascii="宋体" w:hAnsi="宋体" w:eastAsia="宋体"/>
          <w:color w:val="auto"/>
          <w:sz w:val="24"/>
          <w:highlight w:val="none"/>
        </w:rPr>
        <w:t>考虑磋商报价的方便，供应商在填写最后承诺报价后，（第一次报价-最后承诺报价）除以第一次报价后得出的优惠率视同为需求表中全部分项设备、工程量或服务的优惠浮动值（特定分项优惠除外），而不考虑措施项目清单和规费税金清单的金额改变。</w:t>
      </w:r>
      <w:r>
        <w:rPr>
          <w:rFonts w:hint="eastAsia" w:ascii="宋体" w:hAnsi="宋体" w:eastAsia="宋体"/>
          <w:bCs/>
          <w:color w:val="auto"/>
          <w:sz w:val="24"/>
          <w:highlight w:val="none"/>
        </w:rPr>
        <w:t>此优惠率调整原则适用于合同内价格的计算及项目增减、变更时价格的计算。</w:t>
      </w:r>
    </w:p>
    <w:p w14:paraId="55C885D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.表中大写金额与小写金额不一致的，以大写金额为准。</w:t>
      </w:r>
    </w:p>
    <w:p w14:paraId="54F6424B">
      <w:pPr>
        <w:spacing w:line="360" w:lineRule="auto"/>
        <w:ind w:firstLine="482" w:firstLineChars="200"/>
        <w:rPr>
          <w:rFonts w:hint="eastAsia" w:asciiTheme="minorEastAsia" w:hAnsiTheme="minorEastAsia" w:eastAsiaTheme="minorEastAsia"/>
          <w:b/>
          <w:color w:val="auto"/>
          <w:sz w:val="24"/>
          <w:highlight w:val="none"/>
        </w:rPr>
      </w:pPr>
      <w:r>
        <w:rPr>
          <w:rFonts w:hint="eastAsia" w:ascii="宋体" w:hAnsi="宋体" w:eastAsia="宋体"/>
          <w:b/>
          <w:bCs/>
          <w:color w:val="auto"/>
          <w:sz w:val="24"/>
          <w:szCs w:val="28"/>
          <w:highlight w:val="none"/>
          <w:lang w:val="en-US" w:eastAsia="zh-CN"/>
        </w:rPr>
        <w:t>3.</w:t>
      </w:r>
      <w:r>
        <w:rPr>
          <w:rFonts w:hint="eastAsia" w:ascii="宋体" w:hAnsi="宋体"/>
          <w:b/>
          <w:sz w:val="24"/>
        </w:rPr>
        <w:t>此表请各供应商多准备几份，并加盖供应商公章，以便在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p>
    <w:p w14:paraId="50B72D77">
      <w:pPr>
        <w:pStyle w:val="2"/>
        <w:ind w:firstLine="420" w:firstLineChars="200"/>
        <w:rPr>
          <w:rFonts w:hint="default" w:eastAsia="宋体"/>
          <w:lang w:val="en-US" w:eastAsia="zh-CN"/>
        </w:rPr>
      </w:pPr>
    </w:p>
    <w:p w14:paraId="74523BB0">
      <w:pPr>
        <w:widowControl/>
        <w:jc w:val="left"/>
        <w:rPr>
          <w:rFonts w:ascii="宋体" w:hAnsi="宋体" w:eastAsia="宋体"/>
          <w:bCs/>
          <w:color w:val="auto"/>
          <w:sz w:val="24"/>
          <w:highlight w:val="none"/>
        </w:rPr>
      </w:pPr>
    </w:p>
    <w:p w14:paraId="166BBDFA">
      <w:pPr>
        <w:spacing w:line="360" w:lineRule="auto"/>
        <w:jc w:val="center"/>
        <w:outlineLvl w:val="1"/>
        <w:rPr>
          <w:rFonts w:asciiTheme="minorEastAsia" w:hAnsiTheme="minorEastAsia" w:eastAsiaTheme="minorEastAsia"/>
          <w:b/>
          <w:color w:val="auto"/>
          <w:sz w:val="24"/>
          <w:highlight w:val="none"/>
        </w:rPr>
      </w:pPr>
      <w:bookmarkStart w:id="88" w:name="_Toc11500"/>
      <w:bookmarkStart w:id="89" w:name="_Toc520983591"/>
      <w:bookmarkStart w:id="90" w:name="_Toc32385"/>
      <w:r>
        <w:rPr>
          <w:rFonts w:hint="eastAsia" w:asciiTheme="minorEastAsia" w:hAnsiTheme="minorEastAsia" w:eastAsiaTheme="minorEastAsia"/>
          <w:b/>
          <w:color w:val="auto"/>
          <w:sz w:val="24"/>
          <w:highlight w:val="none"/>
        </w:rPr>
        <w:t>三、磋商响应函</w:t>
      </w:r>
      <w:bookmarkEnd w:id="88"/>
      <w:bookmarkEnd w:id="89"/>
      <w:bookmarkEnd w:id="90"/>
    </w:p>
    <w:p w14:paraId="5FCDD945">
      <w:pPr>
        <w:pStyle w:val="23"/>
        <w:spacing w:line="360" w:lineRule="auto"/>
        <w:ind w:left="0" w:leftChars="0" w:firstLine="0" w:firstLineChars="0"/>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lang w:val="en-US" w:eastAsia="zh-CN"/>
        </w:rPr>
        <w:t>采购人</w:t>
      </w:r>
    </w:p>
    <w:p w14:paraId="5ADEBF28">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91" w:name="_Hlk44287543"/>
      <w:r>
        <w:rPr>
          <w:rFonts w:hint="eastAsia" w:ascii="宋体" w:hAnsi="宋体" w:eastAsia="宋体"/>
          <w:color w:val="auto"/>
          <w:sz w:val="24"/>
          <w:highlight w:val="none"/>
        </w:rPr>
        <w:t>竞争性磋商公告和磋商邀请</w:t>
      </w:r>
      <w:bookmarkEnd w:id="91"/>
      <w:r>
        <w:rPr>
          <w:rFonts w:hint="eastAsia" w:ascii="宋体" w:hAnsi="宋体" w:eastAsia="宋体"/>
          <w:color w:val="auto"/>
          <w:sz w:val="24"/>
          <w:highlight w:val="none"/>
        </w:rPr>
        <w:t>，我方兹宣布同意如下：</w:t>
      </w:r>
    </w:p>
    <w:p w14:paraId="382E69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文件的规定，严格履行合同的责任和义务,并保证于买方要求的日期内完成，并通过买方验收。</w:t>
      </w:r>
    </w:p>
    <w:p w14:paraId="096EDAF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文件，包括</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附件及更正公告</w:t>
      </w:r>
      <w:r>
        <w:rPr>
          <w:rFonts w:hint="eastAsia" w:asciiTheme="minorEastAsia" w:hAnsiTheme="minorEastAsia" w:eastAsiaTheme="minorEastAsia"/>
          <w:color w:val="auto"/>
          <w:sz w:val="24"/>
          <w:highlight w:val="none"/>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我方正式认可并遵守本次</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文件各项条款、规定及要求均无异议。</w:t>
      </w:r>
    </w:p>
    <w:p w14:paraId="7261F9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日期起遵循本</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文件，并在</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有效期之前均具有约束力。</w:t>
      </w:r>
    </w:p>
    <w:p w14:paraId="72F6565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有关的任何证据、数据或资料。</w:t>
      </w:r>
    </w:p>
    <w:p w14:paraId="5F0FC154">
      <w:pPr>
        <w:spacing w:line="360" w:lineRule="auto"/>
        <w:ind w:firstLine="480" w:firstLineChars="200"/>
        <w:rPr>
          <w:rFonts w:ascii="宋体" w:hAnsi="宋体" w:eastAsia="宋体"/>
          <w:color w:val="auto"/>
          <w:sz w:val="24"/>
          <w:highlight w:val="none"/>
        </w:rPr>
      </w:pPr>
    </w:p>
    <w:p w14:paraId="5F4F6F74">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37D08BAA">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36A6F00">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1F2AB499">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92" w:name="_Toc21328"/>
      <w:r>
        <w:rPr>
          <w:rFonts w:hint="eastAsia" w:asciiTheme="minorEastAsia" w:hAnsiTheme="minorEastAsia" w:eastAsiaTheme="minorEastAsia"/>
          <w:b/>
          <w:color w:val="auto"/>
          <w:sz w:val="24"/>
          <w:highlight w:val="none"/>
          <w:lang w:val="en-US" w:eastAsia="zh-CN"/>
        </w:rPr>
        <w:t>四、供应商资格声明书</w:t>
      </w:r>
      <w:bookmarkEnd w:id="92"/>
    </w:p>
    <w:p w14:paraId="1EA6E051">
      <w:pPr>
        <w:pStyle w:val="23"/>
        <w:spacing w:line="360" w:lineRule="auto"/>
        <w:ind w:left="0" w:leftChars="0" w:firstLine="0" w:firstLineChars="0"/>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val="en-US" w:eastAsia="zh-CN"/>
        </w:rPr>
        <w:t>采购人</w:t>
      </w:r>
    </w:p>
    <w:p w14:paraId="64C40B8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在参与本次项目磋商中，我单位承诺：</w:t>
      </w:r>
    </w:p>
    <w:p w14:paraId="7F93854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05359DE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15B01F3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7B9014E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F03343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78A8D5B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4501"/>
        <w:gridCol w:w="2681"/>
      </w:tblGrid>
      <w:tr w14:paraId="0330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19CF5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4501" w:type="dxa"/>
          </w:tcPr>
          <w:p w14:paraId="5DDA946A">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2681" w:type="dxa"/>
          </w:tcPr>
          <w:p w14:paraId="28441586">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5FAF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73354442">
            <w:pPr>
              <w:pStyle w:val="2"/>
              <w:jc w:val="center"/>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4501" w:type="dxa"/>
          </w:tcPr>
          <w:p w14:paraId="28258176">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681" w:type="dxa"/>
          </w:tcPr>
          <w:p w14:paraId="58E189A1">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5FFE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26B7F91A">
            <w:pPr>
              <w:pStyle w:val="2"/>
              <w:jc w:val="center"/>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4501" w:type="dxa"/>
          </w:tcPr>
          <w:p w14:paraId="4B81DBBB">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681" w:type="dxa"/>
          </w:tcPr>
          <w:p w14:paraId="23C42DF3">
            <w:pPr>
              <w:pStyle w:val="2"/>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70F7D53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9FCB01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A398CF">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0A978556">
      <w:pPr>
        <w:spacing w:line="440" w:lineRule="exact"/>
        <w:ind w:firstLine="4800" w:firstLineChars="2000"/>
        <w:rPr>
          <w:rFonts w:ascii="宋体" w:hAnsi="宋体" w:eastAsia="宋体"/>
          <w:color w:val="auto"/>
          <w:sz w:val="24"/>
          <w:szCs w:val="24"/>
          <w:highlight w:val="none"/>
          <w:u w:val="single"/>
        </w:rPr>
      </w:pPr>
    </w:p>
    <w:p w14:paraId="2CE20A56">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1D1959CE">
      <w:pPr>
        <w:spacing w:line="360" w:lineRule="auto"/>
        <w:jc w:val="center"/>
        <w:outlineLvl w:val="1"/>
        <w:rPr>
          <w:rFonts w:asciiTheme="minorEastAsia" w:hAnsiTheme="minorEastAsia" w:eastAsiaTheme="minorEastAsia"/>
          <w:b/>
          <w:color w:val="auto"/>
          <w:sz w:val="24"/>
          <w:highlight w:val="none"/>
        </w:rPr>
      </w:pPr>
      <w:bookmarkStart w:id="93" w:name="_Toc121626298"/>
      <w:bookmarkStart w:id="94" w:name="_Toc516969106"/>
      <w:bookmarkStart w:id="95" w:name="_Toc204594911"/>
      <w:bookmarkStart w:id="96" w:name="_Toc520983594"/>
      <w:bookmarkStart w:id="97" w:name="_Toc31518"/>
      <w:bookmarkStart w:id="98" w:name="_Toc26922"/>
      <w:r>
        <w:rPr>
          <w:rFonts w:hint="eastAsia" w:asciiTheme="minorEastAsia" w:hAnsiTheme="minorEastAsia" w:eastAsiaTheme="minorEastAsia"/>
          <w:b/>
          <w:color w:val="auto"/>
          <w:sz w:val="24"/>
          <w:highlight w:val="none"/>
        </w:rPr>
        <w:t>五、授权书</w:t>
      </w:r>
      <w:bookmarkEnd w:id="93"/>
      <w:bookmarkEnd w:id="94"/>
      <w:bookmarkEnd w:id="95"/>
      <w:bookmarkEnd w:id="96"/>
      <w:bookmarkEnd w:id="97"/>
      <w:bookmarkEnd w:id="98"/>
    </w:p>
    <w:p w14:paraId="74844012">
      <w:pPr>
        <w:spacing w:line="360" w:lineRule="auto"/>
        <w:jc w:val="center"/>
        <w:rPr>
          <w:rFonts w:asciiTheme="minorEastAsia" w:hAnsiTheme="minorEastAsia" w:eastAsiaTheme="minorEastAsia"/>
          <w:b/>
          <w:color w:val="auto"/>
          <w:sz w:val="24"/>
          <w:highlight w:val="none"/>
        </w:rPr>
      </w:pPr>
    </w:p>
    <w:p w14:paraId="2FFA1621">
      <w:pPr>
        <w:pStyle w:val="2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34E8E3A7">
      <w:pPr>
        <w:pStyle w:val="21"/>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64D25A89">
      <w:pPr>
        <w:pStyle w:val="21"/>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4B2FE112">
      <w:pPr>
        <w:pStyle w:val="21"/>
        <w:snapToGrid w:val="0"/>
        <w:spacing w:line="360" w:lineRule="auto"/>
        <w:ind w:firstLine="480" w:firstLineChars="200"/>
        <w:jc w:val="left"/>
        <w:rPr>
          <w:rFonts w:hAnsi="宋体" w:eastAsia="宋体"/>
          <w:color w:val="auto"/>
          <w:sz w:val="24"/>
          <w:highlight w:val="none"/>
        </w:rPr>
      </w:pPr>
    </w:p>
    <w:p w14:paraId="051E05DE">
      <w:pPr>
        <w:pStyle w:val="21"/>
        <w:snapToGrid w:val="0"/>
        <w:spacing w:line="360" w:lineRule="auto"/>
        <w:ind w:firstLine="480" w:firstLineChars="200"/>
        <w:jc w:val="left"/>
        <w:rPr>
          <w:rFonts w:hAnsi="宋体" w:eastAsia="宋体"/>
          <w:color w:val="auto"/>
          <w:sz w:val="24"/>
          <w:highlight w:val="none"/>
        </w:rPr>
      </w:pPr>
    </w:p>
    <w:p w14:paraId="2C51C88F">
      <w:pPr>
        <w:pStyle w:val="21"/>
        <w:snapToGrid w:val="0"/>
        <w:spacing w:line="360" w:lineRule="auto"/>
        <w:ind w:firstLine="480" w:firstLineChars="200"/>
        <w:jc w:val="left"/>
        <w:rPr>
          <w:rFonts w:hAnsi="宋体" w:eastAsia="宋体"/>
          <w:color w:val="auto"/>
          <w:sz w:val="24"/>
          <w:highlight w:val="none"/>
        </w:rPr>
      </w:pPr>
    </w:p>
    <w:p w14:paraId="2FC590E9">
      <w:pPr>
        <w:pStyle w:val="21"/>
        <w:snapToGrid w:val="0"/>
        <w:spacing w:line="360" w:lineRule="auto"/>
        <w:ind w:firstLine="480" w:firstLineChars="200"/>
        <w:jc w:val="left"/>
        <w:rPr>
          <w:rFonts w:hAnsi="宋体" w:eastAsia="宋体"/>
          <w:color w:val="auto"/>
          <w:sz w:val="24"/>
          <w:highlight w:val="none"/>
        </w:rPr>
      </w:pPr>
    </w:p>
    <w:p w14:paraId="7CB07B64">
      <w:pPr>
        <w:pStyle w:val="21"/>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210D4038">
      <w:pPr>
        <w:pStyle w:val="21"/>
        <w:snapToGrid w:val="0"/>
        <w:spacing w:line="360" w:lineRule="auto"/>
        <w:ind w:firstLine="480" w:firstLineChars="200"/>
        <w:jc w:val="left"/>
        <w:rPr>
          <w:rFonts w:hAnsi="宋体" w:eastAsia="宋体"/>
          <w:color w:val="auto"/>
          <w:sz w:val="24"/>
          <w:szCs w:val="28"/>
          <w:highlight w:val="none"/>
        </w:rPr>
      </w:pPr>
    </w:p>
    <w:p w14:paraId="120F58AB">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148449A2">
      <w:pPr>
        <w:spacing w:line="360" w:lineRule="auto"/>
        <w:rPr>
          <w:rFonts w:ascii="宋体" w:hAnsi="宋体" w:eastAsia="宋体"/>
          <w:color w:val="auto"/>
          <w:sz w:val="24"/>
          <w:szCs w:val="28"/>
          <w:highlight w:val="none"/>
        </w:rPr>
      </w:pPr>
    </w:p>
    <w:p w14:paraId="0848D97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A97D23C">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4DFFF86B">
      <w:pPr>
        <w:spacing w:line="360" w:lineRule="auto"/>
        <w:rPr>
          <w:rFonts w:ascii="宋体" w:hAnsi="宋体" w:eastAsia="宋体"/>
          <w:color w:val="auto"/>
          <w:sz w:val="24"/>
          <w:szCs w:val="28"/>
          <w:highlight w:val="none"/>
        </w:rPr>
      </w:pPr>
    </w:p>
    <w:p w14:paraId="5F2F2079">
      <w:pPr>
        <w:spacing w:line="360" w:lineRule="auto"/>
        <w:rPr>
          <w:rFonts w:ascii="宋体" w:hAnsi="宋体" w:eastAsia="宋体"/>
          <w:color w:val="auto"/>
          <w:sz w:val="24"/>
          <w:szCs w:val="28"/>
          <w:highlight w:val="none"/>
        </w:rPr>
      </w:pPr>
    </w:p>
    <w:p w14:paraId="121E39B0">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52506770">
      <w:pPr>
        <w:pStyle w:val="21"/>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36C5FDCB">
      <w:pPr>
        <w:spacing w:line="360" w:lineRule="auto"/>
        <w:jc w:val="left"/>
        <w:rPr>
          <w:rFonts w:ascii="宋体" w:hAnsi="宋体" w:eastAsia="宋体"/>
          <w:color w:val="auto"/>
          <w:sz w:val="24"/>
          <w:highlight w:val="none"/>
        </w:rPr>
      </w:pPr>
      <w:r>
        <w:rPr>
          <w:rFonts w:hint="eastAsia" w:ascii="宋体" w:hAnsi="宋体" w:eastAsia="宋体"/>
          <w:color w:val="auto"/>
          <w:sz w:val="24"/>
          <w:highlight w:val="none"/>
        </w:rPr>
        <w:t>2.法定代表人参加磋商的无需提供授权书，仅提供身份证明扫描件。</w:t>
      </w:r>
    </w:p>
    <w:p w14:paraId="62DC3EBB">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4B903AAF">
      <w:pPr>
        <w:spacing w:line="360" w:lineRule="auto"/>
        <w:jc w:val="center"/>
        <w:outlineLvl w:val="1"/>
        <w:rPr>
          <w:rFonts w:asciiTheme="minorEastAsia" w:hAnsiTheme="minorEastAsia" w:eastAsiaTheme="minorEastAsia"/>
          <w:b/>
          <w:color w:val="auto"/>
          <w:sz w:val="24"/>
          <w:highlight w:val="none"/>
        </w:rPr>
      </w:pPr>
      <w:bookmarkStart w:id="99" w:name="_Toc28033"/>
      <w:bookmarkStart w:id="100" w:name="_Toc22233"/>
      <w:r>
        <w:rPr>
          <w:rFonts w:hint="eastAsia" w:asciiTheme="minorEastAsia" w:hAnsiTheme="minorEastAsia" w:eastAsiaTheme="minorEastAsia"/>
          <w:b/>
          <w:color w:val="auto"/>
          <w:sz w:val="24"/>
          <w:highlight w:val="none"/>
        </w:rPr>
        <w:t>六、</w:t>
      </w:r>
      <w:r>
        <w:rPr>
          <w:rFonts w:hint="eastAsia" w:asciiTheme="minorEastAsia" w:hAnsiTheme="minorEastAsia" w:eastAsiaTheme="minorEastAsia"/>
          <w:b/>
          <w:color w:val="auto"/>
          <w:sz w:val="24"/>
          <w:highlight w:val="none"/>
          <w:lang w:val="en-US" w:eastAsia="zh-CN"/>
        </w:rPr>
        <w:t>磋商</w:t>
      </w:r>
      <w:r>
        <w:rPr>
          <w:rFonts w:hint="eastAsia" w:asciiTheme="minorEastAsia" w:hAnsiTheme="minorEastAsia" w:eastAsiaTheme="minorEastAsia"/>
          <w:b/>
          <w:color w:val="auto"/>
          <w:sz w:val="24"/>
          <w:highlight w:val="none"/>
        </w:rPr>
        <w:t>响应表</w:t>
      </w:r>
      <w:bookmarkEnd w:id="99"/>
      <w:bookmarkEnd w:id="100"/>
    </w:p>
    <w:p w14:paraId="01B07B61">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2102"/>
        <w:gridCol w:w="2739"/>
        <w:gridCol w:w="2823"/>
        <w:gridCol w:w="888"/>
      </w:tblGrid>
      <w:tr w14:paraId="587B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5C43715B">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773A8394">
            <w:pPr>
              <w:pStyle w:val="2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266B2DD">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磋商文件</w:t>
            </w:r>
            <w:r>
              <w:rPr>
                <w:rFonts w:hint="eastAsia" w:cs="Wingdings" w:asciiTheme="minorEastAsia" w:hAnsiTheme="minorEastAsia"/>
                <w:b/>
                <w:color w:val="auto"/>
                <w:sz w:val="24"/>
                <w:highlight w:val="none"/>
              </w:rPr>
              <w:t>要求</w:t>
            </w:r>
          </w:p>
        </w:tc>
        <w:tc>
          <w:tcPr>
            <w:tcW w:w="1510" w:type="pct"/>
            <w:vAlign w:val="center"/>
          </w:tcPr>
          <w:p w14:paraId="7A9A8ED3">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供应商</w:t>
            </w:r>
            <w:r>
              <w:rPr>
                <w:rFonts w:hint="eastAsia" w:cs="Wingdings" w:asciiTheme="minorEastAsia" w:hAnsiTheme="minorEastAsia"/>
                <w:b/>
                <w:color w:val="auto"/>
                <w:sz w:val="24"/>
                <w:highlight w:val="none"/>
              </w:rPr>
              <w:t>承诺</w:t>
            </w:r>
          </w:p>
        </w:tc>
        <w:tc>
          <w:tcPr>
            <w:tcW w:w="475" w:type="pct"/>
            <w:vAlign w:val="center"/>
          </w:tcPr>
          <w:p w14:paraId="5728A1B1">
            <w:pPr>
              <w:pStyle w:val="2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B6C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44A99A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1EBC49B">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2AE8C24">
            <w:pPr>
              <w:jc w:val="center"/>
              <w:rPr>
                <w:rFonts w:asciiTheme="minorEastAsia" w:hAnsiTheme="minorEastAsia" w:eastAsiaTheme="minorEastAsia"/>
                <w:color w:val="auto"/>
                <w:sz w:val="24"/>
                <w:highlight w:val="none"/>
              </w:rPr>
            </w:pPr>
          </w:p>
        </w:tc>
        <w:tc>
          <w:tcPr>
            <w:tcW w:w="1510" w:type="pct"/>
            <w:vAlign w:val="center"/>
          </w:tcPr>
          <w:p w14:paraId="5BBAC6ED">
            <w:pPr>
              <w:jc w:val="center"/>
              <w:rPr>
                <w:rFonts w:asciiTheme="minorEastAsia" w:hAnsiTheme="minorEastAsia" w:eastAsiaTheme="minorEastAsia"/>
                <w:color w:val="auto"/>
                <w:sz w:val="24"/>
                <w:highlight w:val="none"/>
              </w:rPr>
            </w:pPr>
          </w:p>
        </w:tc>
        <w:tc>
          <w:tcPr>
            <w:tcW w:w="475" w:type="pct"/>
            <w:vAlign w:val="center"/>
          </w:tcPr>
          <w:p w14:paraId="037F7025">
            <w:pPr>
              <w:jc w:val="center"/>
              <w:rPr>
                <w:rFonts w:asciiTheme="minorEastAsia" w:hAnsiTheme="minorEastAsia" w:eastAsiaTheme="minorEastAsia"/>
                <w:color w:val="auto"/>
                <w:sz w:val="24"/>
                <w:highlight w:val="none"/>
              </w:rPr>
            </w:pPr>
          </w:p>
        </w:tc>
      </w:tr>
      <w:tr w14:paraId="3C30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BB52AD4">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75375698">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23D9CC61">
            <w:pPr>
              <w:jc w:val="center"/>
              <w:rPr>
                <w:rFonts w:asciiTheme="minorEastAsia" w:hAnsiTheme="minorEastAsia" w:eastAsiaTheme="minorEastAsia"/>
                <w:color w:val="auto"/>
                <w:sz w:val="24"/>
                <w:highlight w:val="none"/>
              </w:rPr>
            </w:pPr>
          </w:p>
        </w:tc>
        <w:tc>
          <w:tcPr>
            <w:tcW w:w="1510" w:type="pct"/>
            <w:vAlign w:val="center"/>
          </w:tcPr>
          <w:p w14:paraId="4F1CE2F0">
            <w:pPr>
              <w:jc w:val="center"/>
              <w:rPr>
                <w:rFonts w:asciiTheme="minorEastAsia" w:hAnsiTheme="minorEastAsia" w:eastAsiaTheme="minorEastAsia"/>
                <w:color w:val="auto"/>
                <w:sz w:val="24"/>
                <w:highlight w:val="none"/>
              </w:rPr>
            </w:pPr>
          </w:p>
        </w:tc>
        <w:tc>
          <w:tcPr>
            <w:tcW w:w="475" w:type="pct"/>
            <w:vAlign w:val="center"/>
          </w:tcPr>
          <w:p w14:paraId="2C2E8FFC">
            <w:pPr>
              <w:jc w:val="center"/>
              <w:rPr>
                <w:rFonts w:asciiTheme="minorEastAsia" w:hAnsiTheme="minorEastAsia" w:eastAsiaTheme="minorEastAsia"/>
                <w:color w:val="auto"/>
                <w:sz w:val="24"/>
                <w:highlight w:val="none"/>
              </w:rPr>
            </w:pPr>
          </w:p>
        </w:tc>
      </w:tr>
      <w:tr w14:paraId="672D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AB985B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74241A5B">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527E5E0C">
            <w:pPr>
              <w:jc w:val="center"/>
              <w:rPr>
                <w:rFonts w:asciiTheme="minorEastAsia" w:hAnsiTheme="minorEastAsia" w:eastAsiaTheme="minorEastAsia"/>
                <w:color w:val="auto"/>
                <w:sz w:val="24"/>
                <w:highlight w:val="none"/>
              </w:rPr>
            </w:pPr>
          </w:p>
        </w:tc>
        <w:tc>
          <w:tcPr>
            <w:tcW w:w="1510" w:type="pct"/>
            <w:vAlign w:val="center"/>
          </w:tcPr>
          <w:p w14:paraId="76CE8F7D">
            <w:pPr>
              <w:pStyle w:val="126"/>
              <w:jc w:val="center"/>
              <w:rPr>
                <w:rFonts w:asciiTheme="minorEastAsia" w:hAnsiTheme="minorEastAsia" w:eastAsiaTheme="minorEastAsia"/>
                <w:color w:val="auto"/>
                <w:highlight w:val="none"/>
              </w:rPr>
            </w:pPr>
          </w:p>
        </w:tc>
        <w:tc>
          <w:tcPr>
            <w:tcW w:w="475" w:type="pct"/>
            <w:vAlign w:val="center"/>
          </w:tcPr>
          <w:p w14:paraId="02D8BBE9">
            <w:pPr>
              <w:jc w:val="center"/>
              <w:rPr>
                <w:rFonts w:asciiTheme="minorEastAsia" w:hAnsiTheme="minorEastAsia" w:eastAsiaTheme="minorEastAsia"/>
                <w:color w:val="auto"/>
                <w:sz w:val="24"/>
                <w:highlight w:val="none"/>
              </w:rPr>
            </w:pPr>
          </w:p>
        </w:tc>
      </w:tr>
      <w:tr w14:paraId="2E29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1D1CE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47264FA7">
            <w:pPr>
              <w:jc w:val="center"/>
              <w:rPr>
                <w:rFonts w:ascii="宋体" w:hAnsi="宋体" w:eastAsia="宋体"/>
                <w:color w:val="auto"/>
                <w:sz w:val="24"/>
                <w:highlight w:val="none"/>
              </w:rPr>
            </w:pPr>
          </w:p>
        </w:tc>
        <w:tc>
          <w:tcPr>
            <w:tcW w:w="1465" w:type="pct"/>
            <w:vAlign w:val="center"/>
          </w:tcPr>
          <w:p w14:paraId="1CF5FBCF">
            <w:pPr>
              <w:jc w:val="center"/>
              <w:rPr>
                <w:rFonts w:asciiTheme="minorEastAsia" w:hAnsiTheme="minorEastAsia" w:eastAsiaTheme="minorEastAsia"/>
                <w:color w:val="auto"/>
                <w:sz w:val="24"/>
                <w:highlight w:val="none"/>
              </w:rPr>
            </w:pPr>
          </w:p>
        </w:tc>
        <w:tc>
          <w:tcPr>
            <w:tcW w:w="1510" w:type="pct"/>
            <w:vAlign w:val="center"/>
          </w:tcPr>
          <w:p w14:paraId="4B6D9AD1">
            <w:pPr>
              <w:jc w:val="center"/>
              <w:rPr>
                <w:rFonts w:asciiTheme="minorEastAsia" w:hAnsiTheme="minorEastAsia" w:eastAsiaTheme="minorEastAsia"/>
                <w:color w:val="auto"/>
                <w:sz w:val="24"/>
                <w:highlight w:val="none"/>
              </w:rPr>
            </w:pPr>
          </w:p>
        </w:tc>
        <w:tc>
          <w:tcPr>
            <w:tcW w:w="475" w:type="pct"/>
            <w:vAlign w:val="center"/>
          </w:tcPr>
          <w:p w14:paraId="1C9A3C9D">
            <w:pPr>
              <w:jc w:val="center"/>
              <w:rPr>
                <w:rFonts w:asciiTheme="minorEastAsia" w:hAnsiTheme="minorEastAsia" w:eastAsiaTheme="minorEastAsia"/>
                <w:color w:val="auto"/>
                <w:sz w:val="24"/>
                <w:highlight w:val="none"/>
              </w:rPr>
            </w:pPr>
          </w:p>
        </w:tc>
      </w:tr>
    </w:tbl>
    <w:p w14:paraId="5F25C8AB">
      <w:pPr>
        <w:spacing w:line="360" w:lineRule="auto"/>
        <w:ind w:firstLine="435"/>
        <w:outlineLvl w:val="2"/>
        <w:rPr>
          <w:rFonts w:hint="eastAsia" w:asciiTheme="minorEastAsia" w:hAnsiTheme="minorEastAsia" w:eastAsiaTheme="minorEastAsia"/>
          <w:b/>
          <w:color w:val="auto"/>
          <w:sz w:val="24"/>
          <w:highlight w:val="none"/>
        </w:rPr>
      </w:pPr>
    </w:p>
    <w:p w14:paraId="57879636">
      <w:pPr>
        <w:spacing w:line="360" w:lineRule="auto"/>
        <w:ind w:firstLine="4800" w:firstLineChars="2000"/>
        <w:rPr>
          <w:rFonts w:hint="eastAsia" w:ascii="宋体" w:hAnsi="宋体" w:eastAsia="宋体"/>
          <w:color w:val="auto"/>
          <w:sz w:val="24"/>
          <w:highlight w:val="none"/>
          <w:lang w:val="en-US" w:eastAsia="zh-CN"/>
        </w:rPr>
      </w:pPr>
    </w:p>
    <w:p w14:paraId="47ECA67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E9FFA25">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039307A3">
      <w:pPr>
        <w:pStyle w:val="23"/>
        <w:spacing w:line="360" w:lineRule="auto"/>
        <w:ind w:left="0" w:leftChars="0" w:firstLine="0" w:firstLineChars="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48B51F54">
      <w:pPr>
        <w:pStyle w:val="2"/>
        <w:rPr>
          <w:rFonts w:hint="eastAsia" w:asciiTheme="minorEastAsia" w:hAnsiTheme="minorEastAsia" w:eastAsiaTheme="minorEastAsia"/>
          <w:b/>
          <w:bCs/>
          <w:color w:val="auto"/>
          <w:sz w:val="24"/>
          <w:highlight w:val="none"/>
          <w:lang w:eastAsia="zh-CN"/>
        </w:rPr>
        <w:sectPr>
          <w:headerReference r:id="rId10" w:type="default"/>
          <w:footerReference r:id="rId11" w:type="default"/>
          <w:pgSz w:w="11907" w:h="16840"/>
          <w:pgMar w:top="1117" w:right="1078" w:bottom="1060" w:left="1700" w:header="510" w:footer="886" w:gutter="0"/>
          <w:pgNumType w:fmt="decimal"/>
          <w:cols w:space="720" w:num="1"/>
        </w:sectPr>
      </w:pPr>
      <w:bookmarkStart w:id="101" w:name="_Hlk44283017"/>
    </w:p>
    <w:bookmarkEnd w:id="101"/>
    <w:p w14:paraId="37E76ABE">
      <w:pPr>
        <w:rPr>
          <w:rFonts w:hint="eastAsia" w:asciiTheme="minorEastAsia" w:hAnsiTheme="minorEastAsia" w:eastAsiaTheme="minorEastAsia"/>
          <w:b/>
          <w:color w:val="auto"/>
          <w:sz w:val="24"/>
          <w:highlight w:val="none"/>
        </w:rPr>
      </w:pPr>
      <w:bookmarkStart w:id="102" w:name="_Toc20592"/>
      <w:bookmarkStart w:id="103" w:name="_Toc2278"/>
      <w:bookmarkStart w:id="104" w:name="_Hlk44283088"/>
    </w:p>
    <w:p w14:paraId="1AC1F39F">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102"/>
      <w:bookmarkEnd w:id="103"/>
    </w:p>
    <w:p w14:paraId="4400A65A">
      <w:pPr>
        <w:spacing w:line="360" w:lineRule="auto"/>
        <w:rPr>
          <w:rFonts w:asciiTheme="minorEastAsia" w:hAnsiTheme="minorEastAsia" w:eastAsiaTheme="minorEastAsia"/>
          <w:b/>
          <w:bCs/>
          <w:color w:val="auto"/>
          <w:sz w:val="24"/>
          <w:highlight w:val="none"/>
        </w:rPr>
      </w:pPr>
    </w:p>
    <w:p w14:paraId="44F134C2">
      <w:pPr>
        <w:spacing w:line="360" w:lineRule="auto"/>
        <w:rPr>
          <w:rFonts w:hint="eastAsia" w:asciiTheme="minorEastAsia" w:hAnsiTheme="minorEastAsia" w:eastAsiaTheme="minorEastAsia"/>
          <w:b/>
          <w:bCs/>
          <w:color w:val="auto"/>
          <w:sz w:val="24"/>
          <w:highlight w:val="none"/>
          <w:u w:val="single"/>
          <w:lang w:val="en-US"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lang w:val="en-US" w:eastAsia="zh-CN"/>
        </w:rPr>
        <w:t>采购人</w:t>
      </w:r>
    </w:p>
    <w:p w14:paraId="31C4328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35A3A24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F3D729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1DCD9B4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15C30CF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4B7F73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7E8191C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5818E23">
      <w:pPr>
        <w:spacing w:line="360" w:lineRule="auto"/>
        <w:rPr>
          <w:rFonts w:asciiTheme="minorEastAsia" w:hAnsiTheme="minorEastAsia" w:eastAsiaTheme="minorEastAsia"/>
          <w:bCs/>
          <w:color w:val="auto"/>
          <w:sz w:val="24"/>
          <w:highlight w:val="none"/>
        </w:rPr>
      </w:pPr>
    </w:p>
    <w:p w14:paraId="732BBA0C">
      <w:pPr>
        <w:spacing w:line="360" w:lineRule="auto"/>
        <w:rPr>
          <w:rFonts w:asciiTheme="minorEastAsia" w:hAnsiTheme="minorEastAsia" w:eastAsiaTheme="minorEastAsia"/>
          <w:bCs/>
          <w:color w:val="auto"/>
          <w:sz w:val="24"/>
          <w:highlight w:val="none"/>
        </w:rPr>
      </w:pPr>
    </w:p>
    <w:p w14:paraId="27372F9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78C7D21E">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9D1A404">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488D0E2">
      <w:pPr>
        <w:pStyle w:val="2"/>
        <w:spacing w:before="78" w:line="219" w:lineRule="auto"/>
        <w:ind w:left="3195"/>
        <w:outlineLvl w:val="1"/>
        <w:rPr>
          <w:rFonts w:hint="eastAsia" w:asciiTheme="minorEastAsia" w:hAnsiTheme="minorEastAsia" w:eastAsiaTheme="minorEastAsia"/>
          <w:b/>
          <w:color w:val="auto"/>
          <w:sz w:val="24"/>
          <w:highlight w:val="yellow"/>
          <w:lang w:val="en-US" w:eastAsia="zh-CN"/>
        </w:rPr>
      </w:pPr>
    </w:p>
    <w:p w14:paraId="4A11C58B">
      <w:pPr>
        <w:pStyle w:val="2"/>
        <w:spacing w:before="78" w:line="219" w:lineRule="auto"/>
        <w:ind w:left="3195"/>
        <w:outlineLvl w:val="1"/>
        <w:rPr>
          <w:sz w:val="24"/>
          <w:szCs w:val="24"/>
          <w:highlight w:val="yellow"/>
        </w:rPr>
      </w:pPr>
      <w:r>
        <w:rPr>
          <w:rFonts w:hint="eastAsia" w:asciiTheme="minorEastAsia" w:hAnsiTheme="minorEastAsia" w:eastAsiaTheme="minorEastAsia"/>
          <w:b/>
          <w:color w:val="auto"/>
          <w:sz w:val="24"/>
          <w:highlight w:val="yellow"/>
          <w:lang w:val="en-US" w:eastAsia="zh-CN"/>
        </w:rPr>
        <w:t>八、</w:t>
      </w:r>
      <w:r>
        <w:rPr>
          <w:rFonts w:hint="eastAsia"/>
          <w:b/>
          <w:bCs/>
          <w:spacing w:val="-3"/>
          <w:sz w:val="24"/>
          <w:szCs w:val="24"/>
          <w:highlight w:val="yellow"/>
          <w:lang w:val="en-US" w:eastAsia="zh-CN"/>
        </w:rPr>
        <w:t>磋商</w:t>
      </w:r>
      <w:r>
        <w:rPr>
          <w:b/>
          <w:bCs/>
          <w:spacing w:val="-3"/>
          <w:sz w:val="24"/>
          <w:szCs w:val="24"/>
          <w:highlight w:val="yellow"/>
        </w:rPr>
        <w:t>业绩承诺函</w:t>
      </w:r>
    </w:p>
    <w:p w14:paraId="40436738">
      <w:pPr>
        <w:spacing w:line="285" w:lineRule="auto"/>
        <w:rPr>
          <w:rFonts w:ascii="Arial"/>
          <w:sz w:val="21"/>
          <w:highlight w:val="yellow"/>
        </w:rPr>
      </w:pPr>
    </w:p>
    <w:p w14:paraId="3139DCA6">
      <w:pPr>
        <w:pStyle w:val="2"/>
        <w:spacing w:before="256" w:line="480" w:lineRule="auto"/>
        <w:ind w:firstLine="480" w:firstLineChars="200"/>
        <w:rPr>
          <w:spacing w:val="-2"/>
          <w:sz w:val="24"/>
          <w:szCs w:val="24"/>
          <w:highlight w:val="yellow"/>
        </w:rPr>
      </w:pPr>
      <w:r>
        <w:rPr>
          <w:rFonts w:ascii="宋体" w:hAnsi="宋体" w:eastAsia="宋体" w:cs="宋体"/>
          <w:b w:val="0"/>
          <w:bCs w:val="0"/>
          <w:color w:val="000000"/>
          <w:sz w:val="24"/>
          <w:szCs w:val="24"/>
          <w:highlight w:val="yellow"/>
        </w:rPr>
        <w:t>我单位同意</w:t>
      </w:r>
      <w:r>
        <w:rPr>
          <w:rFonts w:hint="eastAsia" w:ascii="宋体" w:hAnsi="宋体" w:eastAsia="宋体" w:cs="宋体"/>
          <w:b w:val="0"/>
          <w:bCs w:val="0"/>
          <w:color w:val="000000"/>
          <w:sz w:val="24"/>
          <w:szCs w:val="24"/>
          <w:highlight w:val="yellow"/>
          <w:lang w:val="en-US" w:eastAsia="zh-CN"/>
        </w:rPr>
        <w:t>成交</w:t>
      </w:r>
      <w:r>
        <w:rPr>
          <w:rFonts w:ascii="宋体" w:hAnsi="宋体" w:eastAsia="宋体" w:cs="宋体"/>
          <w:b w:val="0"/>
          <w:bCs w:val="0"/>
          <w:color w:val="000000"/>
          <w:sz w:val="24"/>
          <w:szCs w:val="24"/>
          <w:highlight w:val="yellow"/>
        </w:rPr>
        <w:t>结果公告中公示以下业绩并承诺：</w:t>
      </w:r>
      <w:r>
        <w:rPr>
          <w:rFonts w:hint="eastAsia" w:ascii="宋体" w:hAnsi="宋体" w:eastAsia="宋体" w:cs="宋体"/>
          <w:b w:val="0"/>
          <w:bCs w:val="0"/>
          <w:color w:val="000000"/>
          <w:sz w:val="24"/>
          <w:szCs w:val="24"/>
          <w:highlight w:val="yellow"/>
          <w:lang w:val="en-US" w:eastAsia="zh-CN"/>
        </w:rPr>
        <w:t>响应</w:t>
      </w:r>
      <w:r>
        <w:rPr>
          <w:rFonts w:ascii="宋体" w:hAnsi="宋体" w:eastAsia="宋体" w:cs="宋体"/>
          <w:b w:val="0"/>
          <w:bCs w:val="0"/>
          <w:color w:val="000000"/>
          <w:sz w:val="24"/>
          <w:szCs w:val="24"/>
          <w:highlight w:val="yellow"/>
        </w:rPr>
        <w:t>文件中所提供的业绩 均真实有效，且不属于与关联公司（如母公司、控股公司、分公司、子公司、同 一法定代表人的公司）之间的业绩，若被发现存在任何虚假</w:t>
      </w:r>
      <w:r>
        <w:rPr>
          <w:rFonts w:hint="eastAsia" w:ascii="宋体" w:hAnsi="宋体" w:eastAsia="宋体" w:cs="宋体"/>
          <w:b w:val="0"/>
          <w:bCs w:val="0"/>
          <w:color w:val="000000"/>
          <w:sz w:val="24"/>
          <w:szCs w:val="24"/>
          <w:highlight w:val="yellow"/>
          <w:lang w:eastAsia="zh-CN"/>
        </w:rPr>
        <w:t>、</w:t>
      </w:r>
      <w:r>
        <w:rPr>
          <w:rFonts w:ascii="宋体" w:hAnsi="宋体" w:eastAsia="宋体" w:cs="宋体"/>
          <w:b w:val="0"/>
          <w:bCs w:val="0"/>
          <w:color w:val="000000"/>
          <w:sz w:val="24"/>
          <w:szCs w:val="24"/>
          <w:highlight w:val="yellow"/>
        </w:rPr>
        <w:t>隐瞒情况，我单位承担由此产生的一切后果。</w:t>
      </w:r>
    </w:p>
    <w:p w14:paraId="13D6FB47">
      <w:pPr>
        <w:pStyle w:val="2"/>
        <w:spacing w:before="78" w:line="219" w:lineRule="auto"/>
        <w:ind w:left="4350"/>
        <w:rPr>
          <w:spacing w:val="-2"/>
          <w:sz w:val="24"/>
          <w:szCs w:val="24"/>
          <w:highlight w:val="yellow"/>
        </w:rPr>
      </w:pPr>
    </w:p>
    <w:p w14:paraId="785F5771">
      <w:pPr>
        <w:pStyle w:val="2"/>
        <w:spacing w:before="78" w:line="219" w:lineRule="auto"/>
        <w:ind w:left="4350"/>
        <w:rPr>
          <w:sz w:val="24"/>
          <w:szCs w:val="24"/>
          <w:highlight w:val="yellow"/>
        </w:rPr>
      </w:pPr>
      <w:r>
        <w:rPr>
          <w:spacing w:val="-2"/>
          <w:sz w:val="24"/>
          <w:szCs w:val="24"/>
          <w:highlight w:val="yellow"/>
        </w:rPr>
        <w:t>供应商签章：</w:t>
      </w:r>
      <w:r>
        <w:rPr>
          <w:sz w:val="24"/>
          <w:szCs w:val="24"/>
          <w:highlight w:val="yellow"/>
          <w:u w:val="single" w:color="auto"/>
        </w:rPr>
        <w:t xml:space="preserve">              </w:t>
      </w:r>
    </w:p>
    <w:p w14:paraId="4E6919FA">
      <w:pPr>
        <w:pStyle w:val="2"/>
        <w:spacing w:before="183" w:line="220" w:lineRule="auto"/>
        <w:ind w:left="4392"/>
        <w:rPr>
          <w:sz w:val="24"/>
          <w:szCs w:val="24"/>
          <w:highlight w:val="yellow"/>
        </w:rPr>
      </w:pPr>
      <w:r>
        <w:rPr>
          <w:spacing w:val="-32"/>
          <w:sz w:val="24"/>
          <w:szCs w:val="24"/>
          <w:highlight w:val="yellow"/>
        </w:rPr>
        <w:t>日</w:t>
      </w:r>
      <w:r>
        <w:rPr>
          <w:spacing w:val="1"/>
          <w:sz w:val="24"/>
          <w:szCs w:val="24"/>
          <w:highlight w:val="yellow"/>
        </w:rPr>
        <w:t xml:space="preserve">      </w:t>
      </w:r>
      <w:r>
        <w:rPr>
          <w:spacing w:val="-32"/>
          <w:sz w:val="24"/>
          <w:szCs w:val="24"/>
          <w:highlight w:val="yellow"/>
        </w:rPr>
        <w:t>期</w:t>
      </w:r>
      <w:r>
        <w:rPr>
          <w:spacing w:val="-2"/>
          <w:sz w:val="24"/>
          <w:szCs w:val="24"/>
          <w:highlight w:val="yellow"/>
        </w:rPr>
        <w:t>：</w:t>
      </w:r>
      <w:r>
        <w:rPr>
          <w:sz w:val="24"/>
          <w:szCs w:val="24"/>
          <w:highlight w:val="yellow"/>
          <w:u w:val="single" w:color="auto"/>
        </w:rPr>
        <w:t xml:space="preserve">      </w:t>
      </w:r>
      <w:r>
        <w:rPr>
          <w:rFonts w:hint="eastAsia"/>
          <w:sz w:val="24"/>
          <w:szCs w:val="24"/>
          <w:highlight w:val="yellow"/>
          <w:u w:val="single" w:color="auto"/>
          <w:lang w:val="en-US" w:eastAsia="zh-CN"/>
        </w:rPr>
        <w:t xml:space="preserve">  </w:t>
      </w:r>
      <w:r>
        <w:rPr>
          <w:sz w:val="24"/>
          <w:szCs w:val="24"/>
          <w:highlight w:val="yellow"/>
          <w:u w:val="single" w:color="auto"/>
        </w:rPr>
        <w:t xml:space="preserve">       </w:t>
      </w:r>
    </w:p>
    <w:p w14:paraId="483000D9">
      <w:pPr>
        <w:spacing w:before="27"/>
        <w:rPr>
          <w:highlight w:val="yellow"/>
        </w:rPr>
      </w:pPr>
    </w:p>
    <w:tbl>
      <w:tblPr>
        <w:tblStyle w:val="141"/>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60"/>
        <w:gridCol w:w="2873"/>
        <w:gridCol w:w="2437"/>
        <w:gridCol w:w="1609"/>
        <w:gridCol w:w="867"/>
      </w:tblGrid>
      <w:tr w14:paraId="479B6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497" w:type="pct"/>
            <w:vAlign w:val="top"/>
          </w:tcPr>
          <w:p w14:paraId="23D05868">
            <w:pPr>
              <w:pStyle w:val="140"/>
              <w:spacing w:before="149" w:line="221" w:lineRule="auto"/>
              <w:ind w:left="238"/>
              <w:rPr>
                <w:highlight w:val="yellow"/>
              </w:rPr>
            </w:pPr>
            <w:r>
              <w:rPr>
                <w:spacing w:val="-5"/>
                <w:highlight w:val="yellow"/>
              </w:rPr>
              <w:t>序号</w:t>
            </w:r>
          </w:p>
        </w:tc>
        <w:tc>
          <w:tcPr>
            <w:tcW w:w="1661" w:type="pct"/>
            <w:vAlign w:val="top"/>
          </w:tcPr>
          <w:p w14:paraId="150FB2FF">
            <w:pPr>
              <w:pStyle w:val="140"/>
              <w:spacing w:before="149" w:line="220" w:lineRule="auto"/>
              <w:jc w:val="center"/>
              <w:rPr>
                <w:highlight w:val="yellow"/>
              </w:rPr>
            </w:pPr>
            <w:r>
              <w:rPr>
                <w:spacing w:val="-4"/>
                <w:highlight w:val="yellow"/>
              </w:rPr>
              <w:t>项目名称</w:t>
            </w:r>
          </w:p>
        </w:tc>
        <w:tc>
          <w:tcPr>
            <w:tcW w:w="1409" w:type="pct"/>
            <w:vAlign w:val="top"/>
          </w:tcPr>
          <w:p w14:paraId="5268FC69">
            <w:pPr>
              <w:pStyle w:val="140"/>
              <w:spacing w:before="150" w:line="219" w:lineRule="auto"/>
              <w:jc w:val="center"/>
              <w:rPr>
                <w:highlight w:val="yellow"/>
              </w:rPr>
            </w:pPr>
            <w:r>
              <w:rPr>
                <w:rFonts w:hint="eastAsia" w:eastAsia="宋体"/>
                <w:spacing w:val="-3"/>
                <w:highlight w:val="yellow"/>
                <w:lang w:val="en-US" w:eastAsia="zh-CN"/>
              </w:rPr>
              <w:t>服务</w:t>
            </w:r>
            <w:r>
              <w:rPr>
                <w:spacing w:val="-3"/>
                <w:highlight w:val="yellow"/>
              </w:rPr>
              <w:t>范围</w:t>
            </w:r>
          </w:p>
        </w:tc>
        <w:tc>
          <w:tcPr>
            <w:tcW w:w="930" w:type="pct"/>
            <w:vAlign w:val="top"/>
          </w:tcPr>
          <w:p w14:paraId="44EBDC04">
            <w:pPr>
              <w:pStyle w:val="140"/>
              <w:spacing w:before="150" w:line="219" w:lineRule="auto"/>
              <w:jc w:val="center"/>
              <w:rPr>
                <w:rFonts w:hint="default" w:eastAsia="宋体"/>
                <w:spacing w:val="-3"/>
                <w:highlight w:val="yellow"/>
                <w:lang w:val="en-US" w:eastAsia="zh-CN"/>
              </w:rPr>
            </w:pPr>
            <w:r>
              <w:rPr>
                <w:rFonts w:hint="eastAsia" w:eastAsia="宋体"/>
                <w:spacing w:val="-3"/>
                <w:highlight w:val="yellow"/>
                <w:lang w:val="en-US" w:eastAsia="zh-CN"/>
              </w:rPr>
              <w:t>是否履约完成</w:t>
            </w:r>
          </w:p>
        </w:tc>
        <w:tc>
          <w:tcPr>
            <w:tcW w:w="501" w:type="pct"/>
            <w:vAlign w:val="top"/>
          </w:tcPr>
          <w:p w14:paraId="283ECCB8">
            <w:pPr>
              <w:pStyle w:val="140"/>
              <w:spacing w:before="149" w:line="221" w:lineRule="auto"/>
              <w:ind w:left="245"/>
              <w:rPr>
                <w:highlight w:val="yellow"/>
              </w:rPr>
            </w:pPr>
            <w:r>
              <w:rPr>
                <w:spacing w:val="-7"/>
                <w:highlight w:val="yellow"/>
              </w:rPr>
              <w:t>备注</w:t>
            </w:r>
          </w:p>
        </w:tc>
      </w:tr>
      <w:tr w14:paraId="1A8CC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5E3F4C8F">
            <w:pPr>
              <w:pStyle w:val="140"/>
              <w:spacing w:before="115" w:line="241" w:lineRule="auto"/>
              <w:ind w:left="437"/>
              <w:rPr>
                <w:highlight w:val="yellow"/>
              </w:rPr>
            </w:pPr>
            <w:r>
              <w:rPr>
                <w:highlight w:val="yellow"/>
              </w:rPr>
              <w:t>1</w:t>
            </w:r>
          </w:p>
        </w:tc>
        <w:tc>
          <w:tcPr>
            <w:tcW w:w="1661" w:type="pct"/>
            <w:vAlign w:val="top"/>
          </w:tcPr>
          <w:p w14:paraId="2706018D">
            <w:pPr>
              <w:rPr>
                <w:rFonts w:ascii="Arial"/>
                <w:sz w:val="21"/>
                <w:highlight w:val="yellow"/>
              </w:rPr>
            </w:pPr>
          </w:p>
        </w:tc>
        <w:tc>
          <w:tcPr>
            <w:tcW w:w="1409" w:type="pct"/>
            <w:vAlign w:val="top"/>
          </w:tcPr>
          <w:p w14:paraId="42018C30">
            <w:pPr>
              <w:rPr>
                <w:rFonts w:ascii="Arial"/>
                <w:sz w:val="21"/>
                <w:highlight w:val="yellow"/>
              </w:rPr>
            </w:pPr>
          </w:p>
        </w:tc>
        <w:tc>
          <w:tcPr>
            <w:tcW w:w="930" w:type="pct"/>
            <w:vAlign w:val="top"/>
          </w:tcPr>
          <w:p w14:paraId="55DDC6D4">
            <w:pPr>
              <w:rPr>
                <w:rFonts w:ascii="Arial"/>
                <w:sz w:val="21"/>
                <w:highlight w:val="yellow"/>
              </w:rPr>
            </w:pPr>
          </w:p>
        </w:tc>
        <w:tc>
          <w:tcPr>
            <w:tcW w:w="501" w:type="pct"/>
            <w:vAlign w:val="top"/>
          </w:tcPr>
          <w:p w14:paraId="60E21923">
            <w:pPr>
              <w:rPr>
                <w:rFonts w:ascii="Arial"/>
                <w:sz w:val="21"/>
                <w:highlight w:val="yellow"/>
              </w:rPr>
            </w:pPr>
          </w:p>
        </w:tc>
      </w:tr>
      <w:tr w14:paraId="15456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0E5DDC60">
            <w:pPr>
              <w:pStyle w:val="140"/>
              <w:spacing w:before="115" w:line="241" w:lineRule="auto"/>
              <w:ind w:left="422"/>
              <w:rPr>
                <w:highlight w:val="yellow"/>
              </w:rPr>
            </w:pPr>
            <w:r>
              <w:rPr>
                <w:highlight w:val="yellow"/>
              </w:rPr>
              <w:t>2</w:t>
            </w:r>
          </w:p>
        </w:tc>
        <w:tc>
          <w:tcPr>
            <w:tcW w:w="1661" w:type="pct"/>
            <w:vAlign w:val="top"/>
          </w:tcPr>
          <w:p w14:paraId="39536F28">
            <w:pPr>
              <w:rPr>
                <w:rFonts w:ascii="Arial"/>
                <w:sz w:val="21"/>
                <w:highlight w:val="yellow"/>
              </w:rPr>
            </w:pPr>
          </w:p>
        </w:tc>
        <w:tc>
          <w:tcPr>
            <w:tcW w:w="1409" w:type="pct"/>
            <w:vAlign w:val="top"/>
          </w:tcPr>
          <w:p w14:paraId="31B01710">
            <w:pPr>
              <w:rPr>
                <w:rFonts w:ascii="Arial"/>
                <w:sz w:val="21"/>
                <w:highlight w:val="yellow"/>
              </w:rPr>
            </w:pPr>
          </w:p>
        </w:tc>
        <w:tc>
          <w:tcPr>
            <w:tcW w:w="930" w:type="pct"/>
            <w:vAlign w:val="top"/>
          </w:tcPr>
          <w:p w14:paraId="65C4BBB3">
            <w:pPr>
              <w:rPr>
                <w:rFonts w:ascii="Arial"/>
                <w:sz w:val="21"/>
                <w:highlight w:val="yellow"/>
              </w:rPr>
            </w:pPr>
          </w:p>
        </w:tc>
        <w:tc>
          <w:tcPr>
            <w:tcW w:w="501" w:type="pct"/>
            <w:vAlign w:val="top"/>
          </w:tcPr>
          <w:p w14:paraId="34D20A5C">
            <w:pPr>
              <w:rPr>
                <w:rFonts w:ascii="Arial"/>
                <w:sz w:val="21"/>
                <w:highlight w:val="yellow"/>
              </w:rPr>
            </w:pPr>
          </w:p>
        </w:tc>
      </w:tr>
      <w:tr w14:paraId="6D3D3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97" w:type="pct"/>
            <w:vAlign w:val="top"/>
          </w:tcPr>
          <w:p w14:paraId="7DA03297">
            <w:pPr>
              <w:pStyle w:val="140"/>
              <w:spacing w:before="118"/>
              <w:ind w:left="424"/>
              <w:rPr>
                <w:highlight w:val="yellow"/>
              </w:rPr>
            </w:pPr>
            <w:r>
              <w:rPr>
                <w:highlight w:val="yellow"/>
              </w:rPr>
              <w:t>3</w:t>
            </w:r>
          </w:p>
        </w:tc>
        <w:tc>
          <w:tcPr>
            <w:tcW w:w="1661" w:type="pct"/>
            <w:vAlign w:val="top"/>
          </w:tcPr>
          <w:p w14:paraId="19341408">
            <w:pPr>
              <w:rPr>
                <w:rFonts w:ascii="Arial"/>
                <w:sz w:val="21"/>
                <w:highlight w:val="yellow"/>
              </w:rPr>
            </w:pPr>
          </w:p>
        </w:tc>
        <w:tc>
          <w:tcPr>
            <w:tcW w:w="1409" w:type="pct"/>
            <w:vAlign w:val="top"/>
          </w:tcPr>
          <w:p w14:paraId="7452D099">
            <w:pPr>
              <w:rPr>
                <w:rFonts w:ascii="Arial"/>
                <w:sz w:val="21"/>
                <w:highlight w:val="yellow"/>
              </w:rPr>
            </w:pPr>
          </w:p>
        </w:tc>
        <w:tc>
          <w:tcPr>
            <w:tcW w:w="930" w:type="pct"/>
            <w:vAlign w:val="top"/>
          </w:tcPr>
          <w:p w14:paraId="17A47195">
            <w:pPr>
              <w:rPr>
                <w:rFonts w:ascii="Arial"/>
                <w:sz w:val="21"/>
                <w:highlight w:val="yellow"/>
              </w:rPr>
            </w:pPr>
          </w:p>
        </w:tc>
        <w:tc>
          <w:tcPr>
            <w:tcW w:w="501" w:type="pct"/>
            <w:vAlign w:val="top"/>
          </w:tcPr>
          <w:p w14:paraId="3794785C">
            <w:pPr>
              <w:rPr>
                <w:rFonts w:ascii="Arial"/>
                <w:sz w:val="21"/>
                <w:highlight w:val="yellow"/>
              </w:rPr>
            </w:pPr>
          </w:p>
        </w:tc>
      </w:tr>
      <w:tr w14:paraId="77642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7FF4137A">
            <w:pPr>
              <w:pStyle w:val="140"/>
              <w:spacing w:before="118" w:line="241" w:lineRule="auto"/>
              <w:ind w:left="418"/>
              <w:rPr>
                <w:highlight w:val="yellow"/>
              </w:rPr>
            </w:pPr>
            <w:r>
              <w:rPr>
                <w:highlight w:val="yellow"/>
              </w:rPr>
              <w:t>4</w:t>
            </w:r>
          </w:p>
        </w:tc>
        <w:tc>
          <w:tcPr>
            <w:tcW w:w="1661" w:type="pct"/>
            <w:vAlign w:val="top"/>
          </w:tcPr>
          <w:p w14:paraId="24145F21">
            <w:pPr>
              <w:rPr>
                <w:rFonts w:ascii="Arial"/>
                <w:sz w:val="21"/>
                <w:highlight w:val="yellow"/>
              </w:rPr>
            </w:pPr>
          </w:p>
        </w:tc>
        <w:tc>
          <w:tcPr>
            <w:tcW w:w="1409" w:type="pct"/>
            <w:vAlign w:val="top"/>
          </w:tcPr>
          <w:p w14:paraId="23AD9719">
            <w:pPr>
              <w:rPr>
                <w:rFonts w:ascii="Arial"/>
                <w:sz w:val="21"/>
                <w:highlight w:val="yellow"/>
              </w:rPr>
            </w:pPr>
          </w:p>
        </w:tc>
        <w:tc>
          <w:tcPr>
            <w:tcW w:w="930" w:type="pct"/>
            <w:vAlign w:val="top"/>
          </w:tcPr>
          <w:p w14:paraId="20CB4632">
            <w:pPr>
              <w:rPr>
                <w:rFonts w:ascii="Arial"/>
                <w:sz w:val="21"/>
                <w:highlight w:val="yellow"/>
              </w:rPr>
            </w:pPr>
          </w:p>
        </w:tc>
        <w:tc>
          <w:tcPr>
            <w:tcW w:w="501" w:type="pct"/>
            <w:vAlign w:val="top"/>
          </w:tcPr>
          <w:p w14:paraId="63E36A07">
            <w:pPr>
              <w:rPr>
                <w:rFonts w:ascii="Arial"/>
                <w:sz w:val="21"/>
                <w:highlight w:val="yellow"/>
              </w:rPr>
            </w:pPr>
          </w:p>
        </w:tc>
      </w:tr>
      <w:tr w14:paraId="57F27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497" w:type="pct"/>
            <w:vAlign w:val="top"/>
          </w:tcPr>
          <w:p w14:paraId="5094B378">
            <w:pPr>
              <w:pStyle w:val="140"/>
              <w:spacing w:before="118"/>
              <w:ind w:left="424"/>
              <w:rPr>
                <w:highlight w:val="yellow"/>
              </w:rPr>
            </w:pPr>
            <w:r>
              <w:rPr>
                <w:highlight w:val="yellow"/>
              </w:rPr>
              <w:t>5</w:t>
            </w:r>
          </w:p>
        </w:tc>
        <w:tc>
          <w:tcPr>
            <w:tcW w:w="1661" w:type="pct"/>
            <w:vAlign w:val="top"/>
          </w:tcPr>
          <w:p w14:paraId="1C7C2917">
            <w:pPr>
              <w:rPr>
                <w:rFonts w:ascii="Arial"/>
                <w:sz w:val="21"/>
                <w:highlight w:val="yellow"/>
              </w:rPr>
            </w:pPr>
          </w:p>
        </w:tc>
        <w:tc>
          <w:tcPr>
            <w:tcW w:w="1409" w:type="pct"/>
            <w:vAlign w:val="top"/>
          </w:tcPr>
          <w:p w14:paraId="3990632B">
            <w:pPr>
              <w:rPr>
                <w:rFonts w:ascii="Arial"/>
                <w:sz w:val="21"/>
                <w:highlight w:val="yellow"/>
              </w:rPr>
            </w:pPr>
          </w:p>
        </w:tc>
        <w:tc>
          <w:tcPr>
            <w:tcW w:w="930" w:type="pct"/>
            <w:vAlign w:val="top"/>
          </w:tcPr>
          <w:p w14:paraId="09942810">
            <w:pPr>
              <w:rPr>
                <w:rFonts w:ascii="Arial"/>
                <w:sz w:val="21"/>
                <w:highlight w:val="yellow"/>
              </w:rPr>
            </w:pPr>
          </w:p>
        </w:tc>
        <w:tc>
          <w:tcPr>
            <w:tcW w:w="501" w:type="pct"/>
            <w:vAlign w:val="top"/>
          </w:tcPr>
          <w:p w14:paraId="5FB6B056">
            <w:pPr>
              <w:rPr>
                <w:rFonts w:ascii="Arial"/>
                <w:sz w:val="21"/>
                <w:highlight w:val="yellow"/>
              </w:rPr>
            </w:pPr>
          </w:p>
        </w:tc>
      </w:tr>
      <w:tr w14:paraId="7F165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7" w:hRule="atLeast"/>
        </w:trPr>
        <w:tc>
          <w:tcPr>
            <w:tcW w:w="497" w:type="pct"/>
            <w:vAlign w:val="top"/>
          </w:tcPr>
          <w:p w14:paraId="130D3C59">
            <w:pPr>
              <w:pStyle w:val="140"/>
              <w:spacing w:before="119" w:line="348" w:lineRule="exact"/>
              <w:ind w:left="254"/>
              <w:rPr>
                <w:highlight w:val="yellow"/>
              </w:rPr>
            </w:pPr>
            <w:r>
              <w:rPr>
                <w:spacing w:val="-13"/>
                <w:position w:val="2"/>
                <w:highlight w:val="yellow"/>
              </w:rPr>
              <w:t>……</w:t>
            </w:r>
          </w:p>
        </w:tc>
        <w:tc>
          <w:tcPr>
            <w:tcW w:w="1661" w:type="pct"/>
            <w:vAlign w:val="top"/>
          </w:tcPr>
          <w:p w14:paraId="6D9A8292">
            <w:pPr>
              <w:rPr>
                <w:rFonts w:ascii="Arial"/>
                <w:sz w:val="21"/>
                <w:highlight w:val="yellow"/>
              </w:rPr>
            </w:pPr>
          </w:p>
        </w:tc>
        <w:tc>
          <w:tcPr>
            <w:tcW w:w="1409" w:type="pct"/>
            <w:vAlign w:val="top"/>
          </w:tcPr>
          <w:p w14:paraId="27B474F5">
            <w:pPr>
              <w:rPr>
                <w:rFonts w:ascii="Arial"/>
                <w:sz w:val="21"/>
                <w:highlight w:val="yellow"/>
              </w:rPr>
            </w:pPr>
          </w:p>
        </w:tc>
        <w:tc>
          <w:tcPr>
            <w:tcW w:w="930" w:type="pct"/>
            <w:vAlign w:val="top"/>
          </w:tcPr>
          <w:p w14:paraId="7EC16B01">
            <w:pPr>
              <w:rPr>
                <w:rFonts w:ascii="Arial"/>
                <w:sz w:val="21"/>
                <w:highlight w:val="yellow"/>
              </w:rPr>
            </w:pPr>
          </w:p>
        </w:tc>
        <w:tc>
          <w:tcPr>
            <w:tcW w:w="501" w:type="pct"/>
            <w:vAlign w:val="top"/>
          </w:tcPr>
          <w:p w14:paraId="774BD42D">
            <w:pPr>
              <w:rPr>
                <w:rFonts w:ascii="Arial"/>
                <w:sz w:val="21"/>
                <w:highlight w:val="yellow"/>
              </w:rPr>
            </w:pPr>
          </w:p>
        </w:tc>
      </w:tr>
    </w:tbl>
    <w:p w14:paraId="6C7A4F28">
      <w:pPr>
        <w:spacing w:before="26"/>
        <w:rPr>
          <w:highlight w:val="yellow"/>
        </w:rPr>
      </w:pPr>
    </w:p>
    <w:p w14:paraId="4E7F5A21">
      <w:pPr>
        <w:pStyle w:val="2"/>
        <w:spacing w:before="78" w:line="224" w:lineRule="auto"/>
        <w:ind w:firstLine="450" w:firstLineChars="200"/>
        <w:rPr>
          <w:sz w:val="24"/>
          <w:szCs w:val="24"/>
          <w:highlight w:val="yellow"/>
        </w:rPr>
      </w:pPr>
      <w:r>
        <w:rPr>
          <w:b/>
          <w:bCs/>
          <w:spacing w:val="-8"/>
          <w:sz w:val="24"/>
          <w:szCs w:val="24"/>
          <w:highlight w:val="yellow"/>
        </w:rPr>
        <w:t>注：</w:t>
      </w:r>
    </w:p>
    <w:p w14:paraId="6467157E">
      <w:pPr>
        <w:pStyle w:val="2"/>
        <w:spacing w:before="184" w:line="289" w:lineRule="auto"/>
        <w:ind w:left="127" w:right="112" w:firstLine="431"/>
        <w:rPr>
          <w:rFonts w:ascii="@微软简标宋" w:hAnsi="@微软简标宋" w:eastAsia="宋体"/>
          <w:spacing w:val="-2"/>
          <w:sz w:val="24"/>
          <w:szCs w:val="24"/>
          <w:highlight w:val="yellow"/>
        </w:rPr>
      </w:pPr>
      <w:r>
        <w:rPr>
          <w:rFonts w:hint="eastAsia" w:ascii="@微软简标宋" w:hAnsi="@微软简标宋" w:eastAsia="宋体"/>
          <w:spacing w:val="-2"/>
          <w:sz w:val="24"/>
          <w:szCs w:val="24"/>
          <w:highlight w:val="yellow"/>
        </w:rPr>
        <w:t>1.供应商须按上述格式填写所提供的业绩。如未填写或未按格式填写，则该业绩</w:t>
      </w:r>
      <w:r>
        <w:rPr>
          <w:rFonts w:hint="eastAsia" w:ascii="@微软简标宋" w:hAnsi="@微软简标宋" w:eastAsia="宋体"/>
          <w:spacing w:val="-2"/>
          <w:sz w:val="24"/>
          <w:szCs w:val="24"/>
          <w:highlight w:val="yellow"/>
          <w:lang w:eastAsia="zh-CN"/>
        </w:rPr>
        <w:t>评审不予认可</w:t>
      </w:r>
      <w:r>
        <w:rPr>
          <w:rFonts w:hint="eastAsia" w:ascii="@微软简标宋" w:hAnsi="@微软简标宋" w:eastAsia="宋体"/>
          <w:spacing w:val="-2"/>
          <w:sz w:val="24"/>
          <w:szCs w:val="24"/>
          <w:highlight w:val="yellow"/>
        </w:rPr>
        <w:t>；</w:t>
      </w:r>
    </w:p>
    <w:p w14:paraId="2D383FB2">
      <w:pPr>
        <w:pStyle w:val="2"/>
        <w:spacing w:before="184" w:line="289" w:lineRule="auto"/>
        <w:ind w:left="127" w:right="112" w:firstLine="431"/>
        <w:rPr>
          <w:spacing w:val="-2"/>
          <w:sz w:val="24"/>
          <w:szCs w:val="24"/>
          <w:highlight w:val="yellow"/>
          <w:lang w:val="zh-CN" w:eastAsia="zh-CN"/>
        </w:rPr>
        <w:sectPr>
          <w:pgSz w:w="11906" w:h="16839"/>
          <w:pgMar w:top="1166" w:right="1633" w:bottom="1234" w:left="1633" w:header="829" w:footer="985" w:gutter="0"/>
          <w:pgNumType w:fmt="decimal"/>
          <w:cols w:space="720" w:num="1"/>
        </w:sectPr>
      </w:pPr>
      <w:r>
        <w:rPr>
          <w:spacing w:val="-2"/>
          <w:sz w:val="24"/>
          <w:szCs w:val="24"/>
          <w:highlight w:val="yellow"/>
        </w:rPr>
        <w:t>2.</w:t>
      </w:r>
      <w:r>
        <w:rPr>
          <w:rFonts w:hint="eastAsia"/>
          <w:spacing w:val="-2"/>
          <w:sz w:val="24"/>
          <w:szCs w:val="24"/>
          <w:highlight w:val="yellow"/>
          <w:lang w:val="en-US" w:eastAsia="zh-CN"/>
        </w:rPr>
        <w:t xml:space="preserve"> 如磋商文件《供应商须知前附表》有约定的，成交供应商经磋商小组评审认可的相关业绩将按约定随成交公告结果公告同时公告。</w:t>
      </w:r>
    </w:p>
    <w:bookmarkEnd w:id="104"/>
    <w:p w14:paraId="1F4B89C8">
      <w:pPr>
        <w:spacing w:line="360" w:lineRule="auto"/>
        <w:jc w:val="center"/>
        <w:outlineLvl w:val="1"/>
        <w:rPr>
          <w:rFonts w:asciiTheme="minorEastAsia" w:hAnsiTheme="minorEastAsia" w:eastAsiaTheme="minorEastAsia"/>
          <w:b/>
          <w:color w:val="auto"/>
          <w:sz w:val="24"/>
          <w:highlight w:val="none"/>
        </w:rPr>
      </w:pPr>
      <w:bookmarkStart w:id="105" w:name="_Toc7807"/>
      <w:bookmarkStart w:id="106" w:name="_Toc3826"/>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105"/>
      <w:bookmarkEnd w:id="106"/>
    </w:p>
    <w:p w14:paraId="5E539229">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提供符合磋商邀请、采购需求及评审方法和标准规定的相关证明文件</w:t>
      </w:r>
      <w:r>
        <w:rPr>
          <w:rFonts w:hint="eastAsia" w:ascii="宋体" w:hAnsi="宋体" w:eastAsia="宋体"/>
          <w:color w:val="auto"/>
          <w:sz w:val="24"/>
          <w:highlight w:val="none"/>
          <w:lang w:eastAsia="zh-CN"/>
        </w:rPr>
        <w:t>的</w:t>
      </w:r>
      <w:r>
        <w:rPr>
          <w:rFonts w:hint="eastAsia" w:ascii="宋体" w:hAnsi="宋体" w:eastAsia="宋体"/>
          <w:color w:val="auto"/>
          <w:sz w:val="24"/>
          <w:highlight w:val="none"/>
          <w:lang w:val="en-US" w:eastAsia="zh-CN"/>
        </w:rPr>
        <w:t>影印件</w:t>
      </w:r>
      <w:r>
        <w:rPr>
          <w:rFonts w:hint="eastAsia" w:ascii="宋体" w:hAnsi="宋体" w:eastAsia="宋体"/>
          <w:color w:val="auto"/>
          <w:sz w:val="24"/>
          <w:highlight w:val="none"/>
        </w:rPr>
        <w:t>。</w:t>
      </w:r>
    </w:p>
    <w:p w14:paraId="4069CC21">
      <w:pPr>
        <w:spacing w:line="360" w:lineRule="auto"/>
        <w:ind w:firstLine="435"/>
        <w:rPr>
          <w:rFonts w:asciiTheme="minorEastAsia" w:hAnsiTheme="minorEastAsia" w:eastAsiaTheme="minorEastAsia"/>
          <w:color w:val="auto"/>
          <w:sz w:val="24"/>
          <w:highlight w:val="none"/>
        </w:rPr>
      </w:pPr>
    </w:p>
    <w:p w14:paraId="2CB02D42">
      <w:pPr>
        <w:spacing w:line="360" w:lineRule="auto"/>
        <w:ind w:firstLine="480" w:firstLineChars="200"/>
        <w:rPr>
          <w:rFonts w:asciiTheme="minorEastAsia" w:hAnsiTheme="minorEastAsia" w:eastAsiaTheme="minorEastAsia"/>
          <w:color w:val="auto"/>
          <w:sz w:val="24"/>
          <w:highlight w:val="none"/>
        </w:rPr>
      </w:pPr>
    </w:p>
    <w:p w14:paraId="7A089CDF">
      <w:pPr>
        <w:spacing w:line="360" w:lineRule="auto"/>
        <w:jc w:val="center"/>
        <w:rPr>
          <w:rFonts w:asciiTheme="minorEastAsia" w:hAnsiTheme="minorEastAsia" w:eastAsiaTheme="minorEastAsia"/>
          <w:b/>
          <w:color w:val="auto"/>
          <w:sz w:val="24"/>
          <w:highlight w:val="none"/>
        </w:rPr>
      </w:pPr>
    </w:p>
    <w:p w14:paraId="2ED54802">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379889EA">
      <w:pPr>
        <w:spacing w:line="360" w:lineRule="auto"/>
        <w:jc w:val="center"/>
        <w:outlineLvl w:val="0"/>
        <w:rPr>
          <w:rFonts w:ascii="宋体" w:hAnsi="宋体" w:eastAsia="宋体"/>
          <w:b/>
          <w:bCs/>
          <w:color w:val="auto"/>
          <w:sz w:val="28"/>
          <w:highlight w:val="none"/>
        </w:rPr>
      </w:pPr>
      <w:bookmarkStart w:id="107" w:name="_Toc63440924"/>
      <w:bookmarkStart w:id="108" w:name="_Toc19418"/>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  政府采购</w:t>
      </w:r>
      <w:bookmarkEnd w:id="107"/>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108"/>
    </w:p>
    <w:p w14:paraId="41FD10DD">
      <w:pPr>
        <w:spacing w:line="360" w:lineRule="auto"/>
        <w:jc w:val="center"/>
        <w:outlineLvl w:val="1"/>
        <w:rPr>
          <w:rFonts w:ascii="仿宋" w:hAnsi="仿宋" w:eastAsia="仿宋" w:cs="仿宋"/>
          <w:b/>
          <w:bCs/>
          <w:color w:val="auto"/>
          <w:sz w:val="32"/>
          <w:szCs w:val="44"/>
          <w:highlight w:val="none"/>
        </w:rPr>
      </w:pPr>
      <w:bookmarkStart w:id="109" w:name="_Toc2142"/>
      <w:bookmarkStart w:id="110" w:name="_Toc8735"/>
      <w:r>
        <w:rPr>
          <w:rFonts w:hint="eastAsia" w:ascii="仿宋" w:hAnsi="仿宋" w:eastAsia="仿宋" w:cs="仿宋"/>
          <w:b/>
          <w:bCs/>
          <w:color w:val="auto"/>
          <w:sz w:val="32"/>
          <w:szCs w:val="44"/>
          <w:highlight w:val="none"/>
        </w:rPr>
        <w:t>询问函范本</w:t>
      </w:r>
      <w:bookmarkEnd w:id="109"/>
      <w:bookmarkEnd w:id="110"/>
    </w:p>
    <w:p w14:paraId="7FF4F453">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738BBC9A">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val="en-US" w:eastAsia="zh-CN"/>
        </w:rPr>
        <w:t>采购人</w:t>
      </w:r>
    </w:p>
    <w:p w14:paraId="19F8740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0FEF962A">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11" w:name="_Toc9092"/>
      <w:bookmarkStart w:id="112" w:name="_Toc26386"/>
      <w:r>
        <w:rPr>
          <w:rFonts w:hint="eastAsia" w:cs="仿宋" w:asciiTheme="minorEastAsia" w:hAnsiTheme="minorEastAsia" w:eastAsiaTheme="minorEastAsia"/>
          <w:color w:val="auto"/>
          <w:sz w:val="24"/>
          <w:szCs w:val="24"/>
          <w:highlight w:val="none"/>
        </w:rPr>
        <w:t>一、(事项一)</w:t>
      </w:r>
      <w:bookmarkEnd w:id="111"/>
      <w:bookmarkEnd w:id="112"/>
    </w:p>
    <w:p w14:paraId="1281EAB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7618FB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E227F6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6E793BF">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13" w:name="_Toc17582"/>
      <w:bookmarkStart w:id="114" w:name="_Toc9273"/>
      <w:r>
        <w:rPr>
          <w:rFonts w:hint="eastAsia" w:cs="仿宋" w:asciiTheme="minorEastAsia" w:hAnsiTheme="minorEastAsia" w:eastAsiaTheme="minorEastAsia"/>
          <w:color w:val="auto"/>
          <w:sz w:val="24"/>
          <w:szCs w:val="24"/>
          <w:highlight w:val="none"/>
        </w:rPr>
        <w:t>二、(事项二)</w:t>
      </w:r>
      <w:bookmarkEnd w:id="113"/>
      <w:bookmarkEnd w:id="114"/>
    </w:p>
    <w:p w14:paraId="19A5D88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B9C940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4FCB34A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12ACE8E9">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CC9AA14">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55718456">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714913D">
      <w:pPr>
        <w:jc w:val="center"/>
        <w:outlineLvl w:val="1"/>
        <w:rPr>
          <w:rFonts w:ascii="仿宋" w:hAnsi="仿宋" w:eastAsia="仿宋" w:cs="仿宋"/>
          <w:b/>
          <w:bCs/>
          <w:color w:val="auto"/>
          <w:sz w:val="32"/>
          <w:szCs w:val="44"/>
          <w:highlight w:val="none"/>
        </w:rPr>
      </w:pPr>
      <w:bookmarkStart w:id="115" w:name="_Toc26673"/>
      <w:bookmarkStart w:id="116" w:name="_Toc6990"/>
      <w:r>
        <w:rPr>
          <w:rFonts w:hint="eastAsia" w:ascii="仿宋" w:hAnsi="仿宋" w:eastAsia="仿宋" w:cs="仿宋"/>
          <w:b/>
          <w:bCs/>
          <w:color w:val="auto"/>
          <w:sz w:val="32"/>
          <w:szCs w:val="44"/>
          <w:highlight w:val="none"/>
        </w:rPr>
        <w:t>质疑函范本</w:t>
      </w:r>
      <w:bookmarkEnd w:id="115"/>
      <w:bookmarkEnd w:id="116"/>
    </w:p>
    <w:p w14:paraId="49AD0B40">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17" w:name="_Toc29510"/>
      <w:bookmarkStart w:id="118" w:name="_Toc2994"/>
      <w:r>
        <w:rPr>
          <w:rFonts w:hint="eastAsia" w:cs="仿宋" w:asciiTheme="minorEastAsia" w:hAnsiTheme="minorEastAsia" w:eastAsiaTheme="minorEastAsia"/>
          <w:b/>
          <w:bCs/>
          <w:color w:val="auto"/>
          <w:sz w:val="24"/>
          <w:szCs w:val="24"/>
          <w:highlight w:val="none"/>
        </w:rPr>
        <w:t>一、质疑供应商基本信息</w:t>
      </w:r>
      <w:bookmarkEnd w:id="117"/>
      <w:bookmarkEnd w:id="118"/>
    </w:p>
    <w:p w14:paraId="3F0CCCA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6F6290C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157851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BE4009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5C098AE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31A89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7AF4C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9" w:name="_Toc31042"/>
      <w:bookmarkStart w:id="120" w:name="_Toc28130"/>
      <w:r>
        <w:rPr>
          <w:rFonts w:hint="eastAsia" w:cs="仿宋" w:asciiTheme="minorEastAsia" w:hAnsiTheme="minorEastAsia" w:eastAsiaTheme="minorEastAsia"/>
          <w:b/>
          <w:bCs/>
          <w:color w:val="auto"/>
          <w:sz w:val="24"/>
          <w:szCs w:val="24"/>
          <w:highlight w:val="none"/>
        </w:rPr>
        <w:t>二、质疑项目基本情况</w:t>
      </w:r>
      <w:bookmarkEnd w:id="119"/>
      <w:bookmarkEnd w:id="120"/>
    </w:p>
    <w:p w14:paraId="3C2E3A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597E0A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2B9870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6F3C89B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6C3AFE7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1" w:name="_Toc6486"/>
      <w:bookmarkStart w:id="122" w:name="_Toc20587"/>
      <w:r>
        <w:rPr>
          <w:rFonts w:hint="eastAsia" w:cs="仿宋" w:asciiTheme="minorEastAsia" w:hAnsiTheme="minorEastAsia" w:eastAsiaTheme="minorEastAsia"/>
          <w:b/>
          <w:bCs/>
          <w:color w:val="auto"/>
          <w:sz w:val="24"/>
          <w:szCs w:val="24"/>
          <w:highlight w:val="none"/>
        </w:rPr>
        <w:t>三、质疑事项具体内容</w:t>
      </w:r>
      <w:bookmarkEnd w:id="121"/>
      <w:bookmarkEnd w:id="122"/>
    </w:p>
    <w:p w14:paraId="4F85235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D7C01D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31E16F8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363EBF6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214E0CD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51089A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766B30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03A67DC">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3" w:name="_Toc20470"/>
      <w:bookmarkStart w:id="124" w:name="_Toc32755"/>
      <w:r>
        <w:rPr>
          <w:rFonts w:hint="eastAsia" w:cs="仿宋" w:asciiTheme="minorEastAsia" w:hAnsiTheme="minorEastAsia" w:eastAsiaTheme="minorEastAsia"/>
          <w:b/>
          <w:bCs/>
          <w:color w:val="auto"/>
          <w:sz w:val="24"/>
          <w:szCs w:val="24"/>
          <w:highlight w:val="none"/>
        </w:rPr>
        <w:t>四、与质疑事项相关的质疑请求</w:t>
      </w:r>
      <w:bookmarkEnd w:id="123"/>
      <w:bookmarkEnd w:id="124"/>
    </w:p>
    <w:p w14:paraId="0DAA263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17E6B87">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1F9F2AC">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DF509A5">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A38DDD5">
      <w:pPr>
        <w:outlineLvl w:val="0"/>
        <w:rPr>
          <w:rFonts w:asciiTheme="minorEastAsia" w:hAnsiTheme="minorEastAsia" w:eastAsiaTheme="minorEastAsia"/>
          <w:b/>
          <w:color w:val="auto"/>
          <w:sz w:val="28"/>
          <w:szCs w:val="32"/>
          <w:highlight w:val="none"/>
        </w:rPr>
      </w:pPr>
      <w:bookmarkStart w:id="125" w:name="_Toc21667"/>
      <w:bookmarkStart w:id="126" w:name="_Toc8368"/>
      <w:r>
        <w:rPr>
          <w:rFonts w:hint="eastAsia" w:asciiTheme="minorEastAsia" w:hAnsiTheme="minorEastAsia" w:eastAsiaTheme="minorEastAsia"/>
          <w:b/>
          <w:color w:val="auto"/>
          <w:sz w:val="28"/>
          <w:szCs w:val="32"/>
          <w:highlight w:val="none"/>
        </w:rPr>
        <w:t>质疑函制作说明：</w:t>
      </w:r>
      <w:bookmarkEnd w:id="125"/>
      <w:bookmarkEnd w:id="126"/>
    </w:p>
    <w:p w14:paraId="4C105B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973A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38948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9CDB3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361DC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43FF26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3CB09746">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p w14:paraId="540754C8">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footerReference r:id="rId12"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D12AF">
    <w:pPr>
      <w:pStyle w:val="26"/>
      <w:jc w:val="both"/>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75178">
    <w:pPr>
      <w:pStyle w:val="26"/>
      <w:jc w:val="center"/>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89A92">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FE89A92">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6"/>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EE66B">
                          <w:pPr>
                            <w:pStyle w:val="2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4EE66B">
                    <w:pPr>
                      <w:pStyle w:val="2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F743">
    <w:pPr>
      <w:pStyle w:val="2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8FE08">
                          <w:pPr>
                            <w:pStyle w:val="2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A38FE08">
                    <w:pPr>
                      <w:pStyle w:val="2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4AA83">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656D5">
                          <w:pPr>
                            <w:pStyle w:val="2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90656D5">
                    <w:pPr>
                      <w:pStyle w:val="26"/>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6"/>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6094B">
                          <w:pPr>
                            <w:pStyle w:val="26"/>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86094B">
                    <w:pPr>
                      <w:pStyle w:val="26"/>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8"/>
      <w:pBdr>
        <w:bottom w:val="none" w:color="auto" w:sz="0" w:space="1"/>
      </w:pBdr>
      <w:jc w:val="both"/>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F3248">
    <w:pPr>
      <w:pStyle w:val="28"/>
      <w:pBdr>
        <w:bottom w:val="none" w:color="auto" w:sz="0" w:space="1"/>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B47D60"/>
    <w:multiLevelType w:val="singleLevel"/>
    <w:tmpl w:val="BAB47D60"/>
    <w:lvl w:ilvl="0" w:tentative="0">
      <w:start w:val="2"/>
      <w:numFmt w:val="chineseCounting"/>
      <w:suff w:val="nothing"/>
      <w:lvlText w:val="%1、"/>
      <w:lvlJc w:val="left"/>
      <w:rPr>
        <w:rFonts w:hint="eastAsia"/>
      </w:rPr>
    </w:lvl>
  </w:abstractNum>
  <w:abstractNum w:abstractNumId="1">
    <w:nsid w:val="FFEFC674"/>
    <w:multiLevelType w:val="singleLevel"/>
    <w:tmpl w:val="FFEFC674"/>
    <w:lvl w:ilvl="0" w:tentative="0">
      <w:start w:val="1"/>
      <w:numFmt w:val="decimal"/>
      <w:suff w:val="nothing"/>
      <w:lvlText w:val="（%1）"/>
      <w:lvlJc w:val="left"/>
    </w:lvl>
  </w:abstractNum>
  <w:abstractNum w:abstractNumId="2">
    <w:nsid w:val="57AFF2D6"/>
    <w:multiLevelType w:val="singleLevel"/>
    <w:tmpl w:val="57AFF2D6"/>
    <w:lvl w:ilvl="0" w:tentative="0">
      <w:start w:val="6"/>
      <w:numFmt w:val="decimal"/>
      <w:suff w:val="space"/>
      <w:lvlText w:val="%1."/>
      <w:lvlJc w:val="left"/>
    </w:lvl>
  </w:abstractNum>
  <w:abstractNum w:abstractNumId="3">
    <w:nsid w:val="7AAB2737"/>
    <w:multiLevelType w:val="singleLevel"/>
    <w:tmpl w:val="7AAB2737"/>
    <w:lvl w:ilvl="0" w:tentative="0">
      <w:start w:val="2"/>
      <w:numFmt w:val="chineseCounting"/>
      <w:suff w:val="nothing"/>
      <w:lvlText w:val="%1、"/>
      <w:lvlJc w:val="left"/>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8C5C9F"/>
    <w:rsid w:val="07C80EFB"/>
    <w:rsid w:val="08251EAA"/>
    <w:rsid w:val="08916AB3"/>
    <w:rsid w:val="09084174"/>
    <w:rsid w:val="09287EA3"/>
    <w:rsid w:val="0A903CFA"/>
    <w:rsid w:val="0A91481A"/>
    <w:rsid w:val="0CC021A1"/>
    <w:rsid w:val="0E3725F8"/>
    <w:rsid w:val="10E24D87"/>
    <w:rsid w:val="119A1F8D"/>
    <w:rsid w:val="13524CBA"/>
    <w:rsid w:val="13750D6C"/>
    <w:rsid w:val="13C347B9"/>
    <w:rsid w:val="158B3597"/>
    <w:rsid w:val="16A92918"/>
    <w:rsid w:val="17685A93"/>
    <w:rsid w:val="18735030"/>
    <w:rsid w:val="18FA2EDF"/>
    <w:rsid w:val="1A66331F"/>
    <w:rsid w:val="1AF95668"/>
    <w:rsid w:val="1CE22479"/>
    <w:rsid w:val="1E0104DD"/>
    <w:rsid w:val="1EA4741C"/>
    <w:rsid w:val="20344F28"/>
    <w:rsid w:val="206770AC"/>
    <w:rsid w:val="21D50357"/>
    <w:rsid w:val="23241284"/>
    <w:rsid w:val="233762C9"/>
    <w:rsid w:val="23530B29"/>
    <w:rsid w:val="27AC56F0"/>
    <w:rsid w:val="282F3B79"/>
    <w:rsid w:val="283C571B"/>
    <w:rsid w:val="2850063C"/>
    <w:rsid w:val="28577B15"/>
    <w:rsid w:val="291E2007"/>
    <w:rsid w:val="29CF3D8B"/>
    <w:rsid w:val="2CD32C5A"/>
    <w:rsid w:val="2D2D2C20"/>
    <w:rsid w:val="30C62676"/>
    <w:rsid w:val="30D37E45"/>
    <w:rsid w:val="31BF072E"/>
    <w:rsid w:val="32895994"/>
    <w:rsid w:val="340842AA"/>
    <w:rsid w:val="353B3065"/>
    <w:rsid w:val="35DA59F3"/>
    <w:rsid w:val="37321D6A"/>
    <w:rsid w:val="37903539"/>
    <w:rsid w:val="388A16E7"/>
    <w:rsid w:val="38F3153C"/>
    <w:rsid w:val="39F03816"/>
    <w:rsid w:val="3BA464C6"/>
    <w:rsid w:val="3CC75F2B"/>
    <w:rsid w:val="3CE61832"/>
    <w:rsid w:val="3CF814E4"/>
    <w:rsid w:val="3D874491"/>
    <w:rsid w:val="3F5D7BA0"/>
    <w:rsid w:val="41817B76"/>
    <w:rsid w:val="418A33DF"/>
    <w:rsid w:val="435C016E"/>
    <w:rsid w:val="43964717"/>
    <w:rsid w:val="43BE3353"/>
    <w:rsid w:val="443D4540"/>
    <w:rsid w:val="45553AE5"/>
    <w:rsid w:val="45974888"/>
    <w:rsid w:val="47470D57"/>
    <w:rsid w:val="47D26073"/>
    <w:rsid w:val="47E75CBA"/>
    <w:rsid w:val="4B700D53"/>
    <w:rsid w:val="4BDA12B0"/>
    <w:rsid w:val="4D317F5A"/>
    <w:rsid w:val="4D3A7115"/>
    <w:rsid w:val="4D677E3B"/>
    <w:rsid w:val="523429E2"/>
    <w:rsid w:val="52F037A1"/>
    <w:rsid w:val="536D2F2E"/>
    <w:rsid w:val="53F1220D"/>
    <w:rsid w:val="546D21DB"/>
    <w:rsid w:val="5658373F"/>
    <w:rsid w:val="566D6A2E"/>
    <w:rsid w:val="57346FE0"/>
    <w:rsid w:val="591C7D2C"/>
    <w:rsid w:val="59B361F2"/>
    <w:rsid w:val="5CAC4BB0"/>
    <w:rsid w:val="5DFC5B86"/>
    <w:rsid w:val="5E677C9B"/>
    <w:rsid w:val="5EA70DDA"/>
    <w:rsid w:val="60C63B32"/>
    <w:rsid w:val="629038C3"/>
    <w:rsid w:val="642A69CF"/>
    <w:rsid w:val="65271F32"/>
    <w:rsid w:val="66091AE9"/>
    <w:rsid w:val="68AB6E74"/>
    <w:rsid w:val="6942558D"/>
    <w:rsid w:val="6A2133F4"/>
    <w:rsid w:val="6AC87D14"/>
    <w:rsid w:val="6BE0108D"/>
    <w:rsid w:val="6C550632"/>
    <w:rsid w:val="6D263022"/>
    <w:rsid w:val="742915A0"/>
    <w:rsid w:val="76764668"/>
    <w:rsid w:val="774C5829"/>
    <w:rsid w:val="77893908"/>
    <w:rsid w:val="77E56B80"/>
    <w:rsid w:val="78A3591C"/>
    <w:rsid w:val="78E37CC7"/>
    <w:rsid w:val="790E7239"/>
    <w:rsid w:val="79FB4EC7"/>
    <w:rsid w:val="7C42088B"/>
    <w:rsid w:val="7CE63738"/>
    <w:rsid w:val="7D36737D"/>
    <w:rsid w:val="7D3D7B44"/>
    <w:rsid w:val="7E0155BF"/>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1"/>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52"/>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53"/>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54"/>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55"/>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56"/>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57"/>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58"/>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59"/>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0"/>
    <w:autoRedefine/>
    <w:unhideWhenUsed/>
    <w:qFormat/>
    <w:uiPriority w:val="0"/>
    <w:pPr>
      <w:spacing w:after="120"/>
    </w:pPr>
  </w:style>
  <w:style w:type="paragraph" w:styleId="12">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next w:val="14"/>
    <w:link w:val="79"/>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Body Text First Indent 2"/>
    <w:basedOn w:val="15"/>
    <w:next w:val="1"/>
    <w:link w:val="86"/>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5">
    <w:name w:val="Body Text Indent"/>
    <w:basedOn w:val="1"/>
    <w:link w:val="63"/>
    <w:unhideWhenUsed/>
    <w:qFormat/>
    <w:uiPriority w:val="0"/>
    <w:pPr>
      <w:ind w:left="2730" w:hanging="2730" w:hangingChars="1365"/>
      <w:jc w:val="left"/>
    </w:pPr>
    <w:rPr>
      <w:sz w:val="20"/>
      <w:lang w:bidi="he-IL"/>
    </w:rPr>
  </w:style>
  <w:style w:type="paragraph" w:styleId="16">
    <w:name w:val="annotation text"/>
    <w:basedOn w:val="1"/>
    <w:link w:val="117"/>
    <w:unhideWhenUsed/>
    <w:qFormat/>
    <w:uiPriority w:val="0"/>
    <w:pPr>
      <w:adjustRightInd/>
      <w:spacing w:line="500" w:lineRule="exact"/>
      <w:jc w:val="left"/>
    </w:pPr>
    <w:rPr>
      <w:sz w:val="20"/>
    </w:rPr>
  </w:style>
  <w:style w:type="paragraph" w:styleId="17">
    <w:name w:val="Body Text 3"/>
    <w:basedOn w:val="1"/>
    <w:link w:val="73"/>
    <w:semiHidden/>
    <w:unhideWhenUsed/>
    <w:qFormat/>
    <w:uiPriority w:val="99"/>
    <w:pPr>
      <w:spacing w:after="120"/>
    </w:pPr>
    <w:rPr>
      <w:sz w:val="16"/>
      <w:szCs w:val="16"/>
    </w:rPr>
  </w:style>
  <w:style w:type="paragraph" w:styleId="18">
    <w:name w:val="Block Text"/>
    <w:basedOn w:val="1"/>
    <w:autoRedefine/>
    <w:unhideWhenUsed/>
    <w:qFormat/>
    <w:uiPriority w:val="99"/>
    <w:pPr>
      <w:spacing w:after="120"/>
      <w:ind w:left="1440" w:leftChars="700" w:right="1440" w:rightChars="700"/>
    </w:pPr>
    <w:rPr>
      <w:szCs w:val="24"/>
    </w:rPr>
  </w:style>
  <w:style w:type="paragraph" w:styleId="19">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0">
    <w:name w:val="toc 3"/>
    <w:basedOn w:val="1"/>
    <w:next w:val="1"/>
    <w:autoRedefine/>
    <w:unhideWhenUsed/>
    <w:qFormat/>
    <w:uiPriority w:val="39"/>
    <w:pPr>
      <w:ind w:left="840" w:leftChars="400"/>
    </w:pPr>
  </w:style>
  <w:style w:type="paragraph" w:styleId="21">
    <w:name w:val="Plain Text"/>
    <w:basedOn w:val="1"/>
    <w:link w:val="118"/>
    <w:autoRedefine/>
    <w:qFormat/>
    <w:uiPriority w:val="0"/>
    <w:pPr>
      <w:textAlignment w:val="baseline"/>
    </w:pPr>
    <w:rPr>
      <w:rFonts w:ascii="宋体" w:hAnsi="Courier New"/>
    </w:rPr>
  </w:style>
  <w:style w:type="paragraph" w:styleId="22">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3">
    <w:name w:val="Date"/>
    <w:basedOn w:val="1"/>
    <w:next w:val="1"/>
    <w:link w:val="78"/>
    <w:autoRedefine/>
    <w:semiHidden/>
    <w:unhideWhenUsed/>
    <w:qFormat/>
    <w:uiPriority w:val="99"/>
    <w:pPr>
      <w:ind w:left="100" w:leftChars="2500"/>
    </w:pPr>
  </w:style>
  <w:style w:type="paragraph" w:styleId="24">
    <w:name w:val="Body Text Indent 2"/>
    <w:basedOn w:val="1"/>
    <w:link w:val="76"/>
    <w:autoRedefine/>
    <w:unhideWhenUsed/>
    <w:qFormat/>
    <w:uiPriority w:val="99"/>
    <w:pPr>
      <w:spacing w:after="120" w:line="480" w:lineRule="auto"/>
      <w:ind w:left="420" w:leftChars="200"/>
      <w:jc w:val="left"/>
    </w:pPr>
  </w:style>
  <w:style w:type="paragraph" w:styleId="25">
    <w:name w:val="Balloon Text"/>
    <w:basedOn w:val="1"/>
    <w:link w:val="62"/>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6">
    <w:name w:val="footer"/>
    <w:basedOn w:val="1"/>
    <w:link w:val="61"/>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7">
    <w:name w:val="envelope return"/>
    <w:basedOn w:val="1"/>
    <w:qFormat/>
    <w:uiPriority w:val="0"/>
    <w:pPr>
      <w:snapToGrid w:val="0"/>
    </w:pPr>
    <w:rPr>
      <w:rFonts w:ascii="Arial" w:hAnsi="Arial"/>
    </w:rPr>
  </w:style>
  <w:style w:type="paragraph" w:styleId="28">
    <w:name w:val="header"/>
    <w:basedOn w:val="1"/>
    <w:link w:val="60"/>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8"/>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Body Text 2"/>
    <w:basedOn w:val="1"/>
    <w:qFormat/>
    <w:uiPriority w:val="0"/>
    <w:pPr>
      <w:widowControl/>
      <w:jc w:val="center"/>
    </w:pPr>
    <w:rPr>
      <w:rFonts w:ascii="楷体_GB2312" w:eastAsia="楷体_GB2312"/>
      <w:sz w:val="20"/>
    </w:rPr>
  </w:style>
  <w:style w:type="paragraph" w:styleId="36">
    <w:name w:val="Message Header"/>
    <w:basedOn w:val="1"/>
    <w:next w:val="21"/>
    <w:link w:val="119"/>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2"/>
    <w:link w:val="87"/>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basedOn w:val="42"/>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9">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50">
    <w:name w:val="*正文"/>
    <w:basedOn w:val="13"/>
    <w:qFormat/>
    <w:uiPriority w:val="0"/>
    <w:pPr>
      <w:ind w:firstLine="200"/>
    </w:pPr>
    <w:rPr>
      <w:rFonts w:ascii="宋体" w:hAnsi="宋体" w:eastAsia="宋体" w:cs="Times New Roman"/>
      <w:color w:val="000000"/>
    </w:rPr>
  </w:style>
  <w:style w:type="character" w:customStyle="1" w:styleId="51">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2">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3">
    <w:name w:val="标题 3 字符"/>
    <w:basedOn w:val="42"/>
    <w:link w:val="5"/>
    <w:autoRedefine/>
    <w:qFormat/>
    <w:uiPriority w:val="0"/>
    <w:rPr>
      <w:rFonts w:ascii="Times New Roman" w:hAnsi="Times New Roman" w:eastAsia="微软雅黑" w:cs="Times New Roman"/>
      <w:b/>
      <w:bCs/>
      <w:kern w:val="0"/>
      <w:sz w:val="28"/>
      <w:szCs w:val="32"/>
    </w:rPr>
  </w:style>
  <w:style w:type="character" w:customStyle="1" w:styleId="54">
    <w:name w:val="标题 4 字符"/>
    <w:basedOn w:val="42"/>
    <w:link w:val="6"/>
    <w:autoRedefine/>
    <w:qFormat/>
    <w:uiPriority w:val="9"/>
    <w:rPr>
      <w:rFonts w:eastAsia="微软雅黑" w:asciiTheme="majorHAnsi" w:hAnsiTheme="majorHAnsi" w:cstheme="majorBidi"/>
      <w:b/>
      <w:bCs/>
      <w:kern w:val="0"/>
      <w:sz w:val="24"/>
      <w:szCs w:val="28"/>
    </w:rPr>
  </w:style>
  <w:style w:type="character" w:customStyle="1" w:styleId="55">
    <w:name w:val="标题 5 字符"/>
    <w:basedOn w:val="42"/>
    <w:link w:val="7"/>
    <w:autoRedefine/>
    <w:qFormat/>
    <w:uiPriority w:val="9"/>
    <w:rPr>
      <w:rFonts w:ascii="Times New Roman" w:hAnsi="Times New Roman" w:eastAsia="宋体" w:cs="Times New Roman"/>
      <w:b/>
      <w:bCs/>
      <w:sz w:val="28"/>
      <w:szCs w:val="28"/>
    </w:rPr>
  </w:style>
  <w:style w:type="character" w:customStyle="1" w:styleId="56">
    <w:name w:val="标题 6 字符"/>
    <w:basedOn w:val="42"/>
    <w:link w:val="8"/>
    <w:autoRedefine/>
    <w:qFormat/>
    <w:uiPriority w:val="9"/>
    <w:rPr>
      <w:rFonts w:ascii="Arial" w:hAnsi="Arial" w:eastAsia="黑体" w:cs="Times New Roman"/>
      <w:b/>
      <w:bCs/>
      <w:sz w:val="24"/>
      <w:szCs w:val="24"/>
    </w:rPr>
  </w:style>
  <w:style w:type="character" w:customStyle="1" w:styleId="57">
    <w:name w:val="标题 7 字符"/>
    <w:basedOn w:val="42"/>
    <w:link w:val="9"/>
    <w:autoRedefine/>
    <w:qFormat/>
    <w:uiPriority w:val="0"/>
    <w:rPr>
      <w:rFonts w:ascii="Times New Roman" w:hAnsi="Times New Roman" w:eastAsia="宋体" w:cs="Times New Roman"/>
      <w:b/>
      <w:bCs/>
      <w:sz w:val="24"/>
      <w:szCs w:val="24"/>
    </w:rPr>
  </w:style>
  <w:style w:type="character" w:customStyle="1" w:styleId="58">
    <w:name w:val="标题 8 字符"/>
    <w:basedOn w:val="42"/>
    <w:link w:val="10"/>
    <w:autoRedefine/>
    <w:qFormat/>
    <w:uiPriority w:val="0"/>
    <w:rPr>
      <w:rFonts w:ascii="Arial" w:hAnsi="Arial" w:eastAsia="黑体" w:cs="Times New Roman"/>
      <w:sz w:val="24"/>
      <w:szCs w:val="24"/>
    </w:rPr>
  </w:style>
  <w:style w:type="character" w:customStyle="1" w:styleId="59">
    <w:name w:val="标题 9 字符"/>
    <w:basedOn w:val="42"/>
    <w:link w:val="11"/>
    <w:autoRedefine/>
    <w:qFormat/>
    <w:uiPriority w:val="9"/>
    <w:rPr>
      <w:rFonts w:ascii="Arial" w:hAnsi="Arial" w:eastAsia="黑体" w:cs="Times New Roman"/>
      <w:szCs w:val="21"/>
    </w:rPr>
  </w:style>
  <w:style w:type="character" w:customStyle="1" w:styleId="60">
    <w:name w:val="页眉 字符"/>
    <w:basedOn w:val="42"/>
    <w:link w:val="28"/>
    <w:autoRedefine/>
    <w:qFormat/>
    <w:uiPriority w:val="0"/>
    <w:rPr>
      <w:sz w:val="18"/>
      <w:szCs w:val="18"/>
    </w:rPr>
  </w:style>
  <w:style w:type="character" w:customStyle="1" w:styleId="61">
    <w:name w:val="页脚 字符"/>
    <w:basedOn w:val="42"/>
    <w:link w:val="26"/>
    <w:autoRedefine/>
    <w:qFormat/>
    <w:uiPriority w:val="0"/>
    <w:rPr>
      <w:sz w:val="18"/>
      <w:szCs w:val="18"/>
    </w:rPr>
  </w:style>
  <w:style w:type="character" w:customStyle="1" w:styleId="62">
    <w:name w:val="批注框文本 字符"/>
    <w:basedOn w:val="42"/>
    <w:link w:val="25"/>
    <w:autoRedefine/>
    <w:semiHidden/>
    <w:qFormat/>
    <w:uiPriority w:val="99"/>
    <w:rPr>
      <w:sz w:val="18"/>
      <w:szCs w:val="18"/>
    </w:rPr>
  </w:style>
  <w:style w:type="character" w:customStyle="1" w:styleId="63">
    <w:name w:val="正文文本缩进 字符"/>
    <w:basedOn w:val="42"/>
    <w:link w:val="15"/>
    <w:autoRedefine/>
    <w:qFormat/>
    <w:uiPriority w:val="0"/>
    <w:rPr>
      <w:rFonts w:ascii="Times New Roman" w:hAnsi="Times New Roman" w:eastAsia="宋体" w:cs="Times New Roman"/>
      <w:kern w:val="0"/>
      <w:sz w:val="20"/>
      <w:szCs w:val="20"/>
      <w:lang w:bidi="he-IL"/>
    </w:rPr>
  </w:style>
  <w:style w:type="paragraph" w:styleId="64">
    <w:name w:val="List Paragraph"/>
    <w:basedOn w:val="1"/>
    <w:link w:val="65"/>
    <w:autoRedefine/>
    <w:qFormat/>
    <w:uiPriority w:val="34"/>
    <w:pPr>
      <w:snapToGrid w:val="0"/>
      <w:spacing w:line="360" w:lineRule="auto"/>
      <w:jc w:val="left"/>
    </w:pPr>
    <w:rPr>
      <w:rFonts w:eastAsia="微软雅黑"/>
      <w:b/>
      <w:sz w:val="30"/>
    </w:rPr>
  </w:style>
  <w:style w:type="character" w:customStyle="1" w:styleId="65">
    <w:name w:val="列出段落 字符"/>
    <w:link w:val="64"/>
    <w:autoRedefine/>
    <w:qFormat/>
    <w:uiPriority w:val="34"/>
    <w:rPr>
      <w:rFonts w:ascii="Times New Roman" w:hAnsi="Times New Roman" w:eastAsia="微软雅黑" w:cs="Times New Roman"/>
      <w:b/>
      <w:kern w:val="0"/>
      <w:sz w:val="30"/>
      <w:szCs w:val="20"/>
    </w:rPr>
  </w:style>
  <w:style w:type="character" w:customStyle="1" w:styleId="66">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7">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8">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9">
    <w:name w:val="Body text|1_"/>
    <w:link w:val="70"/>
    <w:autoRedefine/>
    <w:qFormat/>
    <w:uiPriority w:val="0"/>
    <w:rPr>
      <w:rFonts w:ascii="宋体" w:hAnsi="宋体" w:cs="宋体"/>
      <w:sz w:val="28"/>
      <w:szCs w:val="28"/>
      <w:lang w:val="zh-TW" w:eastAsia="zh-TW" w:bidi="zh-TW"/>
    </w:rPr>
  </w:style>
  <w:style w:type="paragraph" w:customStyle="1" w:styleId="70">
    <w:name w:val="Body text|1"/>
    <w:basedOn w:val="1"/>
    <w:link w:val="69"/>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1">
    <w:name w:val="Header or footer|1_"/>
    <w:link w:val="72"/>
    <w:autoRedefine/>
    <w:qFormat/>
    <w:uiPriority w:val="0"/>
    <w:rPr>
      <w:sz w:val="22"/>
      <w:lang w:val="zh-TW" w:eastAsia="zh-TW" w:bidi="zh-TW"/>
    </w:rPr>
  </w:style>
  <w:style w:type="paragraph" w:customStyle="1" w:styleId="72">
    <w:name w:val="Header or footer|1"/>
    <w:basedOn w:val="1"/>
    <w:link w:val="71"/>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3">
    <w:name w:val="正文文本 3 字符"/>
    <w:basedOn w:val="42"/>
    <w:link w:val="17"/>
    <w:autoRedefine/>
    <w:semiHidden/>
    <w:qFormat/>
    <w:uiPriority w:val="99"/>
    <w:rPr>
      <w:rFonts w:ascii="Times New Roman" w:hAnsi="Times New Roman" w:eastAsia="宋体" w:cs="Times New Roman"/>
      <w:kern w:val="0"/>
      <w:sz w:val="16"/>
      <w:szCs w:val="16"/>
    </w:rPr>
  </w:style>
  <w:style w:type="character" w:customStyle="1" w:styleId="74">
    <w:name w:val="fontstyle01"/>
    <w:basedOn w:val="42"/>
    <w:autoRedefine/>
    <w:qFormat/>
    <w:uiPriority w:val="0"/>
    <w:rPr>
      <w:rFonts w:hint="eastAsia" w:ascii="宋体" w:hAnsi="宋体" w:eastAsia="宋体"/>
      <w:color w:val="000000"/>
      <w:sz w:val="44"/>
      <w:szCs w:val="44"/>
    </w:rPr>
  </w:style>
  <w:style w:type="character" w:customStyle="1" w:styleId="75">
    <w:name w:val="fontstyle21"/>
    <w:basedOn w:val="42"/>
    <w:autoRedefine/>
    <w:qFormat/>
    <w:uiPriority w:val="0"/>
    <w:rPr>
      <w:rFonts w:hint="default" w:ascii="Wingdings-Regular" w:hAnsi="Wingdings-Regular"/>
      <w:color w:val="000000"/>
      <w:sz w:val="22"/>
      <w:szCs w:val="22"/>
    </w:rPr>
  </w:style>
  <w:style w:type="character" w:customStyle="1" w:styleId="76">
    <w:name w:val="正文文本缩进 2 字符"/>
    <w:basedOn w:val="42"/>
    <w:link w:val="24"/>
    <w:autoRedefine/>
    <w:qFormat/>
    <w:uiPriority w:val="99"/>
    <w:rPr>
      <w:rFonts w:ascii="Times New Roman" w:hAnsi="Times New Roman" w:eastAsia="宋体" w:cs="Times New Roman"/>
      <w:kern w:val="0"/>
      <w:szCs w:val="20"/>
    </w:rPr>
  </w:style>
  <w:style w:type="character" w:customStyle="1" w:styleId="77">
    <w:name w:val="Unresolved Mention"/>
    <w:basedOn w:val="42"/>
    <w:autoRedefine/>
    <w:semiHidden/>
    <w:unhideWhenUsed/>
    <w:qFormat/>
    <w:uiPriority w:val="99"/>
    <w:rPr>
      <w:color w:val="605E5C"/>
      <w:shd w:val="clear" w:color="auto" w:fill="E1DFDD"/>
    </w:rPr>
  </w:style>
  <w:style w:type="character" w:customStyle="1" w:styleId="78">
    <w:name w:val="日期 字符"/>
    <w:basedOn w:val="42"/>
    <w:link w:val="23"/>
    <w:autoRedefine/>
    <w:semiHidden/>
    <w:qFormat/>
    <w:uiPriority w:val="99"/>
    <w:rPr>
      <w:rFonts w:ascii="Times New Roman" w:hAnsi="Times New Roman" w:eastAsia="宋体" w:cs="Times New Roman"/>
      <w:kern w:val="0"/>
      <w:szCs w:val="20"/>
    </w:rPr>
  </w:style>
  <w:style w:type="character" w:customStyle="1" w:styleId="79">
    <w:name w:val="正文缩进 字符"/>
    <w:link w:val="13"/>
    <w:autoRedefine/>
    <w:qFormat/>
    <w:uiPriority w:val="0"/>
    <w:rPr>
      <w:rFonts w:ascii="宋体"/>
      <w:sz w:val="24"/>
    </w:rPr>
  </w:style>
  <w:style w:type="character" w:customStyle="1" w:styleId="80">
    <w:name w:val="正文文本 字符"/>
    <w:basedOn w:val="42"/>
    <w:link w:val="2"/>
    <w:autoRedefine/>
    <w:qFormat/>
    <w:uiPriority w:val="0"/>
    <w:rPr>
      <w:rFonts w:ascii="Times New Roman" w:hAnsi="Times New Roman" w:eastAsia="宋体" w:cs="Times New Roman"/>
      <w:kern w:val="0"/>
      <w:szCs w:val="20"/>
    </w:rPr>
  </w:style>
  <w:style w:type="paragraph" w:customStyle="1" w:styleId="81">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WPSOffice手动目录 1"/>
    <w:autoRedefine/>
    <w:qFormat/>
    <w:uiPriority w:val="0"/>
    <w:rPr>
      <w:rFonts w:ascii="Times New Roman" w:hAnsi="Times New Roman" w:eastAsia="宋体" w:cs="Times New Roman"/>
      <w:lang w:val="en-US" w:eastAsia="zh-CN" w:bidi="ar-SA"/>
    </w:rPr>
  </w:style>
  <w:style w:type="paragraph" w:customStyle="1" w:styleId="83">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4">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5">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6">
    <w:name w:val="正文首行缩进 2 字符"/>
    <w:basedOn w:val="63"/>
    <w:link w:val="14"/>
    <w:autoRedefine/>
    <w:qFormat/>
    <w:uiPriority w:val="0"/>
    <w:rPr>
      <w:rFonts w:ascii="Times New Roman" w:hAnsi="Times New Roman" w:eastAsia="宋体" w:cs="Times New Roman"/>
      <w:kern w:val="0"/>
      <w:sz w:val="20"/>
      <w:szCs w:val="24"/>
      <w:lang w:bidi="he-IL"/>
    </w:rPr>
  </w:style>
  <w:style w:type="character" w:customStyle="1" w:styleId="87">
    <w:name w:val="正文首行缩进 字符"/>
    <w:basedOn w:val="80"/>
    <w:link w:val="39"/>
    <w:autoRedefine/>
    <w:semiHidden/>
    <w:qFormat/>
    <w:uiPriority w:val="99"/>
    <w:rPr>
      <w:rFonts w:ascii="Times New Roman" w:hAnsi="Times New Roman" w:eastAsia="宋体" w:cs="Times New Roman"/>
      <w:kern w:val="0"/>
      <w:szCs w:val="20"/>
    </w:rPr>
  </w:style>
  <w:style w:type="paragraph" w:customStyle="1" w:styleId="88">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9">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0">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1">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3">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4">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6">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7">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8">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9">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0">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1">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2">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4">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5">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6">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7">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8">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9">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2">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5">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7">
    <w:name w:val="批注文字 字符"/>
    <w:basedOn w:val="42"/>
    <w:link w:val="16"/>
    <w:autoRedefine/>
    <w:qFormat/>
    <w:uiPriority w:val="0"/>
    <w:rPr>
      <w:rFonts w:ascii="Times New Roman" w:hAnsi="Times New Roman" w:eastAsia="宋体" w:cs="Times New Roman"/>
      <w:kern w:val="0"/>
      <w:sz w:val="20"/>
      <w:szCs w:val="20"/>
    </w:rPr>
  </w:style>
  <w:style w:type="character" w:customStyle="1" w:styleId="118">
    <w:name w:val="纯文本 字符"/>
    <w:basedOn w:val="42"/>
    <w:link w:val="21"/>
    <w:autoRedefine/>
    <w:qFormat/>
    <w:uiPriority w:val="0"/>
    <w:rPr>
      <w:rFonts w:ascii="宋体" w:hAnsi="Courier New" w:eastAsia="宋体" w:cs="Times New Roman"/>
      <w:kern w:val="0"/>
      <w:szCs w:val="20"/>
    </w:rPr>
  </w:style>
  <w:style w:type="character" w:customStyle="1" w:styleId="119">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20">
    <w:name w:val="font41"/>
    <w:basedOn w:val="42"/>
    <w:autoRedefine/>
    <w:qFormat/>
    <w:uiPriority w:val="0"/>
    <w:rPr>
      <w:rFonts w:hint="eastAsia" w:ascii="黑体" w:eastAsia="黑体" w:cs="黑体"/>
      <w:color w:val="000000"/>
      <w:sz w:val="18"/>
      <w:szCs w:val="18"/>
      <w:u w:val="none"/>
    </w:rPr>
  </w:style>
  <w:style w:type="character" w:customStyle="1" w:styleId="121">
    <w:name w:val="font31"/>
    <w:autoRedefine/>
    <w:qFormat/>
    <w:uiPriority w:val="0"/>
    <w:rPr>
      <w:rFonts w:hint="eastAsia" w:ascii="宋体" w:hAnsi="宋体" w:eastAsia="宋体" w:cs="宋体"/>
      <w:color w:val="000000"/>
      <w:sz w:val="18"/>
      <w:szCs w:val="18"/>
      <w:u w:val="none"/>
    </w:rPr>
  </w:style>
  <w:style w:type="character" w:customStyle="1" w:styleId="122">
    <w:name w:val="NormalCharacter"/>
    <w:autoRedefine/>
    <w:semiHidden/>
    <w:qFormat/>
    <w:uiPriority w:val="0"/>
    <w:rPr>
      <w:rFonts w:ascii="Calibri" w:hAnsi="Calibri" w:cs="新宋体"/>
      <w:b/>
      <w:bCs/>
      <w:kern w:val="2"/>
      <w:sz w:val="28"/>
      <w:szCs w:val="36"/>
      <w:lang w:val="en-US" w:eastAsia="zh-CN" w:bidi="ar-SA"/>
    </w:rPr>
  </w:style>
  <w:style w:type="character" w:customStyle="1" w:styleId="123">
    <w:name w:val="font11"/>
    <w:basedOn w:val="42"/>
    <w:autoRedefine/>
    <w:qFormat/>
    <w:uiPriority w:val="0"/>
    <w:rPr>
      <w:rFonts w:hint="eastAsia" w:ascii="宋体" w:hAnsi="宋体" w:eastAsia="宋体"/>
      <w:b/>
      <w:color w:val="000000"/>
      <w:kern w:val="2"/>
      <w:sz w:val="18"/>
      <w:u w:val="none"/>
    </w:rPr>
  </w:style>
  <w:style w:type="paragraph" w:customStyle="1" w:styleId="124">
    <w:name w:val="模板普通正文"/>
    <w:basedOn w:val="15"/>
    <w:autoRedefine/>
    <w:qFormat/>
    <w:uiPriority w:val="0"/>
    <w:pPr>
      <w:adjustRightInd/>
      <w:spacing w:beforeLines="50" w:after="10" w:line="240" w:lineRule="auto"/>
      <w:ind w:left="0" w:firstLine="490" w:firstLineChars="175"/>
    </w:pPr>
    <w:rPr>
      <w:kern w:val="2"/>
      <w:lang w:bidi="ar-SA"/>
    </w:rPr>
  </w:style>
  <w:style w:type="paragraph" w:customStyle="1" w:styleId="125">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6">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7">
    <w:name w:val="无间隔1"/>
    <w:autoRedefine/>
    <w:qFormat/>
    <w:uiPriority w:val="1"/>
    <w:rPr>
      <w:rFonts w:ascii="Calibri" w:hAnsi="Calibri" w:eastAsia="宋体" w:cs="黑体"/>
      <w:sz w:val="22"/>
      <w:szCs w:val="22"/>
      <w:lang w:val="en-US" w:eastAsia="zh-CN" w:bidi="ar-SA"/>
    </w:rPr>
  </w:style>
  <w:style w:type="character" w:customStyle="1" w:styleId="128">
    <w:name w:val="正文文本缩进 3 字符"/>
    <w:basedOn w:val="42"/>
    <w:link w:val="32"/>
    <w:autoRedefine/>
    <w:semiHidden/>
    <w:qFormat/>
    <w:uiPriority w:val="99"/>
    <w:rPr>
      <w:rFonts w:ascii="Times New Roman" w:hAnsi="Times New Roman" w:eastAsia="宋体" w:cs="Times New Roman"/>
      <w:kern w:val="0"/>
      <w:sz w:val="16"/>
      <w:szCs w:val="16"/>
    </w:rPr>
  </w:style>
  <w:style w:type="paragraph" w:customStyle="1" w:styleId="129">
    <w:name w:val="文本"/>
    <w:basedOn w:val="1"/>
    <w:link w:val="130"/>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0">
    <w:name w:val="文本 Char"/>
    <w:link w:val="129"/>
    <w:autoRedefine/>
    <w:qFormat/>
    <w:uiPriority w:val="0"/>
    <w:rPr>
      <w:rFonts w:ascii="仿宋_GB2312" w:hAnsi="Times New Roman" w:eastAsia="仿宋_GB2312" w:cs="Times New Roman"/>
      <w:sz w:val="24"/>
      <w:szCs w:val="24"/>
    </w:rPr>
  </w:style>
  <w:style w:type="paragraph" w:customStyle="1" w:styleId="131">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2">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3">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4">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5">
    <w:name w:val="纯文本1"/>
    <w:basedOn w:val="1"/>
    <w:autoRedefine/>
    <w:qFormat/>
    <w:uiPriority w:val="0"/>
    <w:pPr>
      <w:adjustRightInd w:val="0"/>
      <w:textAlignment w:val="baseline"/>
    </w:pPr>
    <w:rPr>
      <w:rFonts w:ascii="宋体" w:hAnsi="宋体" w:eastAsia="楷体_GB2312" w:cs="宋体"/>
      <w:sz w:val="28"/>
    </w:rPr>
  </w:style>
  <w:style w:type="paragraph" w:customStyle="1" w:styleId="136">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7">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38">
    <w:name w:val="列出段落1"/>
    <w:basedOn w:val="1"/>
    <w:autoRedefine/>
    <w:qFormat/>
    <w:uiPriority w:val="0"/>
    <w:pPr>
      <w:ind w:firstLine="420" w:firstLineChars="200"/>
    </w:pPr>
    <w:rPr>
      <w:szCs w:val="21"/>
    </w:rPr>
  </w:style>
  <w:style w:type="paragraph" w:customStyle="1" w:styleId="139">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0">
    <w:name w:val="Table Text"/>
    <w:basedOn w:val="1"/>
    <w:autoRedefine/>
    <w:semiHidden/>
    <w:qFormat/>
    <w:uiPriority w:val="0"/>
    <w:rPr>
      <w:rFonts w:ascii="Arial" w:hAnsi="Arial" w:eastAsia="Arial" w:cs="Arial"/>
      <w:sz w:val="21"/>
      <w:szCs w:val="21"/>
      <w:lang w:val="en-US" w:eastAsia="en-US" w:bidi="ar-SA"/>
    </w:rPr>
  </w:style>
  <w:style w:type="table" w:customStyle="1" w:styleId="14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48</Pages>
  <Words>16117</Words>
  <Characters>16871</Characters>
  <Lines>29</Lines>
  <Paragraphs>8</Paragraphs>
  <TotalTime>2</TotalTime>
  <ScaleCrop>false</ScaleCrop>
  <LinksUpToDate>false</LinksUpToDate>
  <CharactersWithSpaces>17177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2026-10-19T08:54:57Z</cp:lastPrinted>
  <dcterms:modified xsi:type="dcterms:W3CDTF">2026-10-19T08:55:16Z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967F7D9744DD4FB5A3A654DD25B778F8_13</vt:lpwstr>
  </property>
  <property fmtid="{D5CDD505-2E9C-101B-9397-08002B2CF9AE}" pid="4" name="KSOTemplateDocerSaveRecord">
    <vt:lpwstr>eyJoZGlkIjoiNDFjNjc4MzM2NGNhOTY1ZjQ2ZmNmMWE4MmVlYzQxYjkiLCJ1c2VySWQiOiIzMDI1ODcyMjYifQ==</vt:lpwstr>
  </property>
</Properties>
</file>