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91E27">
      <w:pPr>
        <w:spacing w:line="360" w:lineRule="auto"/>
        <w:ind w:firstLine="442" w:firstLineChars="100"/>
        <w:jc w:val="center"/>
        <w:rPr>
          <w:rFonts w:hint="eastAsia" w:ascii="宋体" w:hAnsi="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桐城师范高等专科学校14-15#学生宿舍</w:t>
      </w:r>
    </w:p>
    <w:p w14:paraId="655F5ACD">
      <w:pPr>
        <w:spacing w:line="360" w:lineRule="auto"/>
        <w:ind w:firstLine="442" w:firstLineChars="100"/>
        <w:jc w:val="center"/>
        <w:rPr>
          <w:rFonts w:hint="eastAsia" w:ascii="宋体" w:hAnsi="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1、2楼等区域金刚网防盗窗及室外晾晒架</w:t>
      </w:r>
    </w:p>
    <w:p w14:paraId="51DBBFE4">
      <w:pPr>
        <w:spacing w:line="360" w:lineRule="auto"/>
        <w:ind w:firstLine="442" w:firstLineChars="100"/>
        <w:jc w:val="center"/>
        <w:rPr>
          <w:rFonts w:hint="default" w:ascii="宋体" w:hAnsi="宋体" w:eastAsia="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采购及安装项目</w:t>
      </w:r>
    </w:p>
    <w:p w14:paraId="012F5E32">
      <w:pPr>
        <w:pStyle w:val="58"/>
        <w:rPr>
          <w:rFonts w:hint="eastAsia"/>
          <w:color w:val="auto"/>
          <w:highlight w:val="none"/>
        </w:rPr>
      </w:pPr>
    </w:p>
    <w:p w14:paraId="16BD5BFA">
      <w:pPr>
        <w:spacing w:line="480" w:lineRule="exact"/>
        <w:rPr>
          <w:rFonts w:ascii="宋体"/>
          <w:color w:val="auto"/>
          <w:sz w:val="44"/>
          <w:szCs w:val="44"/>
          <w:highlight w:val="none"/>
        </w:rPr>
      </w:pPr>
    </w:p>
    <w:p w14:paraId="2E845CB9">
      <w:pPr>
        <w:pStyle w:val="58"/>
        <w:jc w:val="center"/>
        <w:rPr>
          <w:rFonts w:hint="default" w:eastAsia="宋体"/>
          <w:b/>
          <w:bCs/>
          <w:color w:val="auto"/>
          <w:sz w:val="72"/>
          <w:szCs w:val="72"/>
          <w:highlight w:val="none"/>
          <w:lang w:val="en-US" w:eastAsia="zh-CN"/>
        </w:rPr>
      </w:pPr>
      <w:r>
        <w:rPr>
          <w:rFonts w:hint="eastAsia" w:ascii="宋体"/>
          <w:b/>
          <w:bCs/>
          <w:color w:val="auto"/>
          <w:sz w:val="72"/>
          <w:szCs w:val="72"/>
          <w:highlight w:val="none"/>
          <w:lang w:val="en-US" w:eastAsia="zh-CN"/>
        </w:rPr>
        <w:t>竞争性谈判文件</w:t>
      </w:r>
    </w:p>
    <w:p w14:paraId="0A0C4D98">
      <w:pPr>
        <w:spacing w:line="480" w:lineRule="exact"/>
        <w:rPr>
          <w:rFonts w:ascii="仿宋_GB2312" w:hAnsi="宋体" w:eastAsia="仿宋_GB2312"/>
          <w:b/>
          <w:color w:val="auto"/>
          <w:sz w:val="44"/>
          <w:szCs w:val="44"/>
          <w:highlight w:val="none"/>
        </w:rPr>
      </w:pPr>
    </w:p>
    <w:p w14:paraId="573E3840">
      <w:pPr>
        <w:spacing w:line="480" w:lineRule="exact"/>
        <w:rPr>
          <w:rFonts w:ascii="宋体"/>
          <w:color w:val="auto"/>
          <w:sz w:val="144"/>
          <w:szCs w:val="144"/>
          <w:highlight w:val="none"/>
        </w:rPr>
      </w:pPr>
    </w:p>
    <w:p w14:paraId="3412A2E2">
      <w:pPr>
        <w:spacing w:line="480" w:lineRule="exact"/>
        <w:jc w:val="center"/>
        <w:rPr>
          <w:rFonts w:hint="eastAsia" w:ascii="宋体" w:hAnsi="宋体" w:cs="宋体"/>
          <w:b/>
          <w:bCs/>
          <w:color w:val="auto"/>
          <w:sz w:val="28"/>
          <w:szCs w:val="28"/>
          <w:highlight w:val="none"/>
        </w:rPr>
      </w:pPr>
    </w:p>
    <w:p w14:paraId="3A64AE3D">
      <w:pPr>
        <w:spacing w:line="480" w:lineRule="exact"/>
        <w:jc w:val="center"/>
        <w:rPr>
          <w:rFonts w:hint="default"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rPr>
        <w:t>项目编号：TCSZCG(202</w:t>
      </w:r>
      <w:r>
        <w:rPr>
          <w:rFonts w:hint="eastAsia" w:ascii="宋体" w:hAnsi="宋体" w:cs="宋体"/>
          <w:b/>
          <w:bCs/>
          <w:color w:val="auto"/>
          <w:sz w:val="28"/>
          <w:szCs w:val="28"/>
          <w:highlight w:val="none"/>
          <w:lang w:val="en-US" w:eastAsia="zh-CN"/>
        </w:rPr>
        <w:t>6</w:t>
      </w:r>
      <w:r>
        <w:rPr>
          <w:rFonts w:hint="eastAsia" w:ascii="宋体" w:hAnsi="宋体" w:cs="宋体"/>
          <w:b/>
          <w:bCs/>
          <w:color w:val="auto"/>
          <w:sz w:val="28"/>
          <w:szCs w:val="28"/>
          <w:highlight w:val="none"/>
        </w:rPr>
        <w:t xml:space="preserve">) </w:t>
      </w:r>
      <w:r>
        <w:rPr>
          <w:rFonts w:hint="eastAsia" w:ascii="宋体" w:hAnsi="宋体" w:cs="宋体"/>
          <w:b/>
          <w:bCs/>
          <w:color w:val="auto"/>
          <w:sz w:val="28"/>
          <w:szCs w:val="28"/>
          <w:highlight w:val="none"/>
          <w:lang w:val="en-US" w:eastAsia="zh-CN"/>
        </w:rPr>
        <w:t xml:space="preserve">008 </w:t>
      </w:r>
      <w:r>
        <w:rPr>
          <w:rFonts w:hint="eastAsia" w:ascii="宋体" w:hAnsi="宋体" w:cs="宋体"/>
          <w:b/>
          <w:bCs/>
          <w:color w:val="auto"/>
          <w:sz w:val="28"/>
          <w:szCs w:val="28"/>
          <w:highlight w:val="none"/>
        </w:rPr>
        <w:t>号</w:t>
      </w:r>
    </w:p>
    <w:p w14:paraId="60801A24">
      <w:pPr>
        <w:spacing w:line="480" w:lineRule="exact"/>
        <w:jc w:val="center"/>
        <w:rPr>
          <w:rFonts w:ascii="宋体" w:hAnsi="宋体" w:cs="仿宋_GB2312"/>
          <w:b/>
          <w:bCs/>
          <w:color w:val="auto"/>
          <w:sz w:val="28"/>
          <w:szCs w:val="28"/>
          <w:highlight w:val="none"/>
        </w:rPr>
      </w:pPr>
    </w:p>
    <w:p w14:paraId="2B5EF3EB">
      <w:pPr>
        <w:spacing w:line="480" w:lineRule="exact"/>
        <w:rPr>
          <w:rFonts w:ascii="宋体" w:hAnsi="宋体" w:cs="仿宋_GB2312"/>
          <w:color w:val="auto"/>
          <w:szCs w:val="21"/>
          <w:highlight w:val="none"/>
        </w:rPr>
      </w:pPr>
    </w:p>
    <w:p w14:paraId="3A46A1F9">
      <w:pPr>
        <w:spacing w:line="480" w:lineRule="exact"/>
        <w:rPr>
          <w:rFonts w:ascii="宋体" w:hAnsi="宋体" w:cs="仿宋_GB2312"/>
          <w:color w:val="auto"/>
          <w:szCs w:val="21"/>
          <w:highlight w:val="none"/>
        </w:rPr>
      </w:pPr>
    </w:p>
    <w:p w14:paraId="088D46C3">
      <w:pPr>
        <w:spacing w:line="480" w:lineRule="exact"/>
        <w:rPr>
          <w:rFonts w:ascii="宋体" w:hAnsi="宋体" w:cs="仿宋_GB2312"/>
          <w:color w:val="auto"/>
          <w:szCs w:val="21"/>
          <w:highlight w:val="none"/>
        </w:rPr>
      </w:pPr>
    </w:p>
    <w:p w14:paraId="565F3C01">
      <w:pPr>
        <w:spacing w:line="360" w:lineRule="auto"/>
        <w:ind w:firstLine="596" w:firstLineChars="198"/>
        <w:rPr>
          <w:rFonts w:ascii="宋体" w:hAnsi="宋体" w:cs="仿宋_GB2312"/>
          <w:b/>
          <w:color w:val="auto"/>
          <w:szCs w:val="21"/>
          <w:highlight w:val="none"/>
        </w:rPr>
      </w:pPr>
      <w:r>
        <w:rPr>
          <w:rFonts w:hint="eastAsia" w:ascii="宋体" w:hAnsi="宋体" w:cs="仿宋_GB2312"/>
          <w:b/>
          <w:color w:val="auto"/>
          <w:sz w:val="30"/>
          <w:szCs w:val="30"/>
          <w:highlight w:val="none"/>
        </w:rPr>
        <w:t>采</w:t>
      </w:r>
      <w:r>
        <w:rPr>
          <w:rFonts w:ascii="宋体" w:hAnsi="宋体" w:cs="仿宋_GB2312"/>
          <w:b/>
          <w:color w:val="auto"/>
          <w:sz w:val="30"/>
          <w:szCs w:val="30"/>
          <w:highlight w:val="none"/>
        </w:rPr>
        <w:t xml:space="preserve">   </w:t>
      </w:r>
      <w:r>
        <w:rPr>
          <w:rFonts w:hint="eastAsia" w:ascii="宋体" w:hAnsi="宋体" w:cs="仿宋_GB2312"/>
          <w:b/>
          <w:color w:val="auto"/>
          <w:sz w:val="30"/>
          <w:szCs w:val="30"/>
          <w:highlight w:val="none"/>
        </w:rPr>
        <w:t>购</w:t>
      </w:r>
      <w:r>
        <w:rPr>
          <w:rFonts w:ascii="宋体" w:hAnsi="宋体" w:cs="仿宋_GB2312"/>
          <w:b/>
          <w:color w:val="auto"/>
          <w:sz w:val="30"/>
          <w:szCs w:val="30"/>
          <w:highlight w:val="none"/>
        </w:rPr>
        <w:t xml:space="preserve">   </w:t>
      </w:r>
      <w:r>
        <w:rPr>
          <w:rFonts w:hint="eastAsia" w:ascii="宋体" w:hAnsi="宋体" w:cs="仿宋_GB2312"/>
          <w:b/>
          <w:color w:val="auto"/>
          <w:sz w:val="30"/>
          <w:szCs w:val="30"/>
          <w:highlight w:val="none"/>
        </w:rPr>
        <w:t>人：</w:t>
      </w:r>
      <w:r>
        <w:rPr>
          <w:rFonts w:ascii="宋体" w:hAnsi="宋体" w:cs="仿宋_GB2312"/>
          <w:b/>
          <w:color w:val="auto"/>
          <w:sz w:val="30"/>
          <w:szCs w:val="30"/>
          <w:highlight w:val="none"/>
          <w:u w:val="single"/>
        </w:rPr>
        <w:t xml:space="preserve">      </w:t>
      </w:r>
      <w:r>
        <w:rPr>
          <w:rFonts w:hint="eastAsia" w:ascii="宋体" w:hAnsi="宋体" w:cs="仿宋_GB2312"/>
          <w:b/>
          <w:color w:val="auto"/>
          <w:sz w:val="30"/>
          <w:szCs w:val="30"/>
          <w:highlight w:val="none"/>
          <w:u w:val="single"/>
          <w:lang w:val="en-US" w:eastAsia="zh-CN"/>
        </w:rPr>
        <w:t xml:space="preserve">  </w:t>
      </w:r>
      <w:r>
        <w:rPr>
          <w:rFonts w:hint="eastAsia" w:ascii="仿宋" w:hAnsi="仿宋" w:eastAsia="仿宋"/>
          <w:b/>
          <w:color w:val="auto"/>
          <w:spacing w:val="20"/>
          <w:sz w:val="30"/>
          <w:szCs w:val="30"/>
          <w:highlight w:val="none"/>
          <w:u w:val="single"/>
          <w:lang w:val="en-US" w:eastAsia="zh-CN"/>
        </w:rPr>
        <w:t>桐城师范高等专科学校</w:t>
      </w:r>
      <w:r>
        <w:rPr>
          <w:rFonts w:hint="eastAsia" w:ascii="仿宋" w:hAnsi="仿宋" w:eastAsia="仿宋"/>
          <w:b/>
          <w:color w:val="auto"/>
          <w:spacing w:val="20"/>
          <w:sz w:val="30"/>
          <w:szCs w:val="30"/>
          <w:highlight w:val="none"/>
          <w:u w:val="single"/>
        </w:rPr>
        <w:t xml:space="preserve"> </w:t>
      </w:r>
      <w:r>
        <w:rPr>
          <w:rFonts w:ascii="宋体" w:hAnsi="宋体" w:cs="仿宋_GB2312"/>
          <w:b/>
          <w:color w:val="auto"/>
          <w:spacing w:val="20"/>
          <w:sz w:val="30"/>
          <w:szCs w:val="30"/>
          <w:highlight w:val="none"/>
          <w:u w:val="single"/>
        </w:rPr>
        <w:t xml:space="preserve">    </w:t>
      </w:r>
      <w:r>
        <w:rPr>
          <w:rFonts w:ascii="宋体" w:hAnsi="宋体" w:cs="仿宋_GB2312"/>
          <w:b/>
          <w:color w:val="auto"/>
          <w:sz w:val="30"/>
          <w:szCs w:val="30"/>
          <w:highlight w:val="none"/>
          <w:u w:val="single"/>
        </w:rPr>
        <w:t xml:space="preserve">  </w:t>
      </w:r>
    </w:p>
    <w:p w14:paraId="136F318C">
      <w:pPr>
        <w:spacing w:line="360" w:lineRule="auto"/>
        <w:rPr>
          <w:rFonts w:ascii="宋体" w:hAnsi="宋体" w:cs="仿宋_GB2312"/>
          <w:b/>
          <w:color w:val="auto"/>
          <w:sz w:val="24"/>
          <w:highlight w:val="none"/>
        </w:rPr>
      </w:pPr>
    </w:p>
    <w:p w14:paraId="2CB90923">
      <w:pPr>
        <w:spacing w:line="360" w:lineRule="auto"/>
        <w:rPr>
          <w:rFonts w:hint="eastAsia" w:ascii="仿宋" w:hAnsi="仿宋" w:eastAsia="仿宋" w:cs="仿宋"/>
          <w:b/>
          <w:color w:val="auto"/>
          <w:sz w:val="24"/>
          <w:highlight w:val="none"/>
        </w:rPr>
      </w:pPr>
    </w:p>
    <w:p w14:paraId="7CADB34F">
      <w:pPr>
        <w:spacing w:line="360" w:lineRule="auto"/>
        <w:ind w:firstLine="596" w:firstLineChars="198"/>
        <w:rPr>
          <w:rFonts w:hint="eastAsia" w:ascii="仿宋" w:hAnsi="仿宋" w:eastAsia="仿宋" w:cs="仿宋"/>
          <w:b/>
          <w:color w:val="auto"/>
          <w:szCs w:val="21"/>
          <w:highlight w:val="none"/>
        </w:rPr>
      </w:pPr>
      <w:r>
        <w:rPr>
          <w:rFonts w:hint="eastAsia" w:ascii="仿宋" w:hAnsi="仿宋" w:eastAsia="仿宋" w:cs="仿宋"/>
          <w:b/>
          <w:color w:val="auto"/>
          <w:sz w:val="30"/>
          <w:szCs w:val="30"/>
          <w:highlight w:val="none"/>
        </w:rPr>
        <w:t>采购</w:t>
      </w:r>
      <w:r>
        <w:rPr>
          <w:rFonts w:hint="eastAsia" w:ascii="仿宋" w:hAnsi="仿宋" w:eastAsia="仿宋" w:cs="仿宋"/>
          <w:b/>
          <w:color w:val="auto"/>
          <w:sz w:val="30"/>
          <w:szCs w:val="30"/>
          <w:highlight w:val="none"/>
          <w:lang w:val="en-US" w:eastAsia="zh-CN"/>
        </w:rPr>
        <w:t>代理</w:t>
      </w:r>
      <w:r>
        <w:rPr>
          <w:rFonts w:hint="eastAsia" w:ascii="仿宋" w:hAnsi="仿宋" w:eastAsia="仿宋" w:cs="仿宋"/>
          <w:b/>
          <w:color w:val="auto"/>
          <w:sz w:val="30"/>
          <w:szCs w:val="30"/>
          <w:highlight w:val="none"/>
        </w:rPr>
        <w:t>机构：</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u w:val="single"/>
          <w:lang w:val="en-US" w:eastAsia="zh-CN"/>
        </w:rPr>
        <w:t xml:space="preserve">      宏骏工程管理有限公司      </w:t>
      </w:r>
      <w:r>
        <w:rPr>
          <w:rFonts w:hint="eastAsia" w:ascii="仿宋" w:hAnsi="仿宋" w:eastAsia="仿宋" w:cs="仿宋"/>
          <w:b/>
          <w:color w:val="auto"/>
          <w:spacing w:val="20"/>
          <w:sz w:val="30"/>
          <w:szCs w:val="30"/>
          <w:highlight w:val="none"/>
          <w:u w:val="single"/>
          <w:lang w:val="en-US" w:eastAsia="zh-CN"/>
        </w:rPr>
        <w:t xml:space="preserve">  </w:t>
      </w:r>
      <w:r>
        <w:rPr>
          <w:rFonts w:hint="eastAsia" w:ascii="仿宋" w:hAnsi="仿宋" w:eastAsia="仿宋" w:cs="仿宋"/>
          <w:b/>
          <w:color w:val="auto"/>
          <w:spacing w:val="20"/>
          <w:sz w:val="30"/>
          <w:szCs w:val="30"/>
          <w:highlight w:val="none"/>
          <w:u w:val="single"/>
        </w:rPr>
        <w:t xml:space="preserve"> </w:t>
      </w:r>
    </w:p>
    <w:p w14:paraId="22CD2A1D">
      <w:pPr>
        <w:spacing w:line="360" w:lineRule="auto"/>
        <w:rPr>
          <w:rFonts w:ascii="宋体" w:hAnsi="宋体" w:cs="仿宋_GB2312"/>
          <w:b/>
          <w:color w:val="auto"/>
          <w:sz w:val="24"/>
          <w:highlight w:val="none"/>
          <w:u w:val="single"/>
        </w:rPr>
      </w:pPr>
    </w:p>
    <w:p w14:paraId="3F06ABF7">
      <w:pPr>
        <w:spacing w:line="360" w:lineRule="auto"/>
        <w:rPr>
          <w:rFonts w:ascii="宋体" w:hAnsi="宋体" w:cs="仿宋_GB2312"/>
          <w:color w:val="auto"/>
          <w:sz w:val="24"/>
          <w:highlight w:val="none"/>
        </w:rPr>
      </w:pPr>
    </w:p>
    <w:p w14:paraId="4B044ED0">
      <w:pPr>
        <w:spacing w:line="360" w:lineRule="auto"/>
        <w:rPr>
          <w:rFonts w:ascii="宋体" w:hAnsi="宋体" w:cs="仿宋_GB2312"/>
          <w:b/>
          <w:color w:val="auto"/>
          <w:sz w:val="24"/>
          <w:highlight w:val="none"/>
          <w:u w:val="single"/>
        </w:rPr>
      </w:pPr>
    </w:p>
    <w:p w14:paraId="397A0260">
      <w:pPr>
        <w:spacing w:line="480" w:lineRule="exact"/>
        <w:rPr>
          <w:rFonts w:ascii="宋体" w:hAnsi="宋体" w:cs="仿宋_GB2312"/>
          <w:color w:val="auto"/>
          <w:szCs w:val="21"/>
          <w:highlight w:val="none"/>
        </w:rPr>
      </w:pPr>
    </w:p>
    <w:p w14:paraId="395EFA32">
      <w:pPr>
        <w:spacing w:line="480" w:lineRule="exact"/>
        <w:rPr>
          <w:rFonts w:ascii="宋体" w:hAnsi="宋体" w:cs="仿宋_GB2312"/>
          <w:color w:val="auto"/>
          <w:szCs w:val="21"/>
          <w:highlight w:val="none"/>
        </w:rPr>
      </w:pPr>
    </w:p>
    <w:p w14:paraId="42D3256F">
      <w:pPr>
        <w:spacing w:line="480" w:lineRule="exact"/>
        <w:jc w:val="center"/>
        <w:rPr>
          <w:rFonts w:hint="eastAsia" w:ascii="黑体" w:hAnsi="黑体" w:eastAsia="黑体" w:cs="宋体"/>
          <w:b/>
          <w:color w:val="auto"/>
          <w:kern w:val="0"/>
          <w:sz w:val="32"/>
          <w:szCs w:val="32"/>
          <w:highlight w:val="none"/>
        </w:rPr>
      </w:pPr>
      <w:r>
        <w:rPr>
          <w:rFonts w:hint="eastAsia" w:ascii="宋体" w:hAnsi="宋体" w:cs="仿宋_GB2312"/>
          <w:color w:val="auto"/>
          <w:sz w:val="32"/>
          <w:szCs w:val="32"/>
          <w:highlight w:val="none"/>
        </w:rPr>
        <w:t>日期：</w:t>
      </w:r>
      <w:r>
        <w:rPr>
          <w:rFonts w:hint="eastAsia" w:ascii="宋体" w:hAnsi="宋体" w:cs="仿宋_GB2312"/>
          <w:color w:val="auto"/>
          <w:sz w:val="32"/>
          <w:szCs w:val="32"/>
          <w:highlight w:val="none"/>
          <w:lang w:val="en-US" w:eastAsia="zh-CN"/>
        </w:rPr>
        <w:t xml:space="preserve"> 2026  </w:t>
      </w:r>
      <w:r>
        <w:rPr>
          <w:rFonts w:hint="eastAsia" w:ascii="宋体" w:hAnsi="宋体" w:cs="仿宋_GB2312"/>
          <w:color w:val="auto"/>
          <w:sz w:val="32"/>
          <w:szCs w:val="32"/>
          <w:highlight w:val="none"/>
        </w:rPr>
        <w:t>年</w:t>
      </w:r>
      <w:r>
        <w:rPr>
          <w:rFonts w:hint="eastAsia" w:ascii="宋体" w:hAnsi="宋体" w:cs="仿宋_GB2312"/>
          <w:color w:val="auto"/>
          <w:sz w:val="32"/>
          <w:szCs w:val="32"/>
          <w:highlight w:val="none"/>
          <w:lang w:val="en-US" w:eastAsia="zh-CN"/>
        </w:rPr>
        <w:t xml:space="preserve">  7 </w:t>
      </w:r>
      <w:r>
        <w:rPr>
          <w:rFonts w:hint="eastAsia" w:ascii="宋体" w:hAnsi="宋体" w:cs="仿宋_GB2312"/>
          <w:color w:val="auto"/>
          <w:sz w:val="32"/>
          <w:szCs w:val="32"/>
          <w:highlight w:val="none"/>
        </w:rPr>
        <w:t>月</w:t>
      </w:r>
    </w:p>
    <w:p w14:paraId="0C2CB5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宋体"/>
          <w:b/>
          <w:color w:val="auto"/>
          <w:kern w:val="0"/>
          <w:sz w:val="32"/>
          <w:szCs w:val="32"/>
          <w:highlight w:val="none"/>
        </w:rPr>
        <w:sectPr>
          <w:headerReference r:id="rId5" w:type="default"/>
          <w:footerReference r:id="rId6" w:type="default"/>
          <w:pgSz w:w="11906" w:h="16838"/>
          <w:pgMar w:top="1418" w:right="1418" w:bottom="1418" w:left="1418" w:header="851" w:footer="680" w:gutter="0"/>
          <w:pgBorders>
            <w:top w:val="none" w:sz="0" w:space="0"/>
            <w:left w:val="none" w:sz="0" w:space="0"/>
            <w:bottom w:val="none" w:sz="0" w:space="0"/>
            <w:right w:val="none" w:sz="0" w:space="0"/>
          </w:pgBorders>
          <w:pgNumType w:fmt="decimal" w:start="1"/>
          <w:cols w:space="720" w:num="1"/>
          <w:docGrid w:linePitch="290" w:charSpace="0"/>
        </w:sectPr>
      </w:pPr>
    </w:p>
    <w:p w14:paraId="0910BE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kern w:val="0"/>
          <w:sz w:val="36"/>
          <w:szCs w:val="36"/>
          <w:highlight w:val="none"/>
        </w:rPr>
      </w:pPr>
      <w:r>
        <w:rPr>
          <w:rFonts w:hint="eastAsia" w:ascii="宋体" w:hAnsi="宋体" w:eastAsia="宋体" w:cs="宋体"/>
          <w:b/>
          <w:bCs w:val="0"/>
          <w:color w:val="auto"/>
          <w:kern w:val="0"/>
          <w:sz w:val="36"/>
          <w:szCs w:val="36"/>
          <w:highlight w:val="none"/>
        </w:rPr>
        <w:t>重  要  提  醒</w:t>
      </w:r>
    </w:p>
    <w:p w14:paraId="0CD0EF50">
      <w:pPr>
        <w:pStyle w:val="56"/>
      </w:pPr>
    </w:p>
    <w:p w14:paraId="410A2A1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一、请各市场主体依法参与公共资源交易活动，如存在以下情形的，公共资源交易监管部门将其作为扫黑除恶专项斗争的打击重点予以处理。</w:t>
      </w:r>
    </w:p>
    <w:p w14:paraId="51761965">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1.组织、领导、实施恶意竞标、围标、串标、虚假</w:t>
      </w:r>
      <w:r>
        <w:rPr>
          <w:rFonts w:hint="eastAsia" w:ascii="宋体" w:hAnsi="宋体" w:cs="宋体"/>
          <w:b/>
          <w:color w:val="auto"/>
          <w:kern w:val="0"/>
          <w:sz w:val="24"/>
          <w:highlight w:val="none"/>
          <w:lang w:val="en-US" w:eastAsia="zh-CN"/>
        </w:rPr>
        <w:t>应标</w:t>
      </w:r>
      <w:r>
        <w:rPr>
          <w:rFonts w:hint="eastAsia" w:ascii="宋体" w:hAnsi="宋体" w:cs="宋体"/>
          <w:b/>
          <w:color w:val="auto"/>
          <w:kern w:val="0"/>
          <w:sz w:val="24"/>
          <w:highlight w:val="none"/>
        </w:rPr>
        <w:t xml:space="preserve">、挂靠、出让资质等违法活动。 </w:t>
      </w:r>
    </w:p>
    <w:p w14:paraId="1A19696E">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2.以暴力、威胁、利诱等手段强迫他人参与或者退出</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、拍卖以及强迫他人</w:t>
      </w:r>
      <w:r>
        <w:rPr>
          <w:rFonts w:hint="eastAsia" w:ascii="宋体" w:hAnsi="宋体" w:cs="宋体"/>
          <w:b/>
          <w:color w:val="auto"/>
          <w:kern w:val="0"/>
          <w:sz w:val="24"/>
          <w:highlight w:val="none"/>
          <w:lang w:val="en-US" w:eastAsia="zh-CN"/>
        </w:rPr>
        <w:t>成交</w:t>
      </w:r>
      <w:r>
        <w:rPr>
          <w:rFonts w:hint="eastAsia" w:ascii="宋体" w:hAnsi="宋体" w:cs="宋体"/>
          <w:b/>
          <w:color w:val="auto"/>
          <w:kern w:val="0"/>
          <w:sz w:val="24"/>
          <w:highlight w:val="none"/>
        </w:rPr>
        <w:t>后放弃</w:t>
      </w:r>
      <w:r>
        <w:rPr>
          <w:rFonts w:hint="eastAsia" w:ascii="宋体" w:hAnsi="宋体" w:cs="宋体"/>
          <w:b/>
          <w:color w:val="auto"/>
          <w:kern w:val="0"/>
          <w:sz w:val="24"/>
          <w:highlight w:val="none"/>
          <w:lang w:val="en-US" w:eastAsia="zh-CN"/>
        </w:rPr>
        <w:t>成交</w:t>
      </w:r>
      <w:r>
        <w:rPr>
          <w:rFonts w:hint="eastAsia" w:ascii="宋体" w:hAnsi="宋体" w:cs="宋体"/>
          <w:b/>
          <w:color w:val="auto"/>
          <w:kern w:val="0"/>
          <w:sz w:val="24"/>
          <w:highlight w:val="none"/>
        </w:rPr>
        <w:t xml:space="preserve">或转包的黑恶势力。 </w:t>
      </w:r>
    </w:p>
    <w:p w14:paraId="57A93016">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 xml:space="preserve">3.聚众围堵开、评标现场，干扰正常开评标秩序的行为。 </w:t>
      </w:r>
    </w:p>
    <w:p w14:paraId="7DDA995F">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4.在</w:t>
      </w:r>
      <w:r>
        <w:rPr>
          <w:rFonts w:hint="eastAsia" w:ascii="宋体" w:hAnsi="宋体" w:cs="宋体"/>
          <w:b/>
          <w:color w:val="auto"/>
          <w:kern w:val="0"/>
          <w:sz w:val="24"/>
          <w:highlight w:val="none"/>
          <w:lang w:val="en-US" w:eastAsia="zh-CN"/>
        </w:rPr>
        <w:t>采购活动</w:t>
      </w:r>
      <w:r>
        <w:rPr>
          <w:rFonts w:hint="eastAsia" w:ascii="宋体" w:hAnsi="宋体" w:cs="宋体"/>
          <w:b/>
          <w:color w:val="auto"/>
          <w:kern w:val="0"/>
          <w:sz w:val="24"/>
          <w:highlight w:val="none"/>
        </w:rPr>
        <w:t xml:space="preserve">过程中寻衅滋事、恶意投诉，或以投诉、信访、举报相威胁获取不正当利益的行为。 </w:t>
      </w:r>
    </w:p>
    <w:p w14:paraId="1652A241">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5.伪造资质证书、证件、提供虚假材料进行</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 xml:space="preserve">，谋取不正当利益的违法行为。 </w:t>
      </w:r>
    </w:p>
    <w:p w14:paraId="74EAD17B">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6.采取贿赂、暴力、欺骗、威胁等手段干扰破坏招投标监管、服务人员以及</w:t>
      </w:r>
      <w:r>
        <w:rPr>
          <w:rFonts w:hint="eastAsia" w:ascii="宋体" w:hAnsi="宋体" w:cs="宋体"/>
          <w:b/>
          <w:color w:val="auto"/>
          <w:kern w:val="0"/>
          <w:sz w:val="24"/>
          <w:highlight w:val="none"/>
          <w:lang w:val="en-US" w:eastAsia="zh-CN"/>
        </w:rPr>
        <w:t>谈判小组</w:t>
      </w:r>
      <w:r>
        <w:rPr>
          <w:rFonts w:hint="eastAsia" w:ascii="宋体" w:hAnsi="宋体" w:cs="宋体"/>
          <w:b/>
          <w:color w:val="auto"/>
          <w:kern w:val="0"/>
          <w:sz w:val="24"/>
          <w:highlight w:val="none"/>
        </w:rPr>
        <w:t xml:space="preserve">正常工作的黑恶势力。 </w:t>
      </w:r>
    </w:p>
    <w:p w14:paraId="39B9AAB1">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7.采取言语威胁、谈判协商、跟踪盯梢、散播隐私、造谣诽谤、持续骚扰等软暴力手段恐吓监管服务人员、</w:t>
      </w:r>
      <w:r>
        <w:rPr>
          <w:rFonts w:hint="eastAsia" w:ascii="宋体" w:hAnsi="宋体" w:cs="宋体"/>
          <w:b/>
          <w:color w:val="auto"/>
          <w:kern w:val="0"/>
          <w:sz w:val="24"/>
          <w:highlight w:val="none"/>
          <w:lang w:val="en-US" w:eastAsia="zh-CN"/>
        </w:rPr>
        <w:t>谈判小组</w:t>
      </w:r>
      <w:r>
        <w:rPr>
          <w:rFonts w:hint="eastAsia" w:ascii="宋体" w:hAnsi="宋体" w:cs="宋体"/>
          <w:b/>
          <w:color w:val="auto"/>
          <w:kern w:val="0"/>
          <w:sz w:val="24"/>
          <w:highlight w:val="none"/>
        </w:rPr>
        <w:t xml:space="preserve">及其家属的违法犯罪行为。 </w:t>
      </w:r>
    </w:p>
    <w:p w14:paraId="3E47C022">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8.利诱、欺骗采购人违反相关规定按其意图设置</w:t>
      </w:r>
      <w:r>
        <w:rPr>
          <w:rFonts w:hint="eastAsia" w:ascii="宋体" w:hAnsi="宋体" w:cs="宋体"/>
          <w:b/>
          <w:color w:val="auto"/>
          <w:kern w:val="0"/>
          <w:sz w:val="24"/>
          <w:highlight w:val="none"/>
          <w:lang w:eastAsia="zh-CN"/>
        </w:rPr>
        <w:t>谈判文件</w:t>
      </w:r>
      <w:r>
        <w:rPr>
          <w:rFonts w:hint="eastAsia" w:ascii="宋体" w:hAnsi="宋体" w:cs="宋体"/>
          <w:b/>
          <w:color w:val="auto"/>
          <w:kern w:val="0"/>
          <w:sz w:val="24"/>
          <w:highlight w:val="none"/>
        </w:rPr>
        <w:t xml:space="preserve">条款的违法违规行为。 </w:t>
      </w:r>
    </w:p>
    <w:p w14:paraId="089F8350">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9.窃取项目</w:t>
      </w:r>
      <w:r>
        <w:rPr>
          <w:rFonts w:hint="eastAsia" w:ascii="宋体" w:hAnsi="宋体" w:cs="宋体"/>
          <w:b/>
          <w:color w:val="auto"/>
          <w:kern w:val="0"/>
          <w:sz w:val="24"/>
          <w:highlight w:val="none"/>
          <w:lang w:eastAsia="zh-CN"/>
        </w:rPr>
        <w:t>响应人</w:t>
      </w:r>
      <w:r>
        <w:rPr>
          <w:rFonts w:hint="eastAsia" w:ascii="宋体" w:hAnsi="宋体" w:cs="宋体"/>
          <w:b/>
          <w:color w:val="auto"/>
          <w:kern w:val="0"/>
          <w:sz w:val="24"/>
          <w:highlight w:val="none"/>
        </w:rPr>
        <w:t>报名情况、</w:t>
      </w:r>
      <w:r>
        <w:rPr>
          <w:rFonts w:hint="eastAsia" w:ascii="宋体" w:hAnsi="宋体" w:cs="宋体"/>
          <w:b/>
          <w:color w:val="auto"/>
          <w:kern w:val="0"/>
          <w:sz w:val="24"/>
          <w:highlight w:val="none"/>
          <w:lang w:val="en-US" w:eastAsia="zh-CN"/>
        </w:rPr>
        <w:t>谈判小组成员</w:t>
      </w:r>
      <w:r>
        <w:rPr>
          <w:rFonts w:hint="eastAsia" w:ascii="宋体" w:hAnsi="宋体" w:cs="宋体"/>
          <w:b/>
          <w:color w:val="auto"/>
          <w:kern w:val="0"/>
          <w:sz w:val="24"/>
          <w:highlight w:val="none"/>
        </w:rPr>
        <w:t xml:space="preserve">等保密信息。 </w:t>
      </w:r>
    </w:p>
    <w:p w14:paraId="792F2A69">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10.领导干部违反规定插手干预项目</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 xml:space="preserve">活动。 </w:t>
      </w:r>
    </w:p>
    <w:p w14:paraId="286F0EC0">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11.干部职工在</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活动中与黑恶势力勾结，充当保护伞。</w:t>
      </w:r>
    </w:p>
    <w:p w14:paraId="6B70AED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二、请各响应人认真阅读</w:t>
      </w:r>
      <w:r>
        <w:rPr>
          <w:rFonts w:hint="eastAsia" w:ascii="宋体" w:hAnsi="宋体" w:cs="宋体"/>
          <w:b/>
          <w:color w:val="auto"/>
          <w:kern w:val="0"/>
          <w:sz w:val="24"/>
          <w:szCs w:val="24"/>
          <w:highlight w:val="none"/>
          <w:lang w:val="en-US" w:eastAsia="zh-CN"/>
        </w:rPr>
        <w:t>竞争性谈判</w:t>
      </w:r>
      <w:r>
        <w:rPr>
          <w:rFonts w:hint="eastAsia" w:ascii="宋体" w:hAnsi="宋体" w:cs="宋体"/>
          <w:b/>
          <w:color w:val="auto"/>
          <w:kern w:val="0"/>
          <w:sz w:val="24"/>
          <w:szCs w:val="24"/>
          <w:highlight w:val="none"/>
        </w:rPr>
        <w:t>文件，对下述事项予以重视：</w:t>
      </w:r>
    </w:p>
    <w:p w14:paraId="18B9691F">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1</w:t>
      </w:r>
      <w:r>
        <w:rPr>
          <w:rFonts w:hint="eastAsia" w:ascii="宋体" w:hAnsi="宋体" w:cs="宋体"/>
          <w:b/>
          <w:color w:val="auto"/>
          <w:kern w:val="0"/>
          <w:sz w:val="24"/>
          <w:highlight w:val="none"/>
          <w:lang w:val="en-US" w:eastAsia="zh-CN"/>
        </w:rPr>
        <w:t>.</w:t>
      </w:r>
      <w:r>
        <w:rPr>
          <w:rFonts w:hint="eastAsia" w:ascii="宋体" w:hAnsi="宋体" w:cs="宋体"/>
          <w:b/>
          <w:color w:val="auto"/>
          <w:kern w:val="0"/>
          <w:sz w:val="24"/>
          <w:highlight w:val="none"/>
        </w:rPr>
        <w:t>请依据项目资格要求，自行核对营业执照合法有效。</w:t>
      </w:r>
    </w:p>
    <w:p w14:paraId="4C193521">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2</w:t>
      </w:r>
      <w:r>
        <w:rPr>
          <w:rFonts w:hint="eastAsia" w:ascii="宋体" w:hAnsi="宋体" w:cs="宋体"/>
          <w:b/>
          <w:color w:val="auto"/>
          <w:kern w:val="0"/>
          <w:sz w:val="24"/>
          <w:highlight w:val="none"/>
          <w:lang w:eastAsia="zh-CN"/>
        </w:rPr>
        <w:t>.</w:t>
      </w:r>
      <w:r>
        <w:rPr>
          <w:rFonts w:hint="eastAsia" w:ascii="宋体" w:hAnsi="宋体" w:cs="宋体"/>
          <w:b/>
          <w:color w:val="auto"/>
          <w:kern w:val="0"/>
          <w:sz w:val="24"/>
          <w:highlight w:val="none"/>
        </w:rPr>
        <w:t>按照</w:t>
      </w:r>
      <w:r>
        <w:rPr>
          <w:rFonts w:hint="eastAsia" w:ascii="宋体" w:hAnsi="宋体" w:cs="宋体"/>
          <w:b/>
          <w:color w:val="auto"/>
          <w:kern w:val="0"/>
          <w:sz w:val="24"/>
          <w:highlight w:val="none"/>
          <w:lang w:val="en-US" w:eastAsia="zh-CN"/>
        </w:rPr>
        <w:t>竞争性谈判</w:t>
      </w:r>
      <w:r>
        <w:rPr>
          <w:rFonts w:hint="eastAsia" w:ascii="宋体" w:hAnsi="宋体" w:cs="宋体"/>
          <w:b/>
          <w:color w:val="auto"/>
          <w:kern w:val="0"/>
          <w:sz w:val="24"/>
          <w:highlight w:val="none"/>
        </w:rPr>
        <w:t>文件要求制作响应文件。</w:t>
      </w:r>
    </w:p>
    <w:p w14:paraId="65B8899B">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3</w:t>
      </w:r>
      <w:r>
        <w:rPr>
          <w:rFonts w:hint="eastAsia" w:ascii="宋体" w:hAnsi="宋体" w:cs="宋体"/>
          <w:b/>
          <w:color w:val="auto"/>
          <w:kern w:val="0"/>
          <w:sz w:val="24"/>
          <w:highlight w:val="none"/>
          <w:lang w:eastAsia="zh-CN"/>
        </w:rPr>
        <w:t>.</w:t>
      </w:r>
      <w:r>
        <w:rPr>
          <w:rFonts w:hint="eastAsia" w:ascii="宋体" w:hAnsi="宋体" w:cs="宋体"/>
          <w:b/>
          <w:color w:val="auto"/>
          <w:kern w:val="0"/>
          <w:sz w:val="24"/>
          <w:highlight w:val="none"/>
        </w:rPr>
        <w:t>对</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 xml:space="preserve">活动中可能发生的质疑、投诉行为，须依法在规定的时间内提出。  </w:t>
      </w:r>
    </w:p>
    <w:p w14:paraId="29A71C63">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4</w:t>
      </w:r>
      <w:r>
        <w:rPr>
          <w:rFonts w:hint="eastAsia" w:ascii="宋体" w:hAnsi="宋体" w:cs="宋体"/>
          <w:b/>
          <w:color w:val="auto"/>
          <w:kern w:val="0"/>
          <w:sz w:val="24"/>
          <w:highlight w:val="none"/>
          <w:lang w:eastAsia="zh-CN"/>
        </w:rPr>
        <w:t>.</w:t>
      </w:r>
      <w:r>
        <w:rPr>
          <w:rFonts w:hint="eastAsia" w:ascii="宋体" w:hAnsi="宋体" w:cs="宋体"/>
          <w:b/>
          <w:color w:val="auto"/>
          <w:kern w:val="0"/>
          <w:sz w:val="24"/>
          <w:highlight w:val="none"/>
        </w:rPr>
        <w:t>本项目</w:t>
      </w:r>
      <w:r>
        <w:rPr>
          <w:rFonts w:hint="eastAsia" w:ascii="宋体" w:hAnsi="宋体" w:cs="宋体"/>
          <w:b/>
          <w:color w:val="auto"/>
          <w:kern w:val="0"/>
          <w:sz w:val="24"/>
          <w:highlight w:val="none"/>
          <w:lang w:eastAsia="zh-CN"/>
        </w:rPr>
        <w:t>谈判</w:t>
      </w:r>
      <w:r>
        <w:rPr>
          <w:rFonts w:hint="eastAsia" w:ascii="宋体" w:hAnsi="宋体" w:cs="宋体"/>
          <w:b/>
          <w:color w:val="auto"/>
          <w:kern w:val="0"/>
          <w:sz w:val="24"/>
          <w:highlight w:val="none"/>
        </w:rPr>
        <w:t>期间，供应商必须保证联系电话、电子邮箱通畅，因供应商通讯不畅造成的不利后果由供应商自行承担。</w:t>
      </w:r>
    </w:p>
    <w:p w14:paraId="31037FE9">
      <w:pPr>
        <w:widowControl/>
        <w:jc w:val="left"/>
        <w:rPr>
          <w:rFonts w:ascii="宋体" w:hAnsi="宋体" w:cs="宋体"/>
          <w:b/>
          <w:color w:val="auto"/>
          <w:sz w:val="36"/>
          <w:szCs w:val="36"/>
          <w:highlight w:val="none"/>
          <w:lang w:val="zh-CN"/>
        </w:rPr>
      </w:pPr>
      <w:r>
        <w:rPr>
          <w:rFonts w:ascii="宋体" w:hAnsi="宋体" w:cs="宋体"/>
          <w:b/>
          <w:color w:val="auto"/>
          <w:sz w:val="36"/>
          <w:szCs w:val="36"/>
          <w:highlight w:val="none"/>
          <w:lang w:val="zh-CN"/>
        </w:rPr>
        <w:br w:type="page"/>
      </w:r>
    </w:p>
    <w:p w14:paraId="7A426B6C">
      <w:pPr>
        <w:spacing w:line="480" w:lineRule="exact"/>
        <w:jc w:val="center"/>
        <w:rPr>
          <w:rFonts w:hint="eastAsia" w:ascii="宋体" w:hAnsi="宋体" w:cs="宋体"/>
          <w:b/>
          <w:color w:val="auto"/>
          <w:sz w:val="44"/>
          <w:szCs w:val="44"/>
          <w:highlight w:val="none"/>
          <w:lang w:val="zh-CN"/>
        </w:rPr>
      </w:pPr>
      <w:r>
        <w:rPr>
          <w:rFonts w:hint="eastAsia" w:ascii="宋体" w:hAnsi="宋体" w:cs="宋体"/>
          <w:b/>
          <w:color w:val="auto"/>
          <w:sz w:val="44"/>
          <w:szCs w:val="44"/>
          <w:highlight w:val="none"/>
          <w:lang w:val="zh-CN"/>
        </w:rPr>
        <w:t>目</w:t>
      </w:r>
      <w:r>
        <w:rPr>
          <w:rFonts w:ascii="宋体" w:hAnsi="宋体" w:cs="宋体"/>
          <w:b/>
          <w:color w:val="auto"/>
          <w:sz w:val="44"/>
          <w:szCs w:val="44"/>
          <w:highlight w:val="none"/>
        </w:rPr>
        <w:t xml:space="preserve">  </w:t>
      </w:r>
      <w:r>
        <w:rPr>
          <w:rFonts w:hint="eastAsia" w:ascii="宋体" w:hAnsi="宋体" w:cs="宋体"/>
          <w:b/>
          <w:color w:val="auto"/>
          <w:sz w:val="44"/>
          <w:szCs w:val="44"/>
          <w:highlight w:val="none"/>
          <w:lang w:val="zh-CN"/>
        </w:rPr>
        <w:t>录</w:t>
      </w:r>
    </w:p>
    <w:p w14:paraId="22B6B89C">
      <w:pPr>
        <w:pStyle w:val="58"/>
        <w:rPr>
          <w:color w:val="auto"/>
          <w:highlight w:val="none"/>
          <w:lang w:val="zh-CN"/>
        </w:rPr>
      </w:pPr>
    </w:p>
    <w:p w14:paraId="6F456B90">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rPr>
      </w:pPr>
      <w:bookmarkStart w:id="0" w:name="_Toc23467"/>
      <w:bookmarkStart w:id="1" w:name="_Toc21464"/>
      <w:bookmarkStart w:id="2" w:name="_Toc54941328"/>
      <w:bookmarkStart w:id="3" w:name="_Toc439316870"/>
      <w:r>
        <w:rPr>
          <w:rFonts w:hint="eastAsia" w:asciiTheme="majorEastAsia" w:hAnsiTheme="majorEastAsia" w:eastAsiaTheme="majorEastAsia" w:cstheme="majorEastAsia"/>
          <w:b/>
          <w:bCs/>
          <w:color w:val="auto"/>
          <w:sz w:val="40"/>
          <w:szCs w:val="40"/>
          <w:highlight w:val="none"/>
        </w:rPr>
        <w:fldChar w:fldCharType="begin"/>
      </w:r>
      <w:r>
        <w:rPr>
          <w:rFonts w:hint="eastAsia" w:asciiTheme="majorEastAsia" w:hAnsiTheme="majorEastAsia" w:eastAsiaTheme="majorEastAsia" w:cstheme="majorEastAsia"/>
          <w:b/>
          <w:bCs/>
          <w:color w:val="auto"/>
          <w:sz w:val="40"/>
          <w:szCs w:val="40"/>
          <w:highlight w:val="none"/>
        </w:rPr>
        <w:instrText xml:space="preserve">TOC \o "1-1" \h \u </w:instrText>
      </w:r>
      <w:r>
        <w:rPr>
          <w:rFonts w:hint="eastAsia" w:asciiTheme="majorEastAsia" w:hAnsiTheme="majorEastAsia" w:eastAsiaTheme="majorEastAsia" w:cstheme="majorEastAsia"/>
          <w:b/>
          <w:bCs/>
          <w:color w:val="auto"/>
          <w:sz w:val="40"/>
          <w:szCs w:val="40"/>
          <w:highlight w:val="none"/>
        </w:rPr>
        <w:fldChar w:fldCharType="separate"/>
      </w: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_Toc7432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i w:val="0"/>
          <w:iCs/>
          <w:color w:val="auto"/>
          <w:sz w:val="28"/>
          <w:szCs w:val="44"/>
          <w:highlight w:val="none"/>
        </w:rPr>
        <w:t xml:space="preserve">第一章  </w:t>
      </w:r>
      <w:r>
        <w:rPr>
          <w:rFonts w:hint="eastAsia" w:asciiTheme="majorEastAsia" w:hAnsiTheme="majorEastAsia" w:eastAsiaTheme="majorEastAsia" w:cstheme="majorEastAsia"/>
          <w:b/>
          <w:bCs/>
          <w:i w:val="0"/>
          <w:iCs/>
          <w:color w:val="auto"/>
          <w:sz w:val="28"/>
          <w:szCs w:val="44"/>
          <w:highlight w:val="none"/>
          <w:lang w:val="en-US" w:eastAsia="zh-CN"/>
        </w:rPr>
        <w:t>谈判邀请</w:t>
      </w:r>
      <w:r>
        <w:rPr>
          <w:rFonts w:hint="eastAsia" w:asciiTheme="majorEastAsia" w:hAnsiTheme="majorEastAsia" w:eastAsiaTheme="majorEastAsia" w:cstheme="majorEastAsia"/>
          <w:b/>
          <w:bCs/>
          <w:color w:val="auto"/>
          <w:sz w:val="28"/>
          <w:szCs w:val="24"/>
          <w:highlight w:val="none"/>
          <w:lang w:val="en-US" w:eastAsia="zh-CN"/>
        </w:rPr>
        <w:t>...............................................</w:t>
      </w:r>
      <w:r>
        <w:rPr>
          <w:rFonts w:hint="eastAsia" w:asciiTheme="majorEastAsia" w:hAnsiTheme="majorEastAsia" w:eastAsiaTheme="majorEastAsia" w:cstheme="majorEastAsia"/>
          <w:b/>
          <w:bCs/>
          <w:color w:val="auto"/>
          <w:sz w:val="28"/>
          <w:szCs w:val="24"/>
          <w:highlight w:val="none"/>
        </w:rPr>
        <w:fldChar w:fldCharType="begin"/>
      </w:r>
      <w:r>
        <w:rPr>
          <w:rFonts w:hint="eastAsia" w:asciiTheme="majorEastAsia" w:hAnsiTheme="majorEastAsia" w:eastAsiaTheme="majorEastAsia" w:cstheme="majorEastAsia"/>
          <w:b/>
          <w:bCs/>
          <w:color w:val="auto"/>
          <w:sz w:val="28"/>
          <w:szCs w:val="24"/>
          <w:highlight w:val="none"/>
        </w:rPr>
        <w:instrText xml:space="preserve"> PAGEREF _Toc7432 \h </w:instrText>
      </w:r>
      <w:r>
        <w:rPr>
          <w:rFonts w:hint="eastAsia" w:asciiTheme="majorEastAsia" w:hAnsiTheme="majorEastAsia" w:eastAsiaTheme="majorEastAsia" w:cstheme="majorEastAsia"/>
          <w:b/>
          <w:bCs/>
          <w:color w:val="auto"/>
          <w:sz w:val="28"/>
          <w:szCs w:val="24"/>
          <w:highlight w:val="none"/>
        </w:rPr>
        <w:fldChar w:fldCharType="separate"/>
      </w:r>
      <w:r>
        <w:rPr>
          <w:rFonts w:hint="eastAsia" w:asciiTheme="majorEastAsia" w:hAnsiTheme="majorEastAsia" w:eastAsiaTheme="majorEastAsia" w:cstheme="majorEastAsia"/>
          <w:b/>
          <w:bCs/>
          <w:color w:val="auto"/>
          <w:sz w:val="28"/>
          <w:szCs w:val="24"/>
          <w:highlight w:val="none"/>
        </w:rPr>
        <w:t>3</w:t>
      </w:r>
      <w:r>
        <w:rPr>
          <w:rFonts w:hint="eastAsia" w:asciiTheme="majorEastAsia" w:hAnsiTheme="majorEastAsia" w:eastAsiaTheme="majorEastAsia" w:cstheme="majorEastAsia"/>
          <w:b/>
          <w:bCs/>
          <w:color w:val="auto"/>
          <w:sz w:val="28"/>
          <w:szCs w:val="24"/>
          <w:highlight w:val="none"/>
        </w:rPr>
        <w:fldChar w:fldCharType="end"/>
      </w:r>
      <w:r>
        <w:rPr>
          <w:rFonts w:hint="eastAsia" w:asciiTheme="majorEastAsia" w:hAnsiTheme="majorEastAsia" w:eastAsiaTheme="majorEastAsia" w:cstheme="majorEastAsia"/>
          <w:b/>
          <w:bCs/>
          <w:color w:val="auto"/>
          <w:sz w:val="28"/>
          <w:szCs w:val="40"/>
          <w:highlight w:val="none"/>
        </w:rPr>
        <w:fldChar w:fldCharType="end"/>
      </w:r>
    </w:p>
    <w:p w14:paraId="25820FA5">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_Toc11266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kern w:val="2"/>
          <w:sz w:val="28"/>
          <w:szCs w:val="44"/>
          <w:highlight w:val="none"/>
        </w:rPr>
        <w:t xml:space="preserve">第二章  </w:t>
      </w:r>
      <w:r>
        <w:rPr>
          <w:rFonts w:hint="eastAsia" w:asciiTheme="majorEastAsia" w:hAnsiTheme="majorEastAsia" w:eastAsiaTheme="majorEastAsia" w:cstheme="majorEastAsia"/>
          <w:b/>
          <w:bCs/>
          <w:color w:val="auto"/>
          <w:kern w:val="2"/>
          <w:sz w:val="28"/>
          <w:szCs w:val="44"/>
          <w:highlight w:val="none"/>
          <w:lang w:val="en-US" w:eastAsia="zh-CN"/>
        </w:rPr>
        <w:t>供应商</w:t>
      </w:r>
      <w:r>
        <w:rPr>
          <w:rFonts w:hint="eastAsia" w:asciiTheme="majorEastAsia" w:hAnsiTheme="majorEastAsia" w:eastAsiaTheme="majorEastAsia" w:cstheme="majorEastAsia"/>
          <w:b/>
          <w:bCs/>
          <w:color w:val="auto"/>
          <w:kern w:val="2"/>
          <w:sz w:val="28"/>
          <w:szCs w:val="44"/>
          <w:highlight w:val="none"/>
        </w:rPr>
        <w:t>须知</w:t>
      </w:r>
      <w:r>
        <w:rPr>
          <w:rFonts w:hint="eastAsia" w:asciiTheme="majorEastAsia" w:hAnsiTheme="majorEastAsia" w:eastAsiaTheme="majorEastAsia" w:cstheme="majorEastAsia"/>
          <w:b/>
          <w:bCs/>
          <w:color w:val="auto"/>
          <w:kern w:val="2"/>
          <w:sz w:val="28"/>
          <w:szCs w:val="44"/>
          <w:highlight w:val="none"/>
          <w:lang w:val="en-US" w:eastAsia="zh-CN"/>
        </w:rPr>
        <w:t>.............................................</w:t>
      </w:r>
      <w:r>
        <w:rPr>
          <w:rFonts w:hint="eastAsia" w:asciiTheme="majorEastAsia" w:hAnsiTheme="majorEastAsia" w:eastAsiaTheme="majorEastAsia" w:cstheme="majorEastAsia"/>
          <w:b/>
          <w:bCs/>
          <w:color w:val="auto"/>
          <w:sz w:val="28"/>
          <w:szCs w:val="24"/>
          <w:highlight w:val="none"/>
          <w:lang w:val="en-US" w:eastAsia="zh-CN"/>
        </w:rPr>
        <w:t>7</w:t>
      </w:r>
      <w:r>
        <w:rPr>
          <w:rFonts w:hint="eastAsia" w:asciiTheme="majorEastAsia" w:hAnsiTheme="majorEastAsia" w:eastAsiaTheme="majorEastAsia" w:cstheme="majorEastAsia"/>
          <w:b/>
          <w:bCs/>
          <w:color w:val="auto"/>
          <w:sz w:val="28"/>
          <w:szCs w:val="40"/>
          <w:highlight w:val="none"/>
        </w:rPr>
        <w:fldChar w:fldCharType="end"/>
      </w:r>
    </w:p>
    <w:p w14:paraId="4473F23C">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_Toc12353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kern w:val="2"/>
          <w:sz w:val="28"/>
          <w:szCs w:val="44"/>
          <w:highlight w:val="none"/>
          <w:lang w:val="en-US" w:eastAsia="zh-CN"/>
        </w:rPr>
        <w:t xml:space="preserve">第三章  </w:t>
      </w:r>
      <w:r>
        <w:rPr>
          <w:rFonts w:hint="eastAsia" w:asciiTheme="majorEastAsia" w:hAnsiTheme="majorEastAsia" w:eastAsiaTheme="majorEastAsia" w:cstheme="majorEastAsia"/>
          <w:b/>
          <w:bCs/>
          <w:color w:val="auto"/>
          <w:sz w:val="28"/>
          <w:szCs w:val="40"/>
          <w:highlight w:val="none"/>
          <w:lang w:val="en-US" w:eastAsia="zh-CN"/>
        </w:rPr>
        <w:t>采购需求</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...1</w:t>
      </w:r>
      <w:r>
        <w:rPr>
          <w:rFonts w:hint="eastAsia" w:asciiTheme="majorEastAsia" w:hAnsiTheme="majorEastAsia" w:eastAsiaTheme="majorEastAsia" w:cstheme="majorEastAsia"/>
          <w:b/>
          <w:bCs/>
          <w:color w:val="auto"/>
          <w:sz w:val="28"/>
          <w:szCs w:val="40"/>
          <w:highlight w:val="none"/>
        </w:rPr>
        <w:fldChar w:fldCharType="end"/>
      </w:r>
      <w:r>
        <w:rPr>
          <w:rFonts w:hint="eastAsia" w:asciiTheme="majorEastAsia" w:hAnsiTheme="majorEastAsia" w:eastAsiaTheme="majorEastAsia" w:cstheme="majorEastAsia"/>
          <w:b/>
          <w:bCs/>
          <w:color w:val="auto"/>
          <w:sz w:val="28"/>
          <w:szCs w:val="40"/>
          <w:highlight w:val="none"/>
          <w:lang w:val="en-US" w:eastAsia="zh-CN"/>
        </w:rPr>
        <w:t>5</w:t>
      </w:r>
    </w:p>
    <w:p w14:paraId="4DE78E20">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_Toc16371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kern w:val="2"/>
          <w:sz w:val="28"/>
          <w:szCs w:val="44"/>
          <w:highlight w:val="none"/>
          <w:lang w:val="en-US" w:eastAsia="zh-CN"/>
        </w:rPr>
        <w:t>第四章  评</w:t>
      </w:r>
      <w:r>
        <w:rPr>
          <w:rFonts w:hint="eastAsia" w:asciiTheme="majorEastAsia" w:hAnsiTheme="majorEastAsia" w:eastAsiaTheme="majorEastAsia" w:cstheme="majorEastAsia"/>
          <w:b/>
          <w:bCs/>
          <w:strike w:val="0"/>
          <w:dstrike w:val="0"/>
          <w:color w:val="auto"/>
          <w:kern w:val="2"/>
          <w:sz w:val="28"/>
          <w:szCs w:val="44"/>
          <w:highlight w:val="none"/>
          <w:lang w:val="en-US" w:eastAsia="zh-CN"/>
        </w:rPr>
        <w:t>审方</w:t>
      </w:r>
      <w:r>
        <w:rPr>
          <w:rFonts w:hint="eastAsia" w:asciiTheme="majorEastAsia" w:hAnsiTheme="majorEastAsia" w:eastAsiaTheme="majorEastAsia" w:cstheme="majorEastAsia"/>
          <w:b/>
          <w:bCs/>
          <w:color w:val="auto"/>
          <w:kern w:val="2"/>
          <w:sz w:val="28"/>
          <w:szCs w:val="44"/>
          <w:highlight w:val="none"/>
          <w:lang w:val="en-US" w:eastAsia="zh-CN"/>
        </w:rPr>
        <w:t>法与标准</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2</w:t>
      </w:r>
      <w:r>
        <w:rPr>
          <w:rFonts w:hint="eastAsia" w:asciiTheme="majorEastAsia" w:hAnsiTheme="majorEastAsia" w:eastAsiaTheme="majorEastAsia" w:cstheme="majorEastAsia"/>
          <w:b/>
          <w:bCs/>
          <w:color w:val="auto"/>
          <w:sz w:val="28"/>
          <w:szCs w:val="40"/>
          <w:highlight w:val="none"/>
        </w:rPr>
        <w:fldChar w:fldCharType="end"/>
      </w:r>
      <w:r>
        <w:rPr>
          <w:rFonts w:hint="eastAsia" w:asciiTheme="majorEastAsia" w:hAnsiTheme="majorEastAsia" w:eastAsiaTheme="majorEastAsia" w:cstheme="majorEastAsia"/>
          <w:b/>
          <w:bCs/>
          <w:color w:val="auto"/>
          <w:sz w:val="28"/>
          <w:szCs w:val="40"/>
          <w:highlight w:val="none"/>
          <w:lang w:val="en-US" w:eastAsia="zh-CN"/>
        </w:rPr>
        <w:t>0</w:t>
      </w:r>
    </w:p>
    <w:p w14:paraId="7143EA37">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_Toc27586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sz w:val="28"/>
          <w:szCs w:val="24"/>
          <w:highlight w:val="none"/>
          <w:lang w:val="en-US" w:eastAsia="zh-CN"/>
        </w:rPr>
        <w:t xml:space="preserve">第五章  </w:t>
      </w:r>
      <w:r>
        <w:rPr>
          <w:rFonts w:hint="eastAsia" w:asciiTheme="majorEastAsia" w:hAnsiTheme="majorEastAsia" w:eastAsiaTheme="majorEastAsia" w:cstheme="majorEastAsia"/>
          <w:b/>
          <w:bCs/>
          <w:color w:val="auto"/>
          <w:sz w:val="28"/>
          <w:szCs w:val="24"/>
          <w:highlight w:val="none"/>
        </w:rPr>
        <w:t>政府采购合同主要条款</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2</w:t>
      </w:r>
      <w:r>
        <w:rPr>
          <w:rFonts w:hint="eastAsia" w:asciiTheme="majorEastAsia" w:hAnsiTheme="majorEastAsia" w:eastAsiaTheme="majorEastAsia" w:cstheme="majorEastAsia"/>
          <w:b/>
          <w:bCs/>
          <w:color w:val="auto"/>
          <w:sz w:val="28"/>
          <w:szCs w:val="40"/>
          <w:highlight w:val="none"/>
        </w:rPr>
        <w:fldChar w:fldCharType="end"/>
      </w:r>
      <w:r>
        <w:rPr>
          <w:rFonts w:hint="eastAsia" w:asciiTheme="majorEastAsia" w:hAnsiTheme="majorEastAsia" w:eastAsiaTheme="majorEastAsia" w:cstheme="majorEastAsia"/>
          <w:b/>
          <w:bCs/>
          <w:color w:val="auto"/>
          <w:sz w:val="28"/>
          <w:szCs w:val="40"/>
          <w:highlight w:val="none"/>
          <w:lang w:val="en-US" w:eastAsia="zh-CN"/>
        </w:rPr>
        <w:t>3</w:t>
      </w:r>
    </w:p>
    <w:p w14:paraId="1B92A2FD">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_Toc1812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kern w:val="2"/>
          <w:sz w:val="28"/>
          <w:szCs w:val="48"/>
          <w:highlight w:val="none"/>
          <w:lang w:val="zh-CN"/>
        </w:rPr>
        <w:t>第</w:t>
      </w:r>
      <w:r>
        <w:rPr>
          <w:rFonts w:hint="eastAsia" w:asciiTheme="majorEastAsia" w:hAnsiTheme="majorEastAsia" w:eastAsiaTheme="majorEastAsia" w:cstheme="majorEastAsia"/>
          <w:b/>
          <w:bCs/>
          <w:color w:val="auto"/>
          <w:kern w:val="2"/>
          <w:sz w:val="28"/>
          <w:szCs w:val="48"/>
          <w:highlight w:val="none"/>
          <w:lang w:val="en-US" w:eastAsia="zh-CN"/>
        </w:rPr>
        <w:t>六</w:t>
      </w:r>
      <w:r>
        <w:rPr>
          <w:rFonts w:hint="eastAsia" w:asciiTheme="majorEastAsia" w:hAnsiTheme="majorEastAsia" w:eastAsiaTheme="majorEastAsia" w:cstheme="majorEastAsia"/>
          <w:b/>
          <w:bCs/>
          <w:color w:val="auto"/>
          <w:kern w:val="2"/>
          <w:sz w:val="28"/>
          <w:szCs w:val="48"/>
          <w:highlight w:val="none"/>
          <w:lang w:val="zh-CN"/>
        </w:rPr>
        <w:t xml:space="preserve">章  </w:t>
      </w:r>
      <w:r>
        <w:rPr>
          <w:rFonts w:hint="eastAsia" w:asciiTheme="majorEastAsia" w:hAnsiTheme="majorEastAsia" w:eastAsiaTheme="majorEastAsia" w:cstheme="majorEastAsia"/>
          <w:b/>
          <w:bCs/>
          <w:color w:val="auto"/>
          <w:kern w:val="2"/>
          <w:sz w:val="28"/>
          <w:szCs w:val="48"/>
          <w:highlight w:val="none"/>
        </w:rPr>
        <w:t>响应文件格式</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28</w:t>
      </w:r>
      <w:r>
        <w:rPr>
          <w:rFonts w:hint="eastAsia" w:asciiTheme="majorEastAsia" w:hAnsiTheme="majorEastAsia" w:eastAsiaTheme="majorEastAsia" w:cstheme="majorEastAsia"/>
          <w:b/>
          <w:bCs/>
          <w:color w:val="auto"/>
          <w:sz w:val="28"/>
          <w:szCs w:val="40"/>
          <w:highlight w:val="none"/>
        </w:rPr>
        <w:fldChar w:fldCharType="end"/>
      </w:r>
    </w:p>
    <w:p w14:paraId="78B5310B">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_Toc2700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sz w:val="28"/>
          <w:szCs w:val="24"/>
          <w:highlight w:val="none"/>
          <w:lang w:val="en-US" w:eastAsia="zh-CN"/>
        </w:rPr>
        <w:t>第七章  政府采购供应商询问函和质疑函范本</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.3</w:t>
      </w:r>
      <w:r>
        <w:rPr>
          <w:rFonts w:hint="eastAsia" w:asciiTheme="majorEastAsia" w:hAnsiTheme="majorEastAsia" w:eastAsiaTheme="majorEastAsia" w:cstheme="majorEastAsia"/>
          <w:b/>
          <w:bCs/>
          <w:color w:val="auto"/>
          <w:sz w:val="28"/>
          <w:szCs w:val="40"/>
          <w:highlight w:val="none"/>
        </w:rPr>
        <w:fldChar w:fldCharType="end"/>
      </w:r>
      <w:r>
        <w:rPr>
          <w:rFonts w:hint="eastAsia" w:asciiTheme="majorEastAsia" w:hAnsiTheme="majorEastAsia" w:eastAsiaTheme="majorEastAsia" w:cstheme="majorEastAsia"/>
          <w:b/>
          <w:bCs/>
          <w:color w:val="auto"/>
          <w:sz w:val="28"/>
          <w:szCs w:val="40"/>
          <w:highlight w:val="none"/>
          <w:lang w:val="en-US" w:eastAsia="zh-CN"/>
        </w:rPr>
        <w:t>8</w:t>
      </w:r>
    </w:p>
    <w:p w14:paraId="3353468B">
      <w:pPr>
        <w:pStyle w:val="19"/>
        <w:tabs>
          <w:tab w:val="right" w:leader="dot" w:pos="9060"/>
        </w:tabs>
        <w:spacing w:line="360" w:lineRule="auto"/>
        <w:rPr>
          <w:color w:val="auto"/>
          <w:szCs w:val="21"/>
          <w:highlight w:val="none"/>
        </w:rPr>
        <w:sectPr>
          <w:headerReference r:id="rId7" w:type="default"/>
          <w:footerReference r:id="rId8" w:type="default"/>
          <w:pgSz w:w="11906" w:h="16838"/>
          <w:pgMar w:top="1418" w:right="1418" w:bottom="1418" w:left="1418" w:header="851" w:footer="680" w:gutter="0"/>
          <w:pgBorders>
            <w:top w:val="none" w:sz="0" w:space="0"/>
            <w:left w:val="none" w:sz="0" w:space="0"/>
            <w:bottom w:val="none" w:sz="0" w:space="0"/>
            <w:right w:val="none" w:sz="0" w:space="0"/>
          </w:pgBorders>
          <w:pgNumType w:fmt="decimal" w:start="1"/>
          <w:cols w:space="720" w:num="1"/>
          <w:docGrid w:linePitch="290" w:charSpace="0"/>
        </w:sectPr>
      </w:pPr>
      <w:r>
        <w:rPr>
          <w:rFonts w:hint="eastAsia" w:asciiTheme="majorEastAsia" w:hAnsiTheme="majorEastAsia" w:eastAsiaTheme="majorEastAsia" w:cstheme="majorEastAsia"/>
          <w:b/>
          <w:bCs/>
          <w:color w:val="auto"/>
          <w:sz w:val="28"/>
          <w:szCs w:val="40"/>
          <w:highlight w:val="none"/>
        </w:rPr>
        <w:fldChar w:fldCharType="end"/>
      </w:r>
      <w:bookmarkStart w:id="4" w:name="_Toc7432"/>
    </w:p>
    <w:p w14:paraId="35D3DCA8">
      <w:pPr>
        <w:pStyle w:val="3"/>
        <w:tabs>
          <w:tab w:val="left" w:pos="1440"/>
          <w:tab w:val="left" w:pos="5670"/>
        </w:tabs>
        <w:spacing w:before="62" w:beforeLines="20" w:after="0" w:afterAutospacing="0" w:line="480" w:lineRule="exact"/>
        <w:ind w:firstLine="0" w:firstLineChars="0"/>
        <w:jc w:val="center"/>
        <w:rPr>
          <w:rFonts w:hint="eastAsia" w:ascii="宋体" w:hAnsi="宋体" w:eastAsia="宋体" w:cs="宋体"/>
          <w:b/>
          <w:bCs/>
          <w:color w:val="auto"/>
          <w:kern w:val="2"/>
          <w:sz w:val="36"/>
          <w:szCs w:val="36"/>
          <w:highlight w:val="none"/>
          <w:lang w:eastAsia="zh-CN"/>
        </w:rPr>
      </w:pPr>
      <w:r>
        <w:rPr>
          <w:rFonts w:hint="eastAsia" w:ascii="宋体" w:hAnsi="宋体" w:eastAsia="宋体" w:cs="宋体"/>
          <w:b/>
          <w:bCs/>
          <w:color w:val="auto"/>
          <w:kern w:val="2"/>
          <w:sz w:val="36"/>
          <w:szCs w:val="36"/>
          <w:highlight w:val="none"/>
        </w:rPr>
        <w:t xml:space="preserve">第一章   </w:t>
      </w:r>
      <w:bookmarkEnd w:id="0"/>
      <w:bookmarkEnd w:id="1"/>
      <w:bookmarkEnd w:id="2"/>
      <w:bookmarkEnd w:id="4"/>
      <w:r>
        <w:rPr>
          <w:rFonts w:hint="eastAsia" w:ascii="宋体" w:hAnsi="宋体" w:eastAsia="宋体" w:cs="宋体"/>
          <w:b/>
          <w:bCs/>
          <w:color w:val="auto"/>
          <w:kern w:val="2"/>
          <w:sz w:val="36"/>
          <w:szCs w:val="36"/>
          <w:highlight w:val="none"/>
          <w:lang w:val="en-US" w:eastAsia="zh-CN"/>
        </w:rPr>
        <w:t>谈判邀请</w:t>
      </w:r>
    </w:p>
    <w:p w14:paraId="3AC5A1B1">
      <w:pPr>
        <w:keepNext w:val="0"/>
        <w:keepLines w:val="0"/>
        <w:pageBreakBefore w:val="0"/>
        <w:kinsoku/>
        <w:wordWrap/>
        <w:overflowPunct/>
        <w:topLinePunct w:val="0"/>
        <w:autoSpaceDE/>
        <w:autoSpaceDN/>
        <w:bidi w:val="0"/>
        <w:snapToGrid/>
        <w:spacing w:line="640" w:lineRule="exact"/>
        <w:ind w:firstLine="560" w:firstLineChars="200"/>
        <w:textAlignment w:val="auto"/>
        <w:rPr>
          <w:rFonts w:ascii="黑体" w:hAnsi="黑体" w:eastAsia="黑体" w:cs="宋体"/>
          <w:bCs/>
          <w:color w:val="auto"/>
          <w:sz w:val="28"/>
          <w:szCs w:val="28"/>
          <w:highlight w:val="none"/>
        </w:rPr>
      </w:pPr>
      <w:bookmarkStart w:id="5" w:name="_Toc28359012"/>
      <w:bookmarkStart w:id="6" w:name="_Toc28359089"/>
      <w:bookmarkStart w:id="7" w:name="_Toc35393629"/>
      <w:bookmarkStart w:id="8" w:name="_Toc35393798"/>
      <w:bookmarkStart w:id="9" w:name="OLE_LINK1"/>
      <w:bookmarkStart w:id="10" w:name="OLE_LINK7"/>
      <w:r>
        <w:rPr>
          <w:rFonts w:hint="eastAsia" w:ascii="黑体" w:hAnsi="黑体" w:eastAsia="黑体" w:cs="宋体"/>
          <w:bCs/>
          <w:color w:val="auto"/>
          <w:sz w:val="28"/>
          <w:szCs w:val="28"/>
          <w:highlight w:val="none"/>
        </w:rPr>
        <w:t>一、项目基本情况</w:t>
      </w:r>
      <w:bookmarkEnd w:id="5"/>
      <w:bookmarkEnd w:id="6"/>
      <w:bookmarkEnd w:id="7"/>
      <w:bookmarkEnd w:id="8"/>
    </w:p>
    <w:p w14:paraId="4B10E5F5">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Times New Roman"/>
          <w:color w:val="auto"/>
          <w:sz w:val="28"/>
          <w:szCs w:val="28"/>
          <w:highlight w:val="none"/>
          <w:lang w:eastAsia="zh-CN"/>
        </w:rPr>
      </w:pPr>
      <w:r>
        <w:rPr>
          <w:rFonts w:hint="eastAsia" w:ascii="仿宋" w:hAnsi="仿宋" w:eastAsia="仿宋" w:cs="Times New Roman"/>
          <w:color w:val="auto"/>
          <w:sz w:val="28"/>
          <w:szCs w:val="28"/>
          <w:highlight w:val="none"/>
          <w:lang w:val="en-US" w:eastAsia="zh-CN"/>
        </w:rPr>
        <w:t>1.</w:t>
      </w:r>
      <w:r>
        <w:rPr>
          <w:rFonts w:hint="eastAsia" w:ascii="仿宋" w:hAnsi="仿宋" w:eastAsia="仿宋" w:cs="Times New Roman"/>
          <w:color w:val="auto"/>
          <w:sz w:val="28"/>
          <w:szCs w:val="28"/>
          <w:highlight w:val="none"/>
          <w:lang w:eastAsia="zh-CN"/>
        </w:rPr>
        <w:t>项目编号：</w:t>
      </w:r>
      <w:r>
        <w:rPr>
          <w:rFonts w:hint="eastAsia" w:ascii="仿宋" w:hAnsi="仿宋" w:eastAsia="仿宋" w:cs="Times New Roman"/>
          <w:color w:val="auto"/>
          <w:sz w:val="28"/>
          <w:szCs w:val="28"/>
          <w:highlight w:val="none"/>
          <w:u w:val="single"/>
          <w:lang w:eastAsia="zh-CN"/>
        </w:rPr>
        <w:t>TCSZCG(202</w:t>
      </w:r>
      <w:r>
        <w:rPr>
          <w:rFonts w:hint="eastAsia" w:ascii="仿宋" w:hAnsi="仿宋" w:eastAsia="仿宋" w:cs="Times New Roman"/>
          <w:color w:val="auto"/>
          <w:sz w:val="28"/>
          <w:szCs w:val="28"/>
          <w:highlight w:val="none"/>
          <w:u w:val="single"/>
          <w:lang w:val="en-US" w:eastAsia="zh-CN"/>
        </w:rPr>
        <w:t>6</w:t>
      </w:r>
      <w:r>
        <w:rPr>
          <w:rFonts w:hint="eastAsia" w:ascii="仿宋" w:hAnsi="仿宋" w:eastAsia="仿宋" w:cs="Times New Roman"/>
          <w:color w:val="auto"/>
          <w:sz w:val="28"/>
          <w:szCs w:val="28"/>
          <w:highlight w:val="none"/>
          <w:u w:val="single"/>
          <w:lang w:eastAsia="zh-CN"/>
        </w:rPr>
        <w:t xml:space="preserve">) </w:t>
      </w:r>
      <w:r>
        <w:rPr>
          <w:rFonts w:hint="eastAsia" w:ascii="仿宋" w:hAnsi="仿宋" w:eastAsia="仿宋" w:cs="Times New Roman"/>
          <w:color w:val="auto"/>
          <w:sz w:val="28"/>
          <w:szCs w:val="28"/>
          <w:highlight w:val="none"/>
          <w:u w:val="single"/>
          <w:lang w:val="en-US" w:eastAsia="zh-CN"/>
        </w:rPr>
        <w:t>008</w:t>
      </w:r>
      <w:r>
        <w:rPr>
          <w:rFonts w:hint="eastAsia" w:ascii="仿宋" w:hAnsi="仿宋" w:eastAsia="仿宋" w:cs="Times New Roman"/>
          <w:color w:val="auto"/>
          <w:sz w:val="28"/>
          <w:szCs w:val="28"/>
          <w:highlight w:val="none"/>
          <w:u w:val="single"/>
          <w:lang w:eastAsia="zh-CN"/>
        </w:rPr>
        <w:t>号</w:t>
      </w:r>
    </w:p>
    <w:p w14:paraId="1D10FA41">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w:t>
      </w:r>
      <w:r>
        <w:rPr>
          <w:rFonts w:hint="eastAsia" w:ascii="仿宋" w:hAnsi="仿宋" w:eastAsia="仿宋" w:cs="Times New Roman"/>
          <w:color w:val="auto"/>
          <w:sz w:val="28"/>
          <w:szCs w:val="28"/>
          <w:highlight w:val="none"/>
          <w:lang w:eastAsia="zh-CN"/>
        </w:rPr>
        <w:t>项目名称：</w:t>
      </w:r>
      <w:r>
        <w:rPr>
          <w:rFonts w:hint="eastAsia" w:ascii="仿宋" w:hAnsi="仿宋" w:eastAsia="仿宋" w:cs="Times New Roman"/>
          <w:color w:val="auto"/>
          <w:sz w:val="28"/>
          <w:szCs w:val="28"/>
          <w:highlight w:val="none"/>
          <w:u w:val="single"/>
          <w:lang w:val="en-US" w:eastAsia="zh-CN"/>
        </w:rPr>
        <w:t>桐城师范高等专科学校14-15#学生宿舍1、2楼等区域金刚网防盗窗及室外晾晒架采购及安装项目</w:t>
      </w:r>
    </w:p>
    <w:p w14:paraId="3303F1D7">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预算金额：</w:t>
      </w:r>
      <w:r>
        <w:rPr>
          <w:rFonts w:hint="eastAsia" w:ascii="仿宋" w:hAnsi="仿宋" w:eastAsia="仿宋"/>
          <w:color w:val="auto"/>
          <w:sz w:val="28"/>
          <w:szCs w:val="28"/>
          <w:highlight w:val="none"/>
          <w:u w:val="single"/>
          <w:lang w:val="en-US" w:eastAsia="zh-CN"/>
        </w:rPr>
        <w:t>60400</w:t>
      </w:r>
      <w:r>
        <w:rPr>
          <w:rFonts w:hint="eastAsia" w:ascii="仿宋" w:hAnsi="仿宋" w:eastAsia="仿宋"/>
          <w:color w:val="auto"/>
          <w:sz w:val="28"/>
          <w:szCs w:val="28"/>
          <w:highlight w:val="none"/>
          <w:u w:val="single"/>
        </w:rPr>
        <w:t>元</w:t>
      </w:r>
    </w:p>
    <w:p w14:paraId="1C456D2C">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4.</w:t>
      </w:r>
      <w:r>
        <w:rPr>
          <w:rFonts w:hint="eastAsia" w:ascii="仿宋" w:hAnsi="仿宋" w:eastAsia="仿宋"/>
          <w:color w:val="auto"/>
          <w:sz w:val="28"/>
          <w:szCs w:val="28"/>
          <w:highlight w:val="none"/>
        </w:rPr>
        <w:t>最高</w:t>
      </w:r>
      <w:r>
        <w:rPr>
          <w:rFonts w:hint="eastAsia" w:ascii="仿宋" w:hAnsi="仿宋" w:eastAsia="仿宋"/>
          <w:color w:val="auto"/>
          <w:sz w:val="28"/>
          <w:szCs w:val="28"/>
          <w:highlight w:val="none"/>
          <w:lang w:val="en-US" w:eastAsia="zh-CN"/>
        </w:rPr>
        <w:t>投标费率</w:t>
      </w:r>
      <w:r>
        <w:rPr>
          <w:rFonts w:hint="eastAsia" w:ascii="仿宋" w:hAnsi="仿宋" w:eastAsia="仿宋"/>
          <w:color w:val="auto"/>
          <w:sz w:val="28"/>
          <w:szCs w:val="28"/>
          <w:highlight w:val="none"/>
        </w:rPr>
        <w:t>：</w:t>
      </w:r>
      <w:r>
        <w:rPr>
          <w:rFonts w:hint="eastAsia" w:ascii="仿宋" w:hAnsi="仿宋" w:eastAsia="仿宋"/>
          <w:color w:val="auto"/>
          <w:sz w:val="28"/>
          <w:szCs w:val="28"/>
          <w:highlight w:val="none"/>
          <w:u w:val="single"/>
          <w:lang w:val="en-US" w:eastAsia="zh-CN"/>
        </w:rPr>
        <w:t>100%</w:t>
      </w:r>
    </w:p>
    <w:p w14:paraId="1F65CF81">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5.</w:t>
      </w:r>
      <w:r>
        <w:rPr>
          <w:rFonts w:hint="eastAsia" w:ascii="仿宋" w:hAnsi="仿宋" w:eastAsia="仿宋"/>
          <w:color w:val="auto"/>
          <w:sz w:val="28"/>
          <w:szCs w:val="28"/>
          <w:highlight w:val="none"/>
        </w:rPr>
        <w:t>采购需求：</w:t>
      </w:r>
      <w:r>
        <w:rPr>
          <w:rFonts w:hint="eastAsia" w:ascii="仿宋" w:hAnsi="仿宋" w:eastAsia="仿宋" w:cs="Times New Roman"/>
          <w:color w:val="auto"/>
          <w:sz w:val="28"/>
          <w:szCs w:val="28"/>
          <w:highlight w:val="none"/>
          <w:u w:val="single"/>
          <w:lang w:val="en-US" w:eastAsia="zh-CN"/>
        </w:rPr>
        <w:t>桐城师范高等专科学校14-15#学生宿舍1、2楼等区域金刚网防盗窗及室外晾晒架采购及安装项目</w:t>
      </w:r>
      <w:r>
        <w:rPr>
          <w:rFonts w:hint="eastAsia" w:ascii="仿宋" w:hAnsi="仿宋" w:eastAsia="仿宋"/>
          <w:color w:val="auto"/>
          <w:sz w:val="28"/>
          <w:szCs w:val="28"/>
          <w:highlight w:val="none"/>
          <w:u w:val="single"/>
          <w:lang w:val="en-US" w:eastAsia="zh-CN"/>
        </w:rPr>
        <w:t>，</w:t>
      </w:r>
      <w:r>
        <w:rPr>
          <w:rFonts w:hint="eastAsia" w:ascii="仿宋" w:hAnsi="仿宋" w:eastAsia="仿宋"/>
          <w:color w:val="auto"/>
          <w:sz w:val="28"/>
          <w:szCs w:val="28"/>
          <w:highlight w:val="none"/>
          <w:u w:val="single"/>
        </w:rPr>
        <w:t>详见</w:t>
      </w:r>
      <w:r>
        <w:rPr>
          <w:rFonts w:hint="eastAsia" w:ascii="仿宋" w:hAnsi="仿宋" w:eastAsia="仿宋"/>
          <w:color w:val="auto"/>
          <w:sz w:val="28"/>
          <w:szCs w:val="28"/>
          <w:highlight w:val="none"/>
          <w:u w:val="single"/>
          <w:lang w:val="en-US" w:eastAsia="zh-CN"/>
        </w:rPr>
        <w:t>采购需求</w:t>
      </w:r>
    </w:p>
    <w:p w14:paraId="37175064">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6.</w:t>
      </w:r>
      <w:r>
        <w:rPr>
          <w:rFonts w:hint="eastAsia" w:ascii="仿宋" w:hAnsi="仿宋" w:eastAsia="仿宋"/>
          <w:color w:val="auto"/>
          <w:sz w:val="28"/>
          <w:szCs w:val="28"/>
          <w:highlight w:val="none"/>
        </w:rPr>
        <w:t>合同履行期限：</w:t>
      </w:r>
      <w:r>
        <w:rPr>
          <w:rFonts w:hint="eastAsia" w:ascii="仿宋" w:hAnsi="仿宋" w:eastAsia="仿宋"/>
          <w:color w:val="auto"/>
          <w:sz w:val="28"/>
          <w:szCs w:val="28"/>
          <w:highlight w:val="none"/>
          <w:u w:val="single"/>
          <w:lang w:val="en-US" w:eastAsia="zh-CN"/>
        </w:rPr>
        <w:t>30日历天</w:t>
      </w:r>
    </w:p>
    <w:p w14:paraId="5868C247">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7.</w:t>
      </w:r>
      <w:r>
        <w:rPr>
          <w:rFonts w:hint="eastAsia" w:ascii="仿宋" w:hAnsi="仿宋" w:eastAsia="仿宋"/>
          <w:color w:val="auto"/>
          <w:sz w:val="28"/>
          <w:szCs w:val="28"/>
          <w:highlight w:val="none"/>
        </w:rPr>
        <w:t>本项目不接受联合体。</w:t>
      </w:r>
    </w:p>
    <w:p w14:paraId="3CDA49D9">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bookmarkStart w:id="11" w:name="_Toc35393630"/>
      <w:bookmarkStart w:id="12" w:name="_Toc35393799"/>
      <w:bookmarkStart w:id="13" w:name="_Toc28359090"/>
      <w:bookmarkStart w:id="14" w:name="_Toc28359013"/>
      <w:r>
        <w:rPr>
          <w:rFonts w:hint="eastAsia" w:ascii="黑体" w:hAnsi="黑体" w:eastAsia="黑体" w:cs="宋体"/>
          <w:bCs/>
          <w:color w:val="auto"/>
          <w:sz w:val="28"/>
          <w:szCs w:val="28"/>
          <w:highlight w:val="none"/>
        </w:rPr>
        <w:t>二、申请人的资格要求：</w:t>
      </w:r>
      <w:bookmarkEnd w:id="11"/>
      <w:bookmarkEnd w:id="12"/>
      <w:bookmarkEnd w:id="13"/>
      <w:bookmarkEnd w:id="14"/>
    </w:p>
    <w:p w14:paraId="19AE7634">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仿宋" w:hAnsi="仿宋" w:eastAsia="仿宋"/>
          <w:color w:val="auto"/>
          <w:sz w:val="28"/>
          <w:szCs w:val="28"/>
          <w:highlight w:val="none"/>
        </w:rPr>
      </w:pPr>
      <w:bookmarkStart w:id="15" w:name="_Toc35393800"/>
      <w:bookmarkStart w:id="16" w:name="_Toc28359091"/>
      <w:bookmarkStart w:id="17" w:name="_Toc28359014"/>
      <w:bookmarkStart w:id="18" w:name="_Toc35393631"/>
      <w:r>
        <w:rPr>
          <w:rFonts w:hint="eastAsia" w:ascii="仿宋" w:hAnsi="仿宋" w:eastAsia="仿宋"/>
          <w:color w:val="auto"/>
          <w:sz w:val="28"/>
          <w:szCs w:val="28"/>
          <w:highlight w:val="none"/>
        </w:rPr>
        <w:t>1.满足《中华人民共和国政府采购法》第二十二条规定；</w:t>
      </w:r>
    </w:p>
    <w:p w14:paraId="19FAEBD6">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2.落实政府采购政策需满足的资格要求：/；</w:t>
      </w:r>
    </w:p>
    <w:p w14:paraId="3F75422C">
      <w:pPr>
        <w:pStyle w:val="57"/>
        <w:ind w:firstLine="546" w:firstLineChars="195"/>
        <w:rPr>
          <w:rFonts w:hint="default"/>
          <w:lang w:val="en-US" w:eastAsia="zh-CN"/>
        </w:rPr>
      </w:pPr>
      <w:r>
        <w:rPr>
          <w:rFonts w:hint="eastAsia" w:ascii="仿宋" w:hAnsi="仿宋" w:eastAsia="仿宋"/>
          <w:color w:val="auto"/>
          <w:sz w:val="28"/>
          <w:szCs w:val="28"/>
          <w:highlight w:val="none"/>
          <w:lang w:val="en-US" w:eastAsia="zh-CN"/>
        </w:rPr>
        <w:t>3.本项目的特定资格要求：/。</w:t>
      </w:r>
    </w:p>
    <w:p w14:paraId="033EA526">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三、获取采购文件</w:t>
      </w:r>
      <w:bookmarkEnd w:id="15"/>
      <w:bookmarkEnd w:id="16"/>
      <w:bookmarkEnd w:id="17"/>
      <w:bookmarkEnd w:id="18"/>
    </w:p>
    <w:p w14:paraId="7BE09DAA">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时间：</w:t>
      </w: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u w:val="single"/>
          <w:lang w:val="en-US" w:eastAsia="zh-CN"/>
        </w:rPr>
        <w:t xml:space="preserve"> 7 </w:t>
      </w:r>
      <w:r>
        <w:rPr>
          <w:rFonts w:hint="eastAsia" w:ascii="仿宋" w:hAnsi="仿宋" w:eastAsia="仿宋" w:cs="宋体"/>
          <w:color w:val="auto"/>
          <w:sz w:val="28"/>
          <w:szCs w:val="28"/>
          <w:highlight w:val="none"/>
        </w:rPr>
        <w:t>月</w:t>
      </w:r>
      <w:r>
        <w:rPr>
          <w:rFonts w:hint="eastAsia" w:ascii="仿宋" w:hAnsi="仿宋" w:eastAsia="仿宋" w:cs="宋体"/>
          <w:color w:val="auto"/>
          <w:sz w:val="28"/>
          <w:szCs w:val="28"/>
          <w:highlight w:val="none"/>
          <w:u w:val="single"/>
          <w:lang w:val="en-US" w:eastAsia="zh-CN"/>
        </w:rPr>
        <w:t xml:space="preserve"> 21 </w:t>
      </w:r>
      <w:r>
        <w:rPr>
          <w:rFonts w:hint="eastAsia" w:ascii="仿宋" w:hAnsi="仿宋" w:eastAsia="仿宋" w:cs="宋体"/>
          <w:color w:val="auto"/>
          <w:sz w:val="28"/>
          <w:szCs w:val="28"/>
          <w:highlight w:val="none"/>
        </w:rPr>
        <w:t>日</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9</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时</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00</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分前（北京时间）</w:t>
      </w:r>
    </w:p>
    <w:p w14:paraId="4AD944A3">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地点：</w:t>
      </w:r>
      <w:r>
        <w:rPr>
          <w:rFonts w:hint="eastAsia" w:ascii="仿宋" w:hAnsi="仿宋" w:eastAsia="仿宋" w:cs="宋体"/>
          <w:color w:val="auto"/>
          <w:sz w:val="28"/>
          <w:szCs w:val="28"/>
          <w:highlight w:val="none"/>
          <w:u w:val="single"/>
        </w:rPr>
        <w:t>桐城师范高等专科学校官网</w:t>
      </w:r>
    </w:p>
    <w:p w14:paraId="38736654">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方式：</w:t>
      </w:r>
      <w:r>
        <w:rPr>
          <w:rFonts w:hint="eastAsia" w:ascii="仿宋" w:hAnsi="仿宋" w:eastAsia="仿宋" w:cs="宋体"/>
          <w:color w:val="auto"/>
          <w:sz w:val="28"/>
          <w:szCs w:val="28"/>
          <w:highlight w:val="none"/>
          <w:u w:val="single"/>
          <w:lang w:val="en-US" w:eastAsia="zh-CN"/>
        </w:rPr>
        <w:t>桐城师范高等专科学校官网和安庆市公共资源交易服务网“限额以下项目”自行下载</w:t>
      </w:r>
    </w:p>
    <w:p w14:paraId="52305C88">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bookmarkStart w:id="19" w:name="_Toc28359092"/>
      <w:bookmarkStart w:id="20" w:name="_Toc28359015"/>
      <w:bookmarkStart w:id="21" w:name="_Toc35393632"/>
      <w:bookmarkStart w:id="22" w:name="_Toc35393801"/>
      <w:r>
        <w:rPr>
          <w:rFonts w:hint="eastAsia" w:ascii="黑体" w:hAnsi="黑体" w:eastAsia="黑体" w:cs="宋体"/>
          <w:bCs/>
          <w:color w:val="auto"/>
          <w:sz w:val="28"/>
          <w:szCs w:val="28"/>
          <w:highlight w:val="none"/>
        </w:rPr>
        <w:t>四、响应文件提交</w:t>
      </w:r>
      <w:bookmarkEnd w:id="19"/>
      <w:bookmarkEnd w:id="20"/>
      <w:bookmarkEnd w:id="21"/>
      <w:bookmarkEnd w:id="22"/>
    </w:p>
    <w:p w14:paraId="4A3600E9">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仿宋"/>
          <w:b w:val="0"/>
          <w:bCs/>
          <w:color w:val="auto"/>
          <w:sz w:val="28"/>
          <w:szCs w:val="28"/>
          <w:highlight w:val="none"/>
        </w:rPr>
      </w:pPr>
      <w:bookmarkStart w:id="23" w:name="_Toc28359093"/>
      <w:bookmarkStart w:id="24" w:name="_Toc28359016"/>
      <w:bookmarkStart w:id="25" w:name="_Toc35393802"/>
      <w:bookmarkStart w:id="26" w:name="_Toc35393633"/>
      <w:r>
        <w:rPr>
          <w:rFonts w:hint="eastAsia" w:ascii="仿宋" w:hAnsi="仿宋" w:eastAsia="仿宋" w:cs="仿宋"/>
          <w:b w:val="0"/>
          <w:bCs/>
          <w:color w:val="auto"/>
          <w:sz w:val="28"/>
          <w:szCs w:val="28"/>
          <w:highlight w:val="none"/>
        </w:rPr>
        <w:t>截止时间：</w:t>
      </w: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u w:val="single"/>
          <w:lang w:val="en-US" w:eastAsia="zh-CN"/>
        </w:rPr>
        <w:t xml:space="preserve"> 7 </w:t>
      </w:r>
      <w:r>
        <w:rPr>
          <w:rFonts w:hint="eastAsia" w:ascii="仿宋" w:hAnsi="仿宋" w:eastAsia="仿宋" w:cs="宋体"/>
          <w:color w:val="auto"/>
          <w:sz w:val="28"/>
          <w:szCs w:val="28"/>
          <w:highlight w:val="none"/>
        </w:rPr>
        <w:t>月</w:t>
      </w:r>
      <w:r>
        <w:rPr>
          <w:rFonts w:hint="eastAsia" w:ascii="仿宋" w:hAnsi="仿宋" w:eastAsia="仿宋" w:cs="宋体"/>
          <w:color w:val="auto"/>
          <w:sz w:val="28"/>
          <w:szCs w:val="28"/>
          <w:highlight w:val="none"/>
          <w:u w:val="single"/>
          <w:lang w:val="en-US" w:eastAsia="zh-CN"/>
        </w:rPr>
        <w:t xml:space="preserve"> 21 </w:t>
      </w:r>
      <w:r>
        <w:rPr>
          <w:rFonts w:hint="eastAsia" w:ascii="仿宋" w:hAnsi="仿宋" w:eastAsia="仿宋" w:cs="宋体"/>
          <w:color w:val="auto"/>
          <w:sz w:val="28"/>
          <w:szCs w:val="28"/>
          <w:highlight w:val="none"/>
        </w:rPr>
        <w:t>日</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9</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时</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00</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分前</w:t>
      </w:r>
    </w:p>
    <w:p w14:paraId="2FDFF555">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rPr>
        <w:t>地点：</w:t>
      </w:r>
      <w:r>
        <w:rPr>
          <w:rFonts w:hint="eastAsia" w:ascii="仿宋" w:hAnsi="仿宋" w:eastAsia="仿宋" w:cs="仿宋"/>
          <w:b w:val="0"/>
          <w:bCs/>
          <w:color w:val="auto"/>
          <w:sz w:val="28"/>
          <w:szCs w:val="28"/>
          <w:highlight w:val="none"/>
          <w:u w:val="single"/>
          <w:lang w:val="en-US" w:eastAsia="zh-CN"/>
        </w:rPr>
        <w:t>纸质响应文件提交至</w:t>
      </w:r>
      <w:r>
        <w:rPr>
          <w:rFonts w:hint="eastAsia" w:ascii="仿宋" w:hAnsi="仿宋" w:eastAsia="仿宋" w:cs="仿宋"/>
          <w:b w:val="0"/>
          <w:bCs/>
          <w:color w:val="auto"/>
          <w:sz w:val="28"/>
          <w:szCs w:val="28"/>
          <w:highlight w:val="none"/>
          <w:u w:val="single"/>
        </w:rPr>
        <w:t>桐城市文昌街道徐庄安置点4期6幢114-115</w:t>
      </w:r>
    </w:p>
    <w:p w14:paraId="7910FF75">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五、开启</w:t>
      </w:r>
      <w:bookmarkEnd w:id="23"/>
      <w:bookmarkEnd w:id="24"/>
      <w:bookmarkEnd w:id="25"/>
      <w:bookmarkEnd w:id="26"/>
    </w:p>
    <w:p w14:paraId="6679B914">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olor w:val="auto"/>
          <w:sz w:val="28"/>
          <w:szCs w:val="28"/>
          <w:highlight w:val="none"/>
          <w:lang w:val="en-US" w:eastAsia="zh-CN"/>
        </w:rPr>
      </w:pPr>
      <w:bookmarkStart w:id="27" w:name="_Toc35393803"/>
      <w:bookmarkStart w:id="28" w:name="_Toc35393634"/>
      <w:bookmarkStart w:id="29" w:name="_Toc28359017"/>
      <w:bookmarkStart w:id="30" w:name="_Toc28359094"/>
      <w:r>
        <w:rPr>
          <w:rFonts w:hint="eastAsia" w:ascii="仿宋" w:hAnsi="仿宋" w:eastAsia="仿宋"/>
          <w:color w:val="auto"/>
          <w:sz w:val="28"/>
          <w:szCs w:val="28"/>
          <w:highlight w:val="none"/>
          <w:lang w:val="en-US" w:eastAsia="zh-CN"/>
        </w:rPr>
        <w:t>时间：</w:t>
      </w: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u w:val="single"/>
          <w:lang w:val="en-US" w:eastAsia="zh-CN"/>
        </w:rPr>
        <w:t xml:space="preserve"> 7 </w:t>
      </w:r>
      <w:r>
        <w:rPr>
          <w:rFonts w:hint="eastAsia" w:ascii="仿宋" w:hAnsi="仿宋" w:eastAsia="仿宋" w:cs="宋体"/>
          <w:color w:val="auto"/>
          <w:sz w:val="28"/>
          <w:szCs w:val="28"/>
          <w:highlight w:val="none"/>
        </w:rPr>
        <w:t>月</w:t>
      </w:r>
      <w:r>
        <w:rPr>
          <w:rFonts w:hint="eastAsia" w:ascii="仿宋" w:hAnsi="仿宋" w:eastAsia="仿宋" w:cs="宋体"/>
          <w:color w:val="auto"/>
          <w:sz w:val="28"/>
          <w:szCs w:val="28"/>
          <w:highlight w:val="none"/>
          <w:u w:val="single"/>
          <w:lang w:val="en-US" w:eastAsia="zh-CN"/>
        </w:rPr>
        <w:t xml:space="preserve"> 21 </w:t>
      </w:r>
      <w:r>
        <w:rPr>
          <w:rFonts w:hint="eastAsia" w:ascii="仿宋" w:hAnsi="仿宋" w:eastAsia="仿宋" w:cs="宋体"/>
          <w:color w:val="auto"/>
          <w:sz w:val="28"/>
          <w:szCs w:val="28"/>
          <w:highlight w:val="none"/>
        </w:rPr>
        <w:t>日</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9</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时</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00</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分</w:t>
      </w:r>
    </w:p>
    <w:p w14:paraId="761158BF">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rPr>
        <w:t>地点：</w:t>
      </w:r>
      <w:r>
        <w:rPr>
          <w:rFonts w:hint="eastAsia" w:ascii="仿宋" w:hAnsi="仿宋" w:eastAsia="仿宋" w:cs="仿宋"/>
          <w:b w:val="0"/>
          <w:bCs/>
          <w:color w:val="auto"/>
          <w:sz w:val="28"/>
          <w:szCs w:val="28"/>
          <w:highlight w:val="none"/>
          <w:u w:val="single"/>
        </w:rPr>
        <w:t>桐城市文昌街道徐庄安置点4期6幢114-115</w:t>
      </w:r>
    </w:p>
    <w:p w14:paraId="3CD112B1">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六、公告期限</w:t>
      </w:r>
      <w:bookmarkEnd w:id="27"/>
      <w:bookmarkEnd w:id="28"/>
      <w:bookmarkEnd w:id="29"/>
      <w:bookmarkEnd w:id="30"/>
    </w:p>
    <w:p w14:paraId="2A05894E">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自本公告发布之日起</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rPr>
        <w:t>个工作日。</w:t>
      </w:r>
    </w:p>
    <w:p w14:paraId="3F986ABF">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firstLine="560" w:firstLineChars="200"/>
        <w:textAlignment w:val="auto"/>
        <w:rPr>
          <w:rFonts w:hint="eastAsia" w:ascii="黑体" w:hAnsi="黑体" w:eastAsia="黑体" w:cs="宋体"/>
          <w:bCs/>
          <w:color w:val="auto"/>
          <w:sz w:val="28"/>
          <w:szCs w:val="28"/>
          <w:highlight w:val="none"/>
        </w:rPr>
      </w:pPr>
      <w:bookmarkStart w:id="31" w:name="_Toc35393804"/>
      <w:bookmarkStart w:id="32" w:name="_Toc35393635"/>
      <w:r>
        <w:rPr>
          <w:rFonts w:hint="eastAsia" w:ascii="黑体" w:hAnsi="黑体" w:eastAsia="黑体" w:cs="宋体"/>
          <w:bCs/>
          <w:color w:val="auto"/>
          <w:sz w:val="28"/>
          <w:szCs w:val="28"/>
          <w:highlight w:val="none"/>
        </w:rPr>
        <w:t>其他补充事宜</w:t>
      </w:r>
      <w:bookmarkEnd w:id="31"/>
      <w:bookmarkEnd w:id="32"/>
    </w:p>
    <w:bookmarkEnd w:id="9"/>
    <w:bookmarkEnd w:id="10"/>
    <w:p w14:paraId="2959D1A1">
      <w:pPr>
        <w:keepNext w:val="0"/>
        <w:keepLines w:val="0"/>
        <w:pageBreakBefore w:val="0"/>
        <w:numPr>
          <w:ilvl w:val="0"/>
          <w:numId w:val="0"/>
        </w:numPr>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1.响应文件要求：投标时需将“响应文件”分正/副本（一正、一副）一起装袋密封，响应文件的密封袋的封口骑缝处应加盖供应商公章。响应文件未按要求装订密封，现场报名时招标代理将拒绝接收。 </w:t>
      </w:r>
    </w:p>
    <w:p w14:paraId="5FA9A95D">
      <w:pPr>
        <w:keepNext w:val="0"/>
        <w:keepLines w:val="0"/>
        <w:pageBreakBefore w:val="0"/>
        <w:numPr>
          <w:ilvl w:val="0"/>
          <w:numId w:val="0"/>
        </w:numPr>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2.中标单位应按照中标通知书要求及时与采购人签订合同并完成备案，否则将记入不良行为记录，并予以披露。</w:t>
      </w:r>
    </w:p>
    <w:p w14:paraId="15B26859">
      <w:pPr>
        <w:keepNext w:val="0"/>
        <w:keepLines w:val="0"/>
        <w:pageBreakBefore w:val="0"/>
        <w:numPr>
          <w:ilvl w:val="0"/>
          <w:numId w:val="0"/>
        </w:numPr>
        <w:kinsoku/>
        <w:wordWrap/>
        <w:overflowPunct/>
        <w:topLinePunct w:val="0"/>
        <w:autoSpaceDE/>
        <w:autoSpaceDN/>
        <w:bidi w:val="0"/>
        <w:snapToGrid/>
        <w:spacing w:line="640" w:lineRule="exact"/>
        <w:textAlignment w:val="auto"/>
        <w:rPr>
          <w:rFonts w:hint="eastAsia" w:ascii="黑体" w:hAnsi="黑体" w:eastAsia="黑体" w:cs="宋体"/>
          <w:bCs/>
          <w:color w:val="auto"/>
          <w:sz w:val="28"/>
          <w:szCs w:val="28"/>
          <w:highlight w:val="none"/>
          <w:lang w:val="en-US" w:eastAsia="zh-CN"/>
        </w:rPr>
      </w:pPr>
      <w:r>
        <w:rPr>
          <w:rFonts w:hint="eastAsia" w:ascii="黑体" w:hAnsi="黑体" w:eastAsia="黑体" w:cs="宋体"/>
          <w:bCs/>
          <w:color w:val="auto"/>
          <w:sz w:val="28"/>
          <w:szCs w:val="28"/>
          <w:highlight w:val="none"/>
          <w:lang w:val="en-US" w:eastAsia="zh-CN"/>
        </w:rPr>
        <w:t xml:space="preserve">    八、凡对本次采购提出询问，请按以下方式联系。</w:t>
      </w:r>
    </w:p>
    <w:p w14:paraId="07892CAE">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1.采购人信息</w:t>
      </w:r>
    </w:p>
    <w:p w14:paraId="0FD87A7D">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名称：桐城师范高等专科学校</w:t>
      </w:r>
    </w:p>
    <w:p w14:paraId="351348A5">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地址：安徽省桐城市经开区学苑路199号</w:t>
      </w:r>
    </w:p>
    <w:p w14:paraId="3508FD9B">
      <w:pPr>
        <w:keepNext w:val="0"/>
        <w:keepLines w:val="0"/>
        <w:pageBreakBefore w:val="0"/>
        <w:kinsoku/>
        <w:wordWrap/>
        <w:overflowPunct/>
        <w:topLinePunct w:val="0"/>
        <w:autoSpaceDE/>
        <w:autoSpaceDN/>
        <w:bidi w:val="0"/>
        <w:snapToGrid/>
        <w:spacing w:line="640" w:lineRule="exact"/>
        <w:ind w:firstLine="560" w:firstLineChars="200"/>
        <w:textAlignment w:val="auto"/>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联系人：杨老师           联系方式：</w:t>
      </w:r>
      <w:r>
        <w:rPr>
          <w:rFonts w:hint="eastAsia" w:ascii="宋体" w:hAnsi="宋体" w:eastAsia="宋体" w:cs="宋体"/>
          <w:i w:val="0"/>
          <w:iCs w:val="0"/>
          <w:caps w:val="0"/>
          <w:color w:val="333333"/>
          <w:spacing w:val="0"/>
          <w:sz w:val="27"/>
          <w:szCs w:val="27"/>
          <w:shd w:val="clear" w:fill="FFFFFF"/>
        </w:rPr>
        <w:t>0556-6121595</w:t>
      </w:r>
    </w:p>
    <w:p w14:paraId="1618AE76">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2.采购代理机构信息</w:t>
      </w:r>
    </w:p>
    <w:p w14:paraId="17D1D3E0">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名称：宏骏工程管理有限公司</w:t>
      </w:r>
    </w:p>
    <w:p w14:paraId="27074D8B">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地址：桐城市文昌街道徐庄安置点4期6幢114-115</w:t>
      </w:r>
    </w:p>
    <w:p w14:paraId="340E10DF">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联系人：齐女士           联系电话：13855669358</w:t>
      </w:r>
    </w:p>
    <w:bookmarkEnd w:id="3"/>
    <w:p w14:paraId="417B9442">
      <w:pPr>
        <w:pStyle w:val="3"/>
        <w:tabs>
          <w:tab w:val="left" w:pos="1440"/>
          <w:tab w:val="left" w:pos="5670"/>
        </w:tabs>
        <w:spacing w:before="62" w:beforeLines="20" w:after="0" w:afterAutospacing="0" w:line="480" w:lineRule="exact"/>
        <w:ind w:firstLine="0" w:firstLineChars="0"/>
        <w:jc w:val="center"/>
        <w:rPr>
          <w:rFonts w:hint="eastAsia" w:ascii="宋体" w:hAnsi="宋体" w:eastAsia="宋体" w:cs="宋体"/>
          <w:b/>
          <w:bCs/>
          <w:color w:val="auto"/>
          <w:kern w:val="2"/>
          <w:sz w:val="36"/>
          <w:szCs w:val="36"/>
          <w:highlight w:val="none"/>
        </w:rPr>
      </w:pPr>
      <w:bookmarkStart w:id="33" w:name="_Toc54941329"/>
      <w:bookmarkStart w:id="34" w:name="_Toc26069"/>
      <w:bookmarkStart w:id="35" w:name="_Toc11266"/>
      <w:bookmarkStart w:id="36" w:name="_Toc2521"/>
      <w:bookmarkStart w:id="37" w:name="_Toc439316872"/>
      <w:bookmarkStart w:id="38" w:name="_Toc54941331"/>
      <w:r>
        <w:rPr>
          <w:rFonts w:hint="eastAsia" w:ascii="宋体" w:hAnsi="宋体" w:eastAsia="宋体" w:cs="宋体"/>
          <w:b/>
          <w:bCs/>
          <w:color w:val="auto"/>
          <w:kern w:val="2"/>
          <w:sz w:val="36"/>
          <w:szCs w:val="36"/>
          <w:highlight w:val="none"/>
        </w:rPr>
        <w:t xml:space="preserve">第二章   </w:t>
      </w:r>
      <w:r>
        <w:rPr>
          <w:rFonts w:hint="eastAsia" w:ascii="宋体" w:hAnsi="宋体" w:eastAsia="宋体" w:cs="宋体"/>
          <w:b/>
          <w:bCs/>
          <w:color w:val="auto"/>
          <w:kern w:val="2"/>
          <w:sz w:val="36"/>
          <w:szCs w:val="36"/>
          <w:highlight w:val="none"/>
          <w:lang w:val="en-US" w:eastAsia="zh-CN"/>
        </w:rPr>
        <w:t>竞争性谈判</w:t>
      </w:r>
      <w:r>
        <w:rPr>
          <w:rFonts w:hint="eastAsia" w:ascii="宋体" w:hAnsi="宋体" w:eastAsia="宋体" w:cs="宋体"/>
          <w:b/>
          <w:bCs/>
          <w:color w:val="auto"/>
          <w:kern w:val="2"/>
          <w:sz w:val="36"/>
          <w:szCs w:val="36"/>
          <w:highlight w:val="none"/>
        </w:rPr>
        <w:t>须知</w:t>
      </w:r>
      <w:bookmarkEnd w:id="33"/>
      <w:bookmarkEnd w:id="34"/>
      <w:bookmarkEnd w:id="35"/>
    </w:p>
    <w:p w14:paraId="62BB8DF9">
      <w:pPr>
        <w:pStyle w:val="3"/>
        <w:tabs>
          <w:tab w:val="left" w:pos="1440"/>
          <w:tab w:val="left" w:pos="5670"/>
        </w:tabs>
        <w:spacing w:before="0" w:beforeAutospacing="0" w:after="62" w:afterLines="20" w:line="480" w:lineRule="exact"/>
        <w:ind w:firstLine="0" w:firstLineChars="0"/>
        <w:jc w:val="center"/>
        <w:rPr>
          <w:rFonts w:hint="eastAsia" w:ascii="宋体" w:hAnsi="宋体" w:eastAsia="宋体" w:cs="宋体"/>
          <w:b/>
          <w:bCs/>
          <w:color w:val="auto"/>
          <w:kern w:val="2"/>
          <w:sz w:val="32"/>
          <w:szCs w:val="32"/>
          <w:highlight w:val="none"/>
          <w:lang w:eastAsia="zh-CN"/>
        </w:rPr>
      </w:pPr>
      <w:bookmarkStart w:id="39" w:name="_Toc439316871"/>
      <w:bookmarkStart w:id="40" w:name="_Toc54941330"/>
      <w:bookmarkStart w:id="41" w:name="_Toc17862"/>
      <w:r>
        <w:rPr>
          <w:rFonts w:hint="eastAsia" w:ascii="宋体" w:hAnsi="宋体" w:eastAsia="宋体" w:cs="宋体"/>
          <w:b/>
          <w:bCs/>
          <w:color w:val="auto"/>
          <w:kern w:val="2"/>
          <w:sz w:val="32"/>
          <w:szCs w:val="32"/>
          <w:highlight w:val="none"/>
        </w:rPr>
        <w:t xml:space="preserve">第一节 </w:t>
      </w:r>
      <w:bookmarkEnd w:id="39"/>
      <w:bookmarkEnd w:id="40"/>
      <w:bookmarkEnd w:id="41"/>
      <w:r>
        <w:rPr>
          <w:rFonts w:hint="eastAsia" w:ascii="宋体" w:hAnsi="宋体" w:eastAsia="宋体" w:cs="宋体"/>
          <w:b/>
          <w:bCs/>
          <w:color w:val="auto"/>
          <w:kern w:val="2"/>
          <w:sz w:val="32"/>
          <w:szCs w:val="32"/>
          <w:highlight w:val="none"/>
          <w:lang w:eastAsia="zh-CN"/>
        </w:rPr>
        <w:t>谈判须知前附表</w:t>
      </w:r>
    </w:p>
    <w:tbl>
      <w:tblPr>
        <w:tblStyle w:val="40"/>
        <w:tblW w:w="104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0"/>
        <w:gridCol w:w="2698"/>
        <w:gridCol w:w="7084"/>
      </w:tblGrid>
      <w:tr w14:paraId="44360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700" w:type="dxa"/>
            <w:tcBorders>
              <w:top w:val="single" w:color="auto" w:sz="4" w:space="0"/>
              <w:bottom w:val="single" w:color="auto" w:sz="4" w:space="0"/>
              <w:right w:val="single" w:color="auto" w:sz="4" w:space="0"/>
            </w:tcBorders>
            <w:vAlign w:val="center"/>
          </w:tcPr>
          <w:p w14:paraId="61D919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2698" w:type="dxa"/>
            <w:tcBorders>
              <w:top w:val="single" w:color="auto" w:sz="4" w:space="0"/>
              <w:left w:val="single" w:color="auto" w:sz="4" w:space="0"/>
              <w:bottom w:val="single" w:color="auto" w:sz="4" w:space="0"/>
              <w:right w:val="single" w:color="auto" w:sz="4" w:space="0"/>
            </w:tcBorders>
          </w:tcPr>
          <w:p w14:paraId="7E9374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内容</w:t>
            </w:r>
          </w:p>
        </w:tc>
        <w:tc>
          <w:tcPr>
            <w:tcW w:w="7084" w:type="dxa"/>
            <w:tcBorders>
              <w:top w:val="single" w:color="auto" w:sz="4" w:space="0"/>
              <w:left w:val="single" w:color="auto" w:sz="4" w:space="0"/>
              <w:bottom w:val="single" w:color="auto" w:sz="4" w:space="0"/>
            </w:tcBorders>
            <w:vAlign w:val="center"/>
          </w:tcPr>
          <w:p w14:paraId="32035F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说明与要求</w:t>
            </w:r>
          </w:p>
        </w:tc>
      </w:tr>
      <w:tr w14:paraId="2A135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0" w:type="dxa"/>
            <w:tcBorders>
              <w:top w:val="single" w:color="auto" w:sz="4" w:space="0"/>
              <w:bottom w:val="single" w:color="auto" w:sz="4" w:space="0"/>
              <w:right w:val="single" w:color="auto" w:sz="4" w:space="0"/>
            </w:tcBorders>
            <w:vAlign w:val="center"/>
          </w:tcPr>
          <w:p w14:paraId="250DD6E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eastAsia="zh-CN"/>
              </w:rPr>
            </w:pPr>
            <w:r>
              <w:rPr>
                <w:rFonts w:hint="eastAsia" w:asciiTheme="minorEastAsia" w:hAnsiTheme="minorEastAsia" w:eastAsiaTheme="minorEastAsia" w:cstheme="minorEastAsia"/>
                <w:b/>
                <w:bCs/>
                <w:sz w:val="24"/>
                <w:szCs w:val="22"/>
                <w:lang w:val="en-US" w:eastAsia="zh-CN"/>
              </w:rPr>
              <w:t>1</w:t>
            </w:r>
          </w:p>
        </w:tc>
        <w:tc>
          <w:tcPr>
            <w:tcW w:w="2698" w:type="dxa"/>
            <w:tcBorders>
              <w:top w:val="single" w:color="auto" w:sz="4" w:space="0"/>
              <w:left w:val="single" w:color="auto" w:sz="4" w:space="0"/>
              <w:bottom w:val="single" w:color="auto" w:sz="4" w:space="0"/>
              <w:right w:val="single" w:color="auto" w:sz="4" w:space="0"/>
            </w:tcBorders>
            <w:vAlign w:val="center"/>
          </w:tcPr>
          <w:p w14:paraId="7D6298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采购人</w:t>
            </w:r>
          </w:p>
        </w:tc>
        <w:tc>
          <w:tcPr>
            <w:tcW w:w="7084" w:type="dxa"/>
            <w:tcBorders>
              <w:top w:val="single" w:color="auto" w:sz="4" w:space="0"/>
              <w:left w:val="single" w:color="auto" w:sz="4" w:space="0"/>
              <w:bottom w:val="single" w:color="auto" w:sz="4" w:space="0"/>
            </w:tcBorders>
            <w:vAlign w:val="center"/>
          </w:tcPr>
          <w:p w14:paraId="7DC7E68B">
            <w:pPr>
              <w:pageBreakBefore w:val="0"/>
              <w:widowControl/>
              <w:kinsoku/>
              <w:overflowPunct/>
              <w:topLinePunct w:val="0"/>
              <w:bidi w:val="0"/>
              <w:snapToGrid w:val="0"/>
              <w:spacing w:line="440" w:lineRule="exact"/>
              <w:jc w:val="left"/>
              <w:rPr>
                <w:rFonts w:hint="default"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桐城师范高等专科学校</w:t>
            </w:r>
          </w:p>
        </w:tc>
      </w:tr>
      <w:tr w14:paraId="12793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tcBorders>
              <w:top w:val="single" w:color="auto" w:sz="4" w:space="0"/>
              <w:bottom w:val="single" w:color="auto" w:sz="4" w:space="0"/>
              <w:right w:val="single" w:color="auto" w:sz="4" w:space="0"/>
            </w:tcBorders>
            <w:vAlign w:val="center"/>
          </w:tcPr>
          <w:p w14:paraId="5927D64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eastAsia="zh-CN"/>
              </w:rPr>
            </w:pPr>
            <w:r>
              <w:rPr>
                <w:rFonts w:hint="eastAsia" w:asciiTheme="minorEastAsia" w:hAnsiTheme="minorEastAsia" w:eastAsiaTheme="minorEastAsia" w:cstheme="minorEastAsia"/>
                <w:b/>
                <w:bCs/>
                <w:sz w:val="24"/>
                <w:szCs w:val="22"/>
                <w:lang w:val="en-US" w:eastAsia="zh-CN"/>
              </w:rPr>
              <w:t>2</w:t>
            </w:r>
          </w:p>
        </w:tc>
        <w:tc>
          <w:tcPr>
            <w:tcW w:w="2698" w:type="dxa"/>
            <w:tcBorders>
              <w:top w:val="single" w:color="auto" w:sz="4" w:space="0"/>
              <w:left w:val="single" w:color="auto" w:sz="4" w:space="0"/>
              <w:bottom w:val="single" w:color="auto" w:sz="4" w:space="0"/>
              <w:right w:val="single" w:color="auto" w:sz="4" w:space="0"/>
            </w:tcBorders>
            <w:vAlign w:val="center"/>
          </w:tcPr>
          <w:p w14:paraId="61BA62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采购</w:t>
            </w:r>
            <w:r>
              <w:rPr>
                <w:rFonts w:hint="eastAsia" w:asciiTheme="minorEastAsia" w:hAnsiTheme="minorEastAsia" w:eastAsiaTheme="minorEastAsia" w:cstheme="minorEastAsia"/>
                <w:sz w:val="24"/>
                <w:szCs w:val="22"/>
                <w:lang w:val="en-US" w:eastAsia="zh-CN"/>
              </w:rPr>
              <w:t>代理</w:t>
            </w:r>
            <w:r>
              <w:rPr>
                <w:rFonts w:hint="eastAsia" w:asciiTheme="minorEastAsia" w:hAnsiTheme="minorEastAsia" w:eastAsiaTheme="minorEastAsia" w:cstheme="minorEastAsia"/>
                <w:sz w:val="24"/>
                <w:szCs w:val="22"/>
              </w:rPr>
              <w:t>机构</w:t>
            </w:r>
          </w:p>
        </w:tc>
        <w:tc>
          <w:tcPr>
            <w:tcW w:w="7084" w:type="dxa"/>
            <w:tcBorders>
              <w:top w:val="single" w:color="auto" w:sz="4" w:space="0"/>
              <w:left w:val="single" w:color="auto" w:sz="4" w:space="0"/>
              <w:bottom w:val="single" w:color="auto" w:sz="4" w:space="0"/>
            </w:tcBorders>
            <w:vAlign w:val="center"/>
          </w:tcPr>
          <w:p w14:paraId="70B3BC7A">
            <w:pPr>
              <w:pageBreakBefore w:val="0"/>
              <w:kinsoku/>
              <w:overflowPunct/>
              <w:topLinePunct w:val="0"/>
              <w:bidi w:val="0"/>
              <w:snapToGrid w:val="0"/>
              <w:spacing w:line="440" w:lineRule="exact"/>
              <w:jc w:val="left"/>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宏骏工程管理有限公司</w:t>
            </w:r>
          </w:p>
        </w:tc>
      </w:tr>
      <w:tr w14:paraId="4DECC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700" w:type="dxa"/>
            <w:tcBorders>
              <w:top w:val="single" w:color="auto" w:sz="4" w:space="0"/>
              <w:bottom w:val="single" w:color="auto" w:sz="4" w:space="0"/>
              <w:right w:val="single" w:color="auto" w:sz="4" w:space="0"/>
            </w:tcBorders>
            <w:vAlign w:val="center"/>
          </w:tcPr>
          <w:p w14:paraId="7E95B2A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3</w:t>
            </w:r>
          </w:p>
        </w:tc>
        <w:tc>
          <w:tcPr>
            <w:tcW w:w="2698" w:type="dxa"/>
            <w:tcBorders>
              <w:top w:val="single" w:color="auto" w:sz="4" w:space="0"/>
              <w:left w:val="single" w:color="auto" w:sz="4" w:space="0"/>
              <w:bottom w:val="single" w:color="auto" w:sz="4" w:space="0"/>
              <w:right w:val="single" w:color="auto" w:sz="4" w:space="0"/>
            </w:tcBorders>
            <w:vAlign w:val="center"/>
          </w:tcPr>
          <w:p w14:paraId="33DFAF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申请人（供应商）</w:t>
            </w:r>
            <w:r>
              <w:rPr>
                <w:rFonts w:hint="eastAsia" w:asciiTheme="minorEastAsia" w:hAnsiTheme="minorEastAsia" w:eastAsiaTheme="minorEastAsia" w:cstheme="minorEastAsia"/>
                <w:sz w:val="24"/>
                <w:szCs w:val="22"/>
              </w:rPr>
              <w:t>资格要求</w:t>
            </w:r>
          </w:p>
        </w:tc>
        <w:tc>
          <w:tcPr>
            <w:tcW w:w="7084" w:type="dxa"/>
            <w:tcBorders>
              <w:top w:val="single" w:color="auto" w:sz="4" w:space="0"/>
              <w:left w:val="single" w:color="auto" w:sz="4" w:space="0"/>
              <w:bottom w:val="single" w:color="auto" w:sz="4" w:space="0"/>
            </w:tcBorders>
            <w:vAlign w:val="center"/>
          </w:tcPr>
          <w:p w14:paraId="27FE7CE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详见竞争性谈判公告</w:t>
            </w:r>
          </w:p>
        </w:tc>
      </w:tr>
      <w:tr w14:paraId="3FF3DB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700" w:type="dxa"/>
            <w:tcBorders>
              <w:top w:val="single" w:color="auto" w:sz="4" w:space="0"/>
              <w:bottom w:val="single" w:color="auto" w:sz="4" w:space="0"/>
              <w:right w:val="single" w:color="auto" w:sz="4" w:space="0"/>
            </w:tcBorders>
            <w:vAlign w:val="center"/>
          </w:tcPr>
          <w:p w14:paraId="163F2D1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4</w:t>
            </w:r>
          </w:p>
        </w:tc>
        <w:tc>
          <w:tcPr>
            <w:tcW w:w="2698" w:type="dxa"/>
            <w:tcBorders>
              <w:top w:val="single" w:color="auto" w:sz="4" w:space="0"/>
              <w:left w:val="single" w:color="auto" w:sz="4" w:space="0"/>
              <w:bottom w:val="single" w:color="auto" w:sz="4" w:space="0"/>
              <w:right w:val="single" w:color="auto" w:sz="4" w:space="0"/>
            </w:tcBorders>
            <w:vAlign w:val="center"/>
          </w:tcPr>
          <w:p w14:paraId="0893C86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现场考察</w:t>
            </w:r>
          </w:p>
        </w:tc>
        <w:tc>
          <w:tcPr>
            <w:tcW w:w="7084" w:type="dxa"/>
            <w:tcBorders>
              <w:top w:val="single" w:color="auto" w:sz="4" w:space="0"/>
              <w:left w:val="single" w:color="auto" w:sz="4" w:space="0"/>
              <w:bottom w:val="single" w:color="auto" w:sz="4" w:space="0"/>
            </w:tcBorders>
            <w:vAlign w:val="center"/>
          </w:tcPr>
          <w:p w14:paraId="1AB1C9D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rPr>
            </w:pPr>
            <w:r>
              <w:rPr>
                <w:rFonts w:ascii="宋体" w:hAnsi="宋体" w:eastAsia="宋体"/>
                <w:bCs/>
                <w:color w:val="auto"/>
                <w:sz w:val="24"/>
                <w:szCs w:val="24"/>
                <w:highlight w:val="none"/>
              </w:rPr>
              <w:t>□</w:t>
            </w:r>
            <w:r>
              <w:rPr>
                <w:rFonts w:hint="eastAsia" w:ascii="宋体" w:hAnsi="宋体" w:eastAsia="宋体"/>
                <w:color w:val="auto"/>
                <w:sz w:val="24"/>
                <w:highlight w:val="none"/>
              </w:rPr>
              <w:t>不组织</w:t>
            </w:r>
            <w:r>
              <w:rPr>
                <w:rFonts w:hint="eastAsia" w:ascii="宋体" w:hAnsi="宋体" w:eastAsia="宋体"/>
                <w:color w:val="auto"/>
                <w:sz w:val="24"/>
                <w:highlight w:val="none"/>
                <w:lang w:val="en-US" w:eastAsia="zh-CN"/>
              </w:rPr>
              <w:t>或不召开</w:t>
            </w:r>
          </w:p>
          <w:p w14:paraId="004195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bCs/>
                <w:color w:val="auto"/>
                <w:sz w:val="24"/>
                <w:highlight w:val="none"/>
              </w:rPr>
              <w:t>统一组织</w:t>
            </w:r>
            <w:r>
              <w:rPr>
                <w:rFonts w:hint="eastAsia" w:ascii="宋体" w:hAnsi="宋体" w:eastAsia="宋体"/>
                <w:bCs/>
                <w:color w:val="auto"/>
                <w:sz w:val="24"/>
                <w:highlight w:val="none"/>
                <w:lang w:val="en-US" w:eastAsia="zh-CN"/>
              </w:rPr>
              <w:t>或统一召开</w:t>
            </w:r>
          </w:p>
          <w:p w14:paraId="1DFB6A50">
            <w:pPr>
              <w:spacing w:line="360" w:lineRule="auto"/>
              <w:rPr>
                <w:rFonts w:ascii="宋体" w:hAnsi="宋体" w:eastAsia="宋体"/>
                <w:bCs/>
                <w:color w:val="auto"/>
                <w:sz w:val="24"/>
                <w:highlight w:val="none"/>
                <w:u w:val="single"/>
              </w:rPr>
            </w:pPr>
            <w:r>
              <w:rPr>
                <w:rFonts w:hint="eastAsia" w:ascii="宋体" w:hAnsi="宋体" w:eastAsia="宋体"/>
                <w:bCs/>
                <w:color w:val="auto"/>
                <w:sz w:val="24"/>
                <w:highlight w:val="none"/>
              </w:rPr>
              <w:t>时间：</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2026</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年</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7</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月</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17</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日</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15</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时</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00</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分</w:t>
            </w:r>
          </w:p>
          <w:p w14:paraId="7C4E3780">
            <w:pPr>
              <w:spacing w:line="360" w:lineRule="auto"/>
              <w:rPr>
                <w:rFonts w:ascii="宋体" w:hAnsi="宋体" w:eastAsia="宋体"/>
                <w:bCs/>
                <w:color w:val="auto"/>
                <w:sz w:val="24"/>
                <w:highlight w:val="none"/>
                <w:u w:val="single"/>
              </w:rPr>
            </w:pPr>
            <w:r>
              <w:rPr>
                <w:rFonts w:hint="eastAsia" w:ascii="宋体" w:hAnsi="宋体" w:eastAsia="宋体"/>
                <w:bCs/>
                <w:color w:val="auto"/>
                <w:sz w:val="24"/>
                <w:highlight w:val="none"/>
              </w:rPr>
              <w:t>地点：</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桐城师范高等专科学校</w:t>
            </w:r>
            <w:r>
              <w:rPr>
                <w:rFonts w:ascii="宋体" w:hAnsi="宋体" w:eastAsia="宋体"/>
                <w:bCs/>
                <w:color w:val="auto"/>
                <w:sz w:val="24"/>
                <w:highlight w:val="none"/>
                <w:u w:val="single"/>
              </w:rPr>
              <w:t xml:space="preserve"> </w:t>
            </w:r>
          </w:p>
          <w:p w14:paraId="3D142B2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联系人及联系电话：</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杨老师，0556-6121595</w:t>
            </w:r>
            <w:r>
              <w:rPr>
                <w:rFonts w:ascii="宋体" w:hAnsi="宋体" w:eastAsia="宋体"/>
                <w:bCs/>
                <w:color w:val="auto"/>
                <w:sz w:val="24"/>
                <w:highlight w:val="none"/>
                <w:u w:val="single"/>
              </w:rPr>
              <w:t xml:space="preserve"> </w:t>
            </w:r>
          </w:p>
          <w:p w14:paraId="5B09724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自行承担。</w:t>
            </w:r>
          </w:p>
        </w:tc>
      </w:tr>
      <w:tr w14:paraId="434E6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tcBorders>
              <w:top w:val="single" w:color="auto" w:sz="4" w:space="0"/>
              <w:bottom w:val="single" w:color="auto" w:sz="4" w:space="0"/>
              <w:right w:val="single" w:color="auto" w:sz="4" w:space="0"/>
            </w:tcBorders>
            <w:vAlign w:val="center"/>
          </w:tcPr>
          <w:p w14:paraId="200120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5</w:t>
            </w:r>
          </w:p>
        </w:tc>
        <w:tc>
          <w:tcPr>
            <w:tcW w:w="2698" w:type="dxa"/>
            <w:tcBorders>
              <w:top w:val="single" w:color="auto" w:sz="4" w:space="0"/>
              <w:left w:val="single" w:color="auto" w:sz="4" w:space="0"/>
              <w:bottom w:val="single" w:color="auto" w:sz="4" w:space="0"/>
              <w:right w:val="single" w:color="auto" w:sz="4" w:space="0"/>
            </w:tcBorders>
            <w:vAlign w:val="center"/>
          </w:tcPr>
          <w:p w14:paraId="2FFB3C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包别划分</w:t>
            </w:r>
          </w:p>
        </w:tc>
        <w:tc>
          <w:tcPr>
            <w:tcW w:w="7084" w:type="dxa"/>
            <w:tcBorders>
              <w:top w:val="single" w:color="auto" w:sz="4" w:space="0"/>
              <w:left w:val="single" w:color="auto" w:sz="4" w:space="0"/>
              <w:bottom w:val="single" w:color="auto" w:sz="4" w:space="0"/>
            </w:tcBorders>
            <w:vAlign w:val="center"/>
          </w:tcPr>
          <w:p w14:paraId="43F7CC8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color w:val="auto"/>
                <w:sz w:val="24"/>
                <w:szCs w:val="24"/>
                <w:highlight w:val="none"/>
                <w:lang w:val="en-US" w:eastAsia="zh-CN"/>
              </w:rPr>
              <w:t>一个包</w:t>
            </w:r>
          </w:p>
        </w:tc>
      </w:tr>
      <w:tr w14:paraId="685C4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00" w:type="dxa"/>
            <w:tcBorders>
              <w:top w:val="single" w:color="auto" w:sz="4" w:space="0"/>
              <w:bottom w:val="single" w:color="auto" w:sz="4" w:space="0"/>
              <w:right w:val="single" w:color="auto" w:sz="4" w:space="0"/>
            </w:tcBorders>
            <w:vAlign w:val="center"/>
          </w:tcPr>
          <w:p w14:paraId="37D469E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6</w:t>
            </w:r>
          </w:p>
        </w:tc>
        <w:tc>
          <w:tcPr>
            <w:tcW w:w="2698" w:type="dxa"/>
            <w:tcBorders>
              <w:top w:val="single" w:color="auto" w:sz="4" w:space="0"/>
              <w:left w:val="single" w:color="auto" w:sz="4" w:space="0"/>
              <w:bottom w:val="single" w:color="auto" w:sz="4" w:space="0"/>
              <w:right w:val="single" w:color="auto" w:sz="4" w:space="0"/>
            </w:tcBorders>
            <w:vAlign w:val="center"/>
          </w:tcPr>
          <w:p w14:paraId="73D4CA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有效期</w:t>
            </w:r>
          </w:p>
        </w:tc>
        <w:tc>
          <w:tcPr>
            <w:tcW w:w="7084" w:type="dxa"/>
            <w:tcBorders>
              <w:top w:val="single" w:color="auto" w:sz="4" w:space="0"/>
              <w:left w:val="single" w:color="auto" w:sz="4" w:space="0"/>
              <w:bottom w:val="single" w:color="auto" w:sz="4" w:space="0"/>
            </w:tcBorders>
            <w:vAlign w:val="center"/>
          </w:tcPr>
          <w:p w14:paraId="0ED9365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color w:val="auto"/>
                <w:sz w:val="24"/>
                <w:szCs w:val="24"/>
                <w:highlight w:val="none"/>
                <w:u w:val="single"/>
              </w:rPr>
              <w:t>90日历天（从响应文件提交截止时间算起）</w:t>
            </w:r>
          </w:p>
        </w:tc>
      </w:tr>
      <w:tr w14:paraId="1F099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00" w:type="dxa"/>
            <w:tcBorders>
              <w:top w:val="single" w:color="auto" w:sz="4" w:space="0"/>
              <w:bottom w:val="single" w:color="auto" w:sz="4" w:space="0"/>
              <w:right w:val="single" w:color="auto" w:sz="4" w:space="0"/>
            </w:tcBorders>
            <w:vAlign w:val="center"/>
          </w:tcPr>
          <w:p w14:paraId="701C19C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7</w:t>
            </w:r>
          </w:p>
        </w:tc>
        <w:tc>
          <w:tcPr>
            <w:tcW w:w="2698" w:type="dxa"/>
            <w:tcBorders>
              <w:top w:val="single" w:color="auto" w:sz="4" w:space="0"/>
              <w:left w:val="single" w:color="auto" w:sz="4" w:space="0"/>
              <w:bottom w:val="single" w:color="auto" w:sz="4" w:space="0"/>
              <w:right w:val="single" w:color="auto" w:sz="4" w:space="0"/>
            </w:tcBorders>
            <w:vAlign w:val="center"/>
          </w:tcPr>
          <w:p w14:paraId="5BE397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响应文件要求</w:t>
            </w:r>
          </w:p>
        </w:tc>
        <w:tc>
          <w:tcPr>
            <w:tcW w:w="7084" w:type="dxa"/>
            <w:tcBorders>
              <w:top w:val="single" w:color="auto" w:sz="4" w:space="0"/>
              <w:left w:val="single" w:color="auto" w:sz="4" w:space="0"/>
              <w:bottom w:val="single" w:color="auto" w:sz="4" w:space="0"/>
            </w:tcBorders>
            <w:vAlign w:val="center"/>
          </w:tcPr>
          <w:p w14:paraId="548DB967">
            <w:pPr>
              <w:pageBreakBefore w:val="0"/>
              <w:kinsoku/>
              <w:overflowPunct/>
              <w:topLinePunct w:val="0"/>
              <w:bidi w:val="0"/>
              <w:snapToGrid w:val="0"/>
              <w:spacing w:line="440" w:lineRule="exact"/>
              <w:rPr>
                <w:rFonts w:hint="eastAsia" w:asciiTheme="minorEastAsia" w:hAnsiTheme="minorEastAsia" w:eastAsiaTheme="minorEastAsia" w:cstheme="minorEastAsia"/>
                <w:b w:val="0"/>
                <w:bCs w:val="0"/>
                <w:color w:val="auto"/>
                <w:kern w:val="0"/>
                <w:sz w:val="24"/>
                <w:szCs w:val="24"/>
                <w:highlight w:val="none"/>
                <w:lang w:val="en-US" w:eastAsia="zh-CN" w:bidi="ar"/>
              </w:rPr>
            </w:pPr>
            <w:r>
              <w:rPr>
                <w:rFonts w:hint="eastAsia" w:asciiTheme="minorEastAsia" w:hAnsiTheme="minorEastAsia" w:eastAsiaTheme="minorEastAsia" w:cstheme="minorEastAsia"/>
                <w:b w:val="0"/>
                <w:bCs w:val="0"/>
                <w:color w:val="auto"/>
                <w:kern w:val="0"/>
                <w:sz w:val="24"/>
                <w:szCs w:val="24"/>
                <w:highlight w:val="none"/>
                <w:lang w:val="en-US" w:eastAsia="zh-CN" w:bidi="ar"/>
              </w:rPr>
              <w:t>（1）供应商的响应文件需</w:t>
            </w:r>
            <w:r>
              <w:rPr>
                <w:rFonts w:hint="eastAsia" w:asciiTheme="minorEastAsia" w:hAnsiTheme="minorEastAsia" w:eastAsiaTheme="minorEastAsia" w:cstheme="minorEastAsia"/>
                <w:b/>
                <w:bCs/>
                <w:color w:val="auto"/>
                <w:kern w:val="0"/>
                <w:sz w:val="24"/>
                <w:szCs w:val="24"/>
                <w:highlight w:val="none"/>
                <w:lang w:val="en-US" w:eastAsia="zh-CN" w:bidi="ar"/>
              </w:rPr>
              <w:t>胶装</w:t>
            </w:r>
            <w:r>
              <w:rPr>
                <w:rFonts w:hint="eastAsia" w:asciiTheme="minorEastAsia" w:hAnsiTheme="minorEastAsia" w:eastAsiaTheme="minorEastAsia" w:cstheme="minorEastAsia"/>
                <w:b w:val="0"/>
                <w:bCs w:val="0"/>
                <w:color w:val="auto"/>
                <w:kern w:val="0"/>
                <w:sz w:val="24"/>
                <w:szCs w:val="24"/>
                <w:highlight w:val="none"/>
                <w:lang w:val="en-US" w:eastAsia="zh-CN" w:bidi="ar"/>
              </w:rPr>
              <w:t>成册，所附材料须按规定填写，并按要求签字盖章，否则按废标处理。</w:t>
            </w:r>
          </w:p>
          <w:p w14:paraId="27565755">
            <w:pPr>
              <w:pageBreakBefore w:val="0"/>
              <w:kinsoku/>
              <w:overflowPunct/>
              <w:topLinePunct w:val="0"/>
              <w:bidi w:val="0"/>
              <w:snapToGrid w:val="0"/>
              <w:spacing w:line="440" w:lineRule="exact"/>
              <w:rPr>
                <w:rFonts w:hint="eastAsia" w:asciiTheme="minorEastAsia" w:hAnsiTheme="minorEastAsia" w:eastAsiaTheme="minorEastAsia" w:cstheme="minorEastAsia"/>
                <w:b w:val="0"/>
                <w:bCs w:val="0"/>
                <w:color w:val="auto"/>
                <w:kern w:val="0"/>
                <w:sz w:val="24"/>
                <w:szCs w:val="24"/>
                <w:highlight w:val="none"/>
                <w:lang w:val="en-US" w:eastAsia="zh-CN" w:bidi="ar"/>
              </w:rPr>
            </w:pPr>
            <w:r>
              <w:rPr>
                <w:rFonts w:hint="eastAsia" w:asciiTheme="minorEastAsia" w:hAnsiTheme="minorEastAsia" w:eastAsiaTheme="minorEastAsia" w:cstheme="minorEastAsia"/>
                <w:b w:val="0"/>
                <w:bCs w:val="0"/>
                <w:color w:val="auto"/>
                <w:kern w:val="0"/>
                <w:sz w:val="24"/>
                <w:szCs w:val="24"/>
                <w:highlight w:val="none"/>
                <w:lang w:val="en-US" w:eastAsia="zh-CN" w:bidi="ar"/>
              </w:rPr>
              <w:t>（2）供应商需携带授权委托书递交响应文件，否则现场报名时招标代理将拒绝接收。</w:t>
            </w:r>
          </w:p>
          <w:p w14:paraId="0BF0367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rPr>
            </w:pPr>
            <w:r>
              <w:rPr>
                <w:rFonts w:hint="eastAsia" w:asciiTheme="minorEastAsia" w:hAnsiTheme="minorEastAsia" w:eastAsiaTheme="minorEastAsia" w:cstheme="minorEastAsia"/>
                <w:b w:val="0"/>
                <w:bCs w:val="0"/>
                <w:color w:val="auto"/>
                <w:kern w:val="0"/>
                <w:sz w:val="24"/>
                <w:szCs w:val="24"/>
                <w:highlight w:val="none"/>
                <w:lang w:val="en-US" w:eastAsia="zh-CN" w:bidi="ar"/>
              </w:rPr>
              <w:t>（3）法定代表人递交响应文件无需授权委托书，提供身份证明即可。</w:t>
            </w:r>
          </w:p>
        </w:tc>
      </w:tr>
      <w:tr w14:paraId="08CC8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00" w:type="dxa"/>
            <w:tcBorders>
              <w:top w:val="single" w:color="auto" w:sz="4" w:space="0"/>
              <w:bottom w:val="single" w:color="auto" w:sz="4" w:space="0"/>
              <w:right w:val="single" w:color="auto" w:sz="4" w:space="0"/>
            </w:tcBorders>
            <w:vAlign w:val="center"/>
          </w:tcPr>
          <w:p w14:paraId="5784F1B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8</w:t>
            </w:r>
          </w:p>
        </w:tc>
        <w:tc>
          <w:tcPr>
            <w:tcW w:w="2698" w:type="dxa"/>
            <w:tcBorders>
              <w:top w:val="single" w:color="auto" w:sz="4" w:space="0"/>
              <w:left w:val="single" w:color="auto" w:sz="4" w:space="0"/>
              <w:bottom w:val="single" w:color="auto" w:sz="4" w:space="0"/>
              <w:right w:val="single" w:color="auto" w:sz="4" w:space="0"/>
            </w:tcBorders>
            <w:vAlign w:val="center"/>
          </w:tcPr>
          <w:p w14:paraId="26ADD0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响应文件的密封和标记</w:t>
            </w:r>
          </w:p>
        </w:tc>
        <w:tc>
          <w:tcPr>
            <w:tcW w:w="7084" w:type="dxa"/>
            <w:tcBorders>
              <w:top w:val="single" w:color="auto" w:sz="4" w:space="0"/>
              <w:left w:val="single" w:color="auto" w:sz="4" w:space="0"/>
              <w:bottom w:val="single" w:color="auto" w:sz="4" w:space="0"/>
            </w:tcBorders>
            <w:vAlign w:val="center"/>
          </w:tcPr>
          <w:p w14:paraId="748D36E7">
            <w:pPr>
              <w:keepNext w:val="0"/>
              <w:keepLines w:val="0"/>
              <w:numPr>
                <w:ilvl w:val="0"/>
                <w:numId w:val="0"/>
              </w:numPr>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密封要求：“响应文件”分正/副本（一正、一副）一起装袋密封</w:t>
            </w: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，响应文件的密封袋的封口骑缝处应加盖</w:t>
            </w: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供应商公章</w:t>
            </w: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w:t>
            </w:r>
          </w:p>
          <w:p w14:paraId="791EEF46">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供应商未按上述要求密封的，现场报名时招标代理将拒绝接收。</w:t>
            </w:r>
          </w:p>
          <w:p w14:paraId="64ED7252">
            <w:pPr>
              <w:keepNext w:val="0"/>
              <w:keepLines w:val="0"/>
              <w:numPr>
                <w:ilvl w:val="0"/>
                <w:numId w:val="0"/>
              </w:numPr>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在</w:t>
            </w: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密封袋上注明</w:t>
            </w: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下列内容</w:t>
            </w: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w:t>
            </w:r>
          </w:p>
          <w:p w14:paraId="79A9EFE5">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供应商名称：</w:t>
            </w: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 xml:space="preserve">   </w:t>
            </w:r>
          </w:p>
          <w:p w14:paraId="338786B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项目名称：</w:t>
            </w:r>
          </w:p>
          <w:p w14:paraId="52450BC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2026年7月21 日09时00分（北京时间），此时间以前不得开封。</w:t>
            </w:r>
          </w:p>
        </w:tc>
      </w:tr>
      <w:tr w14:paraId="44A124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700" w:type="dxa"/>
            <w:tcBorders>
              <w:top w:val="single" w:color="auto" w:sz="4" w:space="0"/>
              <w:bottom w:val="single" w:color="auto" w:sz="4" w:space="0"/>
              <w:right w:val="single" w:color="auto" w:sz="4" w:space="0"/>
            </w:tcBorders>
            <w:vAlign w:val="center"/>
          </w:tcPr>
          <w:p w14:paraId="1316747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9</w:t>
            </w:r>
          </w:p>
        </w:tc>
        <w:tc>
          <w:tcPr>
            <w:tcW w:w="2698" w:type="dxa"/>
            <w:tcBorders>
              <w:top w:val="single" w:color="auto" w:sz="4" w:space="0"/>
              <w:left w:val="single" w:color="auto" w:sz="4" w:space="0"/>
              <w:bottom w:val="single" w:color="auto" w:sz="4" w:space="0"/>
              <w:right w:val="single" w:color="auto" w:sz="4" w:space="0"/>
            </w:tcBorders>
            <w:vAlign w:val="center"/>
          </w:tcPr>
          <w:p w14:paraId="4E47A0E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响应</w:t>
            </w:r>
            <w:r>
              <w:rPr>
                <w:rFonts w:hint="eastAsia" w:asciiTheme="minorEastAsia" w:hAnsiTheme="minorEastAsia" w:eastAsiaTheme="minorEastAsia" w:cstheme="minorEastAsia"/>
                <w:sz w:val="24"/>
                <w:szCs w:val="22"/>
              </w:rPr>
              <w:t>文件提交</w:t>
            </w:r>
          </w:p>
        </w:tc>
        <w:tc>
          <w:tcPr>
            <w:tcW w:w="7084" w:type="dxa"/>
            <w:tcBorders>
              <w:top w:val="single" w:color="auto" w:sz="4" w:space="0"/>
              <w:left w:val="single" w:color="auto" w:sz="4" w:space="0"/>
              <w:bottom w:val="single" w:color="auto" w:sz="4" w:space="0"/>
            </w:tcBorders>
            <w:vAlign w:val="center"/>
          </w:tcPr>
          <w:p w14:paraId="2FAF6F0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响应文件提交截止时间</w:t>
            </w:r>
            <w:r>
              <w:rPr>
                <w:rFonts w:hint="eastAsia" w:asciiTheme="minorEastAsia" w:hAnsiTheme="minorEastAsia" w:eastAsiaTheme="minorEastAsia" w:cstheme="minorEastAsia"/>
                <w:sz w:val="24"/>
                <w:szCs w:val="22"/>
              </w:rPr>
              <w:t>：</w:t>
            </w:r>
            <w:r>
              <w:rPr>
                <w:rFonts w:hint="eastAsia" w:asciiTheme="minorEastAsia" w:hAnsiTheme="minorEastAsia" w:eastAsiaTheme="minorEastAsia" w:cstheme="minorEastAsia"/>
                <w:sz w:val="24"/>
                <w:szCs w:val="22"/>
                <w:lang w:val="en-US" w:eastAsia="zh-CN"/>
              </w:rPr>
              <w:t>详见竞争性谈判公告</w:t>
            </w:r>
          </w:p>
        </w:tc>
      </w:tr>
      <w:tr w14:paraId="01153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00" w:type="dxa"/>
            <w:tcBorders>
              <w:top w:val="single" w:color="auto" w:sz="4" w:space="0"/>
              <w:bottom w:val="single" w:color="auto" w:sz="4" w:space="0"/>
              <w:right w:val="single" w:color="auto" w:sz="4" w:space="0"/>
            </w:tcBorders>
            <w:vAlign w:val="center"/>
          </w:tcPr>
          <w:p w14:paraId="5085749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10</w:t>
            </w:r>
          </w:p>
        </w:tc>
        <w:tc>
          <w:tcPr>
            <w:tcW w:w="2698" w:type="dxa"/>
            <w:tcBorders>
              <w:top w:val="single" w:color="auto" w:sz="4" w:space="0"/>
              <w:left w:val="single" w:color="auto" w:sz="4" w:space="0"/>
              <w:bottom w:val="single" w:color="auto" w:sz="4" w:space="0"/>
              <w:right w:val="single" w:color="auto" w:sz="4" w:space="0"/>
            </w:tcBorders>
            <w:vAlign w:val="center"/>
          </w:tcPr>
          <w:p w14:paraId="68FF53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时间和地点</w:t>
            </w:r>
          </w:p>
        </w:tc>
        <w:tc>
          <w:tcPr>
            <w:tcW w:w="7084" w:type="dxa"/>
            <w:tcBorders>
              <w:top w:val="single" w:color="auto" w:sz="4" w:space="0"/>
              <w:left w:val="single" w:color="auto" w:sz="4" w:space="0"/>
              <w:bottom w:val="single" w:color="auto" w:sz="4" w:space="0"/>
            </w:tcBorders>
            <w:vAlign w:val="center"/>
          </w:tcPr>
          <w:p w14:paraId="72A5730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详见竞争性谈判公告（同响应文件提交截止时间）</w:t>
            </w:r>
          </w:p>
        </w:tc>
      </w:tr>
      <w:tr w14:paraId="5A8BF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700" w:type="dxa"/>
            <w:tcBorders>
              <w:top w:val="single" w:color="auto" w:sz="4" w:space="0"/>
              <w:bottom w:val="single" w:color="auto" w:sz="4" w:space="0"/>
              <w:right w:val="single" w:color="auto" w:sz="4" w:space="0"/>
            </w:tcBorders>
            <w:vAlign w:val="center"/>
          </w:tcPr>
          <w:p w14:paraId="2376DD8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11</w:t>
            </w:r>
          </w:p>
        </w:tc>
        <w:tc>
          <w:tcPr>
            <w:tcW w:w="2698" w:type="dxa"/>
            <w:tcBorders>
              <w:top w:val="single" w:color="auto" w:sz="4" w:space="0"/>
              <w:left w:val="single" w:color="auto" w:sz="4" w:space="0"/>
              <w:bottom w:val="single" w:color="auto" w:sz="4" w:space="0"/>
              <w:right w:val="single" w:color="auto" w:sz="4" w:space="0"/>
            </w:tcBorders>
            <w:vAlign w:val="top"/>
          </w:tcPr>
          <w:p w14:paraId="1C0775C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rPr>
              <w:t>评审方法</w:t>
            </w:r>
          </w:p>
        </w:tc>
        <w:tc>
          <w:tcPr>
            <w:tcW w:w="7084" w:type="dxa"/>
            <w:tcBorders>
              <w:top w:val="single" w:color="auto" w:sz="4" w:space="0"/>
              <w:left w:val="single" w:color="auto" w:sz="4" w:space="0"/>
              <w:bottom w:val="single" w:color="auto" w:sz="4" w:space="0"/>
            </w:tcBorders>
            <w:vAlign w:val="center"/>
          </w:tcPr>
          <w:p w14:paraId="625BF5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color w:val="auto"/>
                <w:sz w:val="24"/>
                <w:szCs w:val="24"/>
                <w:highlight w:val="none"/>
                <w:lang w:val="en-US" w:eastAsia="zh-CN"/>
              </w:rPr>
              <w:t>最低评标价法</w:t>
            </w:r>
          </w:p>
        </w:tc>
      </w:tr>
      <w:tr w14:paraId="2D497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700" w:type="dxa"/>
            <w:tcBorders>
              <w:top w:val="single" w:color="auto" w:sz="4" w:space="0"/>
              <w:bottom w:val="single" w:color="auto" w:sz="4" w:space="0"/>
              <w:right w:val="single" w:color="auto" w:sz="4" w:space="0"/>
            </w:tcBorders>
            <w:vAlign w:val="center"/>
          </w:tcPr>
          <w:p w14:paraId="79DB6D7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12</w:t>
            </w:r>
          </w:p>
        </w:tc>
        <w:tc>
          <w:tcPr>
            <w:tcW w:w="2698" w:type="dxa"/>
            <w:tcBorders>
              <w:top w:val="single" w:color="auto" w:sz="4" w:space="0"/>
              <w:left w:val="single" w:color="auto" w:sz="4" w:space="0"/>
              <w:bottom w:val="single" w:color="auto" w:sz="4" w:space="0"/>
              <w:right w:val="single" w:color="auto" w:sz="4" w:space="0"/>
            </w:tcBorders>
            <w:vAlign w:val="center"/>
          </w:tcPr>
          <w:p w14:paraId="5BDA91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原件</w:t>
            </w:r>
          </w:p>
        </w:tc>
        <w:tc>
          <w:tcPr>
            <w:tcW w:w="7084" w:type="dxa"/>
            <w:tcBorders>
              <w:top w:val="single" w:color="auto" w:sz="4" w:space="0"/>
              <w:left w:val="single" w:color="auto" w:sz="4" w:space="0"/>
              <w:bottom w:val="single" w:color="auto" w:sz="4" w:space="0"/>
            </w:tcBorders>
            <w:vAlign w:val="center"/>
          </w:tcPr>
          <w:p w14:paraId="462127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本次</w:t>
            </w: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时不要求供应商携带相关证件、业绩及奖项的原件（</w:t>
            </w: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文件另有要求的除外）。</w:t>
            </w:r>
          </w:p>
        </w:tc>
      </w:tr>
      <w:tr w14:paraId="50517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700" w:type="dxa"/>
            <w:tcBorders>
              <w:top w:val="single" w:color="auto" w:sz="4" w:space="0"/>
              <w:bottom w:val="single" w:color="auto" w:sz="4" w:space="0"/>
              <w:right w:val="single" w:color="auto" w:sz="4" w:space="0"/>
            </w:tcBorders>
            <w:vAlign w:val="center"/>
          </w:tcPr>
          <w:p w14:paraId="3D24EDB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13</w:t>
            </w:r>
          </w:p>
        </w:tc>
        <w:tc>
          <w:tcPr>
            <w:tcW w:w="2698" w:type="dxa"/>
            <w:tcBorders>
              <w:top w:val="single" w:color="auto" w:sz="4" w:space="0"/>
              <w:left w:val="single" w:color="auto" w:sz="4" w:space="0"/>
              <w:bottom w:val="single" w:color="auto" w:sz="4" w:space="0"/>
              <w:right w:val="single" w:color="auto" w:sz="4" w:space="0"/>
            </w:tcBorders>
            <w:vAlign w:val="center"/>
          </w:tcPr>
          <w:p w14:paraId="50FE82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确定成交候选供应商和成交供应商</w:t>
            </w:r>
          </w:p>
        </w:tc>
        <w:tc>
          <w:tcPr>
            <w:tcW w:w="7084" w:type="dxa"/>
            <w:tcBorders>
              <w:top w:val="single" w:color="auto" w:sz="4" w:space="0"/>
              <w:left w:val="single" w:color="auto" w:sz="4" w:space="0"/>
              <w:bottom w:val="single" w:color="auto" w:sz="4" w:space="0"/>
              <w:right w:val="single" w:color="auto" w:sz="4" w:space="0"/>
            </w:tcBorders>
            <w:vAlign w:val="center"/>
          </w:tcPr>
          <w:p w14:paraId="1989C6B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 xml:space="preserve">谈判小组推荐成交候选供应商的数量：1家 </w:t>
            </w:r>
          </w:p>
          <w:p w14:paraId="71A54B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 xml:space="preserve">确定成交供应商：采购人委托谈判小组确定 </w:t>
            </w:r>
          </w:p>
        </w:tc>
      </w:tr>
      <w:tr w14:paraId="0B3B3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0" w:type="dxa"/>
            <w:tcBorders>
              <w:top w:val="single" w:color="auto" w:sz="4" w:space="0"/>
              <w:bottom w:val="single" w:color="auto" w:sz="4" w:space="0"/>
              <w:right w:val="single" w:color="auto" w:sz="4" w:space="0"/>
            </w:tcBorders>
            <w:vAlign w:val="center"/>
          </w:tcPr>
          <w:p w14:paraId="3EC3D3C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14</w:t>
            </w:r>
          </w:p>
        </w:tc>
        <w:tc>
          <w:tcPr>
            <w:tcW w:w="2698" w:type="dxa"/>
            <w:tcBorders>
              <w:top w:val="single" w:color="auto" w:sz="4" w:space="0"/>
              <w:left w:val="single" w:color="auto" w:sz="4" w:space="0"/>
              <w:bottom w:val="single" w:color="auto" w:sz="4" w:space="0"/>
              <w:right w:val="single" w:color="auto" w:sz="4" w:space="0"/>
            </w:tcBorders>
            <w:vAlign w:val="center"/>
          </w:tcPr>
          <w:p w14:paraId="2787E2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rPr>
              <w:t>媒介发布</w:t>
            </w:r>
          </w:p>
        </w:tc>
        <w:tc>
          <w:tcPr>
            <w:tcW w:w="7084" w:type="dxa"/>
            <w:tcBorders>
              <w:top w:val="single" w:color="auto" w:sz="4" w:space="0"/>
              <w:left w:val="single" w:color="auto" w:sz="4" w:space="0"/>
              <w:bottom w:val="single" w:color="auto" w:sz="4" w:space="0"/>
              <w:right w:val="single" w:color="auto" w:sz="4" w:space="0"/>
            </w:tcBorders>
            <w:vAlign w:val="center"/>
          </w:tcPr>
          <w:p w14:paraId="55B5CC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rPr>
              <w:t>本次竞争性</w:t>
            </w: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公告在</w:t>
            </w:r>
            <w:r>
              <w:rPr>
                <w:rFonts w:hint="eastAsia" w:asciiTheme="minorEastAsia" w:hAnsiTheme="minorEastAsia" w:eastAsiaTheme="minorEastAsia" w:cstheme="minorEastAsia"/>
                <w:sz w:val="24"/>
                <w:szCs w:val="22"/>
                <w:lang w:val="en-US" w:eastAsia="zh-CN"/>
              </w:rPr>
              <w:t>桐城师范高等专科学校官网和安庆市公共资源交易服务网“限额以下项目”</w:t>
            </w:r>
            <w:r>
              <w:rPr>
                <w:rFonts w:hint="eastAsia" w:asciiTheme="minorEastAsia" w:hAnsiTheme="minorEastAsia" w:eastAsiaTheme="minorEastAsia" w:cstheme="minorEastAsia"/>
                <w:sz w:val="24"/>
                <w:szCs w:val="22"/>
              </w:rPr>
              <w:t>上发布和推送</w:t>
            </w:r>
            <w:r>
              <w:rPr>
                <w:rFonts w:hint="eastAsia" w:asciiTheme="minorEastAsia" w:hAnsiTheme="minorEastAsia" w:eastAsiaTheme="minorEastAsia" w:cstheme="minorEastAsia"/>
                <w:sz w:val="24"/>
                <w:szCs w:val="22"/>
                <w:lang w:eastAsia="zh-CN"/>
              </w:rPr>
              <w:t>。</w:t>
            </w:r>
          </w:p>
        </w:tc>
      </w:tr>
      <w:tr w14:paraId="731FF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tcBorders>
              <w:top w:val="single" w:color="auto" w:sz="4" w:space="0"/>
              <w:right w:val="single" w:color="auto" w:sz="4" w:space="0"/>
            </w:tcBorders>
            <w:vAlign w:val="center"/>
          </w:tcPr>
          <w:p w14:paraId="238487B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15</w:t>
            </w:r>
          </w:p>
        </w:tc>
        <w:tc>
          <w:tcPr>
            <w:tcW w:w="2698" w:type="dxa"/>
            <w:tcBorders>
              <w:top w:val="single" w:color="auto" w:sz="4" w:space="0"/>
              <w:left w:val="single" w:color="auto" w:sz="4" w:space="0"/>
              <w:bottom w:val="single" w:color="auto" w:sz="4" w:space="0"/>
              <w:right w:val="single" w:color="auto" w:sz="4" w:space="0"/>
            </w:tcBorders>
            <w:vAlign w:val="center"/>
          </w:tcPr>
          <w:p w14:paraId="0C5638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rPr>
              <w:t>成交通知书发出的形式</w:t>
            </w:r>
          </w:p>
        </w:tc>
        <w:tc>
          <w:tcPr>
            <w:tcW w:w="7084" w:type="dxa"/>
            <w:tcBorders>
              <w:top w:val="single" w:color="auto" w:sz="4" w:space="0"/>
              <w:left w:val="single" w:color="auto" w:sz="4" w:space="0"/>
              <w:bottom w:val="single" w:color="auto" w:sz="4" w:space="0"/>
            </w:tcBorders>
            <w:vAlign w:val="center"/>
          </w:tcPr>
          <w:p w14:paraId="29BBF9B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 xml:space="preserve">书面   </w:t>
            </w:r>
          </w:p>
        </w:tc>
      </w:tr>
      <w:tr w14:paraId="5D03F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vMerge w:val="restart"/>
            <w:tcBorders>
              <w:top w:val="single" w:color="auto" w:sz="4" w:space="0"/>
              <w:right w:val="single" w:color="auto" w:sz="4" w:space="0"/>
            </w:tcBorders>
            <w:vAlign w:val="center"/>
          </w:tcPr>
          <w:p w14:paraId="1181D45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16</w:t>
            </w:r>
          </w:p>
        </w:tc>
        <w:tc>
          <w:tcPr>
            <w:tcW w:w="2698" w:type="dxa"/>
            <w:tcBorders>
              <w:top w:val="single" w:color="auto" w:sz="4" w:space="0"/>
              <w:left w:val="single" w:color="auto" w:sz="4" w:space="0"/>
              <w:bottom w:val="single" w:color="auto" w:sz="4" w:space="0"/>
              <w:right w:val="single" w:color="auto" w:sz="4" w:space="0"/>
            </w:tcBorders>
            <w:vAlign w:val="center"/>
          </w:tcPr>
          <w:p w14:paraId="0BFECBF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保证金</w:t>
            </w:r>
          </w:p>
        </w:tc>
        <w:tc>
          <w:tcPr>
            <w:tcW w:w="7084" w:type="dxa"/>
            <w:tcBorders>
              <w:top w:val="single" w:color="auto" w:sz="4" w:space="0"/>
              <w:left w:val="single" w:color="auto" w:sz="4" w:space="0"/>
              <w:bottom w:val="single" w:color="auto" w:sz="4" w:space="0"/>
            </w:tcBorders>
            <w:vAlign w:val="center"/>
          </w:tcPr>
          <w:p w14:paraId="226BAB1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本项目免收</w:t>
            </w:r>
          </w:p>
        </w:tc>
      </w:tr>
      <w:tr w14:paraId="6B4A7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vMerge w:val="continue"/>
            <w:tcBorders>
              <w:right w:val="single" w:color="auto" w:sz="4" w:space="0"/>
            </w:tcBorders>
            <w:vAlign w:val="center"/>
          </w:tcPr>
          <w:p w14:paraId="623C66A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p>
        </w:tc>
        <w:tc>
          <w:tcPr>
            <w:tcW w:w="2698" w:type="dxa"/>
            <w:tcBorders>
              <w:top w:val="single" w:color="auto" w:sz="4" w:space="0"/>
              <w:left w:val="single" w:color="auto" w:sz="4" w:space="0"/>
              <w:bottom w:val="single" w:color="auto" w:sz="4" w:space="0"/>
              <w:right w:val="single" w:color="auto" w:sz="4" w:space="0"/>
            </w:tcBorders>
            <w:vAlign w:val="center"/>
          </w:tcPr>
          <w:p w14:paraId="6E05EEB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履约保证金</w:t>
            </w:r>
          </w:p>
        </w:tc>
        <w:tc>
          <w:tcPr>
            <w:tcW w:w="7084" w:type="dxa"/>
            <w:tcBorders>
              <w:top w:val="single" w:color="auto" w:sz="4" w:space="0"/>
              <w:left w:val="single" w:color="auto" w:sz="4" w:space="0"/>
              <w:bottom w:val="single" w:color="auto" w:sz="4" w:space="0"/>
            </w:tcBorders>
            <w:vAlign w:val="center"/>
          </w:tcPr>
          <w:p w14:paraId="31FD0C6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本项目免收</w:t>
            </w:r>
          </w:p>
        </w:tc>
      </w:tr>
      <w:tr w14:paraId="2E31A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vMerge w:val="continue"/>
            <w:tcBorders>
              <w:bottom w:val="single" w:color="auto" w:sz="4" w:space="0"/>
              <w:right w:val="single" w:color="auto" w:sz="4" w:space="0"/>
            </w:tcBorders>
            <w:vAlign w:val="center"/>
          </w:tcPr>
          <w:p w14:paraId="7F8EE0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p>
        </w:tc>
        <w:tc>
          <w:tcPr>
            <w:tcW w:w="2698" w:type="dxa"/>
            <w:tcBorders>
              <w:top w:val="single" w:color="auto" w:sz="4" w:space="0"/>
              <w:left w:val="single" w:color="auto" w:sz="4" w:space="0"/>
              <w:bottom w:val="single" w:color="auto" w:sz="4" w:space="0"/>
              <w:right w:val="single" w:color="auto" w:sz="4" w:space="0"/>
            </w:tcBorders>
            <w:shd w:val="clear" w:color="auto" w:fill="auto"/>
            <w:vAlign w:val="center"/>
          </w:tcPr>
          <w:p w14:paraId="5B173FCE">
            <w:pPr>
              <w:keepNext w:val="0"/>
              <w:keepLines w:val="0"/>
              <w:pageBreakBefore w:val="0"/>
              <w:widowControl/>
              <w:suppressLineNumbers w:val="0"/>
              <w:kinsoku/>
              <w:overflowPunct/>
              <w:topLinePunct w:val="0"/>
              <w:bidi w:val="0"/>
              <w:snapToGrid w:val="0"/>
              <w:spacing w:line="440" w:lineRule="exact"/>
              <w:jc w:val="center"/>
              <w:rPr>
                <w:rFonts w:hint="eastAsia" w:asciiTheme="minorEastAsia" w:hAnsiTheme="minorEastAsia" w:eastAsiaTheme="minorEastAsia" w:cstheme="minorEastAsia"/>
                <w:strike w:val="0"/>
                <w:dstrike w:val="0"/>
                <w:color w:val="auto"/>
                <w:kern w:val="2"/>
                <w:sz w:val="24"/>
                <w:szCs w:val="24"/>
                <w:highlight w:val="none"/>
                <w:lang w:val="en-US" w:eastAsia="zh-CN" w:bidi="ar-SA"/>
              </w:rPr>
            </w:pPr>
            <w:r>
              <w:rPr>
                <w:rFonts w:hint="eastAsia" w:asciiTheme="minorEastAsia" w:hAnsiTheme="minorEastAsia" w:eastAsiaTheme="minorEastAsia" w:cstheme="minorEastAsia"/>
                <w:strike w:val="0"/>
                <w:dstrike w:val="0"/>
                <w:color w:val="auto"/>
                <w:kern w:val="2"/>
                <w:sz w:val="24"/>
                <w:szCs w:val="24"/>
                <w:highlight w:val="none"/>
                <w:lang w:val="en-US" w:eastAsia="zh-CN" w:bidi="ar-SA"/>
              </w:rPr>
              <w:t>代理费用</w:t>
            </w:r>
          </w:p>
        </w:tc>
        <w:tc>
          <w:tcPr>
            <w:tcW w:w="7084" w:type="dxa"/>
            <w:tcBorders>
              <w:top w:val="single" w:color="auto" w:sz="4" w:space="0"/>
              <w:left w:val="single" w:color="auto" w:sz="4" w:space="0"/>
              <w:bottom w:val="single" w:color="auto" w:sz="4" w:space="0"/>
            </w:tcBorders>
            <w:shd w:val="clear" w:color="auto" w:fill="auto"/>
            <w:vAlign w:val="center"/>
          </w:tcPr>
          <w:p w14:paraId="735F0E7E">
            <w:pPr>
              <w:pStyle w:val="5"/>
              <w:pageBreakBefore w:val="0"/>
              <w:tabs>
                <w:tab w:val="left" w:pos="2730"/>
              </w:tabs>
              <w:kinsoku/>
              <w:overflowPunct/>
              <w:topLinePunct w:val="0"/>
              <w:bidi w:val="0"/>
              <w:snapToGrid w:val="0"/>
              <w:spacing w:line="440" w:lineRule="exact"/>
              <w:rPr>
                <w:rFonts w:hint="eastAsia" w:asciiTheme="minorEastAsia" w:hAnsiTheme="minorEastAsia" w:eastAsiaTheme="minorEastAsia" w:cstheme="minorEastAsia"/>
                <w:b/>
                <w:color w:val="auto"/>
                <w:kern w:val="2"/>
                <w:sz w:val="24"/>
                <w:szCs w:val="40"/>
                <w:highlight w:val="none"/>
                <w:shd w:val="clear" w:color="auto" w:fill="FFFFFF"/>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代理费用按项目合同价款的</w:t>
            </w:r>
            <w:r>
              <w:rPr>
                <w:rFonts w:hint="eastAsia" w:asciiTheme="minorEastAsia" w:hAnsiTheme="minorEastAsia" w:eastAsiaTheme="minorEastAsia" w:cstheme="minorEastAsia"/>
                <w:b w:val="0"/>
                <w:color w:val="auto"/>
                <w:kern w:val="2"/>
                <w:sz w:val="24"/>
                <w:szCs w:val="24"/>
                <w:highlight w:val="none"/>
                <w:u w:val="single"/>
                <w:lang w:val="en-US" w:eastAsia="zh-CN" w:bidi="ar-SA"/>
              </w:rPr>
              <w:t xml:space="preserve"> 1.5% </w:t>
            </w:r>
            <w:r>
              <w:rPr>
                <w:rFonts w:hint="eastAsia" w:asciiTheme="minorEastAsia" w:hAnsiTheme="minorEastAsia" w:eastAsiaTheme="minorEastAsia" w:cstheme="minorEastAsia"/>
                <w:b w:val="0"/>
                <w:color w:val="auto"/>
                <w:kern w:val="2"/>
                <w:sz w:val="24"/>
                <w:szCs w:val="24"/>
                <w:highlight w:val="none"/>
                <w:lang w:val="en-US" w:eastAsia="zh-CN" w:bidi="ar-SA"/>
              </w:rPr>
              <w:t>收取。</w:t>
            </w:r>
          </w:p>
        </w:tc>
      </w:tr>
      <w:tr w14:paraId="7F4274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tcBorders>
              <w:top w:val="single" w:color="auto" w:sz="4" w:space="0"/>
              <w:bottom w:val="single" w:color="auto" w:sz="4" w:space="0"/>
              <w:right w:val="single" w:color="auto" w:sz="4" w:space="0"/>
            </w:tcBorders>
            <w:vAlign w:val="center"/>
          </w:tcPr>
          <w:p w14:paraId="7875CA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17</w:t>
            </w:r>
          </w:p>
        </w:tc>
        <w:tc>
          <w:tcPr>
            <w:tcW w:w="2698" w:type="dxa"/>
            <w:tcBorders>
              <w:top w:val="single" w:color="auto" w:sz="4" w:space="0"/>
              <w:left w:val="single" w:color="auto" w:sz="4" w:space="0"/>
              <w:bottom w:val="single" w:color="auto" w:sz="4" w:space="0"/>
              <w:right w:val="single" w:color="auto" w:sz="4" w:space="0"/>
            </w:tcBorders>
            <w:vAlign w:val="center"/>
          </w:tcPr>
          <w:p w14:paraId="5E320E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质疑函递交方式、接收部门、联系电话和通讯地址</w:t>
            </w:r>
          </w:p>
        </w:tc>
        <w:tc>
          <w:tcPr>
            <w:tcW w:w="7084" w:type="dxa"/>
            <w:tcBorders>
              <w:top w:val="single" w:color="auto" w:sz="4" w:space="0"/>
              <w:left w:val="single" w:color="auto" w:sz="4" w:space="0"/>
              <w:bottom w:val="single" w:color="auto" w:sz="4" w:space="0"/>
            </w:tcBorders>
            <w:vAlign w:val="center"/>
          </w:tcPr>
          <w:p w14:paraId="33DE4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eastAsia="zh-CN"/>
              </w:rPr>
            </w:pPr>
            <w:r>
              <w:rPr>
                <w:rFonts w:hint="eastAsia" w:asciiTheme="minorEastAsia" w:hAnsiTheme="minorEastAsia" w:eastAsiaTheme="minorEastAsia" w:cstheme="minorEastAsia"/>
                <w:sz w:val="24"/>
                <w:szCs w:val="22"/>
              </w:rPr>
              <w:t>递交方式：</w:t>
            </w:r>
            <w:r>
              <w:rPr>
                <w:rFonts w:hint="eastAsia" w:asciiTheme="minorEastAsia" w:hAnsiTheme="minorEastAsia" w:eastAsiaTheme="minorEastAsia" w:cstheme="minorEastAsia"/>
                <w:sz w:val="24"/>
                <w:szCs w:val="22"/>
                <w:lang w:val="en-US" w:eastAsia="zh-CN"/>
              </w:rPr>
              <w:t>书面</w:t>
            </w:r>
          </w:p>
          <w:p w14:paraId="28505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接收部门：</w:t>
            </w:r>
            <w:r>
              <w:rPr>
                <w:rFonts w:hint="eastAsia" w:asciiTheme="minorEastAsia" w:hAnsiTheme="minorEastAsia" w:eastAsiaTheme="minorEastAsia" w:cstheme="minorEastAsia"/>
                <w:sz w:val="24"/>
                <w:szCs w:val="22"/>
                <w:lang w:val="en-US" w:eastAsia="zh-CN"/>
              </w:rPr>
              <w:t>采购人或采购代理机构</w:t>
            </w:r>
            <w:r>
              <w:rPr>
                <w:rFonts w:hint="eastAsia" w:asciiTheme="minorEastAsia" w:hAnsiTheme="minorEastAsia" w:eastAsiaTheme="minorEastAsia" w:cstheme="minorEastAsia"/>
                <w:sz w:val="24"/>
                <w:szCs w:val="22"/>
              </w:rPr>
              <w:t xml:space="preserve">            </w:t>
            </w:r>
          </w:p>
          <w:p w14:paraId="1E923F3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联系电话：</w:t>
            </w:r>
            <w:r>
              <w:rPr>
                <w:rFonts w:hint="eastAsia" w:asciiTheme="minorEastAsia" w:hAnsiTheme="minorEastAsia" w:eastAsiaTheme="minorEastAsia" w:cstheme="minorEastAsia"/>
                <w:sz w:val="24"/>
                <w:szCs w:val="22"/>
                <w:lang w:val="en-US" w:eastAsia="zh-CN"/>
              </w:rPr>
              <w:t>0556-6181669</w:t>
            </w:r>
            <w:r>
              <w:rPr>
                <w:rFonts w:hint="eastAsia" w:asciiTheme="minorEastAsia" w:hAnsiTheme="minorEastAsia" w:eastAsiaTheme="minorEastAsia" w:cstheme="minorEastAsia"/>
                <w:sz w:val="24"/>
                <w:szCs w:val="22"/>
              </w:rPr>
              <w:t xml:space="preserve">         </w:t>
            </w:r>
          </w:p>
          <w:p w14:paraId="03D333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通讯地址：</w:t>
            </w:r>
            <w:r>
              <w:rPr>
                <w:rFonts w:hint="eastAsia" w:asciiTheme="minorEastAsia" w:hAnsiTheme="minorEastAsia" w:eastAsiaTheme="minorEastAsia" w:cstheme="minorEastAsia"/>
                <w:sz w:val="24"/>
                <w:szCs w:val="22"/>
                <w:lang w:val="en-US" w:eastAsia="zh-CN"/>
              </w:rPr>
              <w:t>安徽省桐城市经开区学苑路199号</w:t>
            </w:r>
            <w:r>
              <w:rPr>
                <w:rFonts w:hint="eastAsia" w:asciiTheme="minorEastAsia" w:hAnsiTheme="minorEastAsia" w:eastAsiaTheme="minorEastAsia" w:cstheme="minorEastAsia"/>
                <w:sz w:val="24"/>
                <w:szCs w:val="22"/>
              </w:rPr>
              <w:t xml:space="preserve">           </w:t>
            </w:r>
          </w:p>
          <w:p w14:paraId="77BA20C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后文附 质疑范本</w:t>
            </w:r>
          </w:p>
        </w:tc>
      </w:tr>
      <w:tr w14:paraId="7EDCA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700" w:type="dxa"/>
            <w:tcBorders>
              <w:top w:val="single" w:color="auto" w:sz="4" w:space="0"/>
              <w:bottom w:val="single" w:color="auto" w:sz="4" w:space="0"/>
              <w:right w:val="single" w:color="auto" w:sz="4" w:space="0"/>
            </w:tcBorders>
            <w:vAlign w:val="center"/>
          </w:tcPr>
          <w:p w14:paraId="341547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18</w:t>
            </w:r>
          </w:p>
        </w:tc>
        <w:tc>
          <w:tcPr>
            <w:tcW w:w="2698" w:type="dxa"/>
            <w:tcBorders>
              <w:top w:val="single" w:color="auto" w:sz="4" w:space="0"/>
              <w:left w:val="single" w:color="auto" w:sz="4" w:space="0"/>
              <w:bottom w:val="single" w:color="auto" w:sz="4" w:space="0"/>
              <w:right w:val="single" w:color="auto" w:sz="4" w:space="0"/>
            </w:tcBorders>
            <w:vAlign w:val="center"/>
          </w:tcPr>
          <w:p w14:paraId="77EB638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说明</w:t>
            </w:r>
          </w:p>
        </w:tc>
        <w:tc>
          <w:tcPr>
            <w:tcW w:w="7084" w:type="dxa"/>
            <w:tcBorders>
              <w:top w:val="single" w:color="auto" w:sz="4" w:space="0"/>
              <w:left w:val="single" w:color="auto" w:sz="4" w:space="0"/>
              <w:bottom w:val="single" w:color="auto" w:sz="4" w:space="0"/>
            </w:tcBorders>
            <w:vAlign w:val="center"/>
          </w:tcPr>
          <w:p w14:paraId="3B990E7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1.</w:t>
            </w:r>
            <w:r>
              <w:rPr>
                <w:rFonts w:hint="eastAsia" w:asciiTheme="minorEastAsia" w:hAnsiTheme="minorEastAsia" w:eastAsiaTheme="minorEastAsia" w:cstheme="minorEastAsia"/>
                <w:sz w:val="24"/>
                <w:szCs w:val="22"/>
              </w:rPr>
              <w:t>本</w:t>
            </w: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文件的解释权归采购单位。</w:t>
            </w:r>
          </w:p>
          <w:p w14:paraId="7029C75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2.</w:t>
            </w:r>
            <w:r>
              <w:rPr>
                <w:rFonts w:hint="eastAsia" w:asciiTheme="minorEastAsia" w:hAnsiTheme="minorEastAsia" w:eastAsiaTheme="minorEastAsia" w:cstheme="minorEastAsia"/>
                <w:sz w:val="24"/>
                <w:szCs w:val="22"/>
              </w:rPr>
              <w:t>本项目所要求的业绩均须为中华人民共和国境内业绩（不含港澳台地区）</w:t>
            </w:r>
            <w:r>
              <w:rPr>
                <w:rFonts w:hint="eastAsia" w:asciiTheme="minorEastAsia" w:hAnsiTheme="minorEastAsia" w:eastAsiaTheme="minorEastAsia" w:cstheme="minorEastAsia"/>
                <w:sz w:val="24"/>
                <w:szCs w:val="22"/>
                <w:lang w:eastAsia="zh-CN"/>
              </w:rPr>
              <w:t>。</w:t>
            </w:r>
          </w:p>
        </w:tc>
      </w:tr>
    </w:tbl>
    <w:p w14:paraId="4C8DA0C0">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613A6CBD">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1CF4FB04">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55924D92">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6A568032">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6BB3528C">
      <w:pPr>
        <w:rPr>
          <w:rFonts w:hint="eastAsia" w:cs="Tahoma"/>
          <w:bCs/>
          <w:color w:val="auto"/>
          <w:kern w:val="0"/>
          <w:sz w:val="32"/>
          <w:szCs w:val="32"/>
          <w:highlight w:val="none"/>
          <w:lang w:val="en-US" w:eastAsia="zh-CN"/>
        </w:rPr>
      </w:pPr>
    </w:p>
    <w:p w14:paraId="1DB67D9B">
      <w:pPr>
        <w:pStyle w:val="2"/>
        <w:rPr>
          <w:rFonts w:hint="eastAsia"/>
          <w:lang w:val="zh-CN"/>
        </w:rPr>
      </w:pPr>
    </w:p>
    <w:p w14:paraId="5927C7E0">
      <w:pPr>
        <w:pStyle w:val="2"/>
        <w:rPr>
          <w:rFonts w:hint="eastAsia"/>
          <w:lang w:val="zh-CN"/>
        </w:rPr>
      </w:pPr>
    </w:p>
    <w:p w14:paraId="62EEFFFA">
      <w:pPr>
        <w:pStyle w:val="3"/>
        <w:tabs>
          <w:tab w:val="left" w:pos="1440"/>
          <w:tab w:val="left" w:pos="5670"/>
        </w:tabs>
        <w:spacing w:before="62" w:beforeLines="20" w:after="62" w:afterLines="20" w:line="480" w:lineRule="exact"/>
        <w:ind w:firstLine="0" w:firstLineChars="0"/>
        <w:jc w:val="center"/>
        <w:rPr>
          <w:rFonts w:hint="eastAsia" w:ascii="宋体" w:hAnsi="宋体" w:eastAsia="宋体" w:cs="宋体"/>
          <w:b/>
          <w:bCs/>
          <w:color w:val="auto"/>
          <w:kern w:val="2"/>
          <w:sz w:val="32"/>
          <w:szCs w:val="32"/>
          <w:highlight w:val="none"/>
          <w:lang w:val="en-US" w:eastAsia="zh-CN"/>
        </w:rPr>
      </w:pPr>
      <w:r>
        <w:rPr>
          <w:rFonts w:hint="eastAsia" w:ascii="宋体" w:hAnsi="宋体" w:eastAsia="宋体" w:cs="宋体"/>
          <w:b/>
          <w:bCs/>
          <w:color w:val="auto"/>
          <w:kern w:val="2"/>
          <w:sz w:val="32"/>
          <w:szCs w:val="32"/>
          <w:highlight w:val="none"/>
          <w:lang w:val="zh-CN"/>
        </w:rPr>
        <w:t xml:space="preserve">第二节 </w:t>
      </w:r>
      <w:r>
        <w:rPr>
          <w:rFonts w:hint="eastAsia" w:ascii="宋体" w:hAnsi="宋体" w:eastAsia="宋体" w:cs="宋体"/>
          <w:b/>
          <w:bCs/>
          <w:color w:val="auto"/>
          <w:kern w:val="2"/>
          <w:sz w:val="32"/>
          <w:szCs w:val="32"/>
          <w:highlight w:val="none"/>
          <w:lang w:val="en-US" w:eastAsia="zh-CN"/>
        </w:rPr>
        <w:t>供应商</w:t>
      </w:r>
      <w:r>
        <w:rPr>
          <w:rFonts w:hint="eastAsia" w:ascii="宋体" w:hAnsi="宋体" w:eastAsia="宋体" w:cs="宋体"/>
          <w:b/>
          <w:bCs/>
          <w:color w:val="auto"/>
          <w:kern w:val="2"/>
          <w:sz w:val="32"/>
          <w:szCs w:val="32"/>
          <w:highlight w:val="none"/>
          <w:lang w:val="zh-CN"/>
        </w:rPr>
        <w:t>须知</w:t>
      </w:r>
      <w:bookmarkEnd w:id="36"/>
      <w:bookmarkEnd w:id="37"/>
      <w:bookmarkEnd w:id="38"/>
      <w:r>
        <w:rPr>
          <w:rFonts w:hint="eastAsia" w:ascii="宋体" w:hAnsi="宋体" w:eastAsia="宋体" w:cs="宋体"/>
          <w:b/>
          <w:bCs/>
          <w:color w:val="auto"/>
          <w:kern w:val="2"/>
          <w:sz w:val="32"/>
          <w:szCs w:val="32"/>
          <w:highlight w:val="none"/>
          <w:lang w:val="en-US" w:eastAsia="zh-CN"/>
        </w:rPr>
        <w:t>正文</w:t>
      </w:r>
    </w:p>
    <w:p w14:paraId="101F9319">
      <w:pPr>
        <w:spacing w:beforeAutospacing="0" w:line="360" w:lineRule="auto"/>
        <w:ind w:firstLine="241" w:firstLineChars="100"/>
        <w:outlineLvl w:val="2"/>
        <w:rPr>
          <w:rFonts w:asciiTheme="minorEastAsia" w:hAnsiTheme="minorEastAsia" w:eastAsiaTheme="minorEastAsia"/>
          <w:b/>
          <w:color w:val="auto"/>
          <w:sz w:val="24"/>
          <w:highlight w:val="none"/>
        </w:rPr>
      </w:pPr>
      <w:bookmarkStart w:id="42" w:name="_Toc439316873"/>
      <w:bookmarkStart w:id="43" w:name="_Toc439316919"/>
      <w:bookmarkStart w:id="44" w:name="_Toc15055"/>
      <w:bookmarkStart w:id="45" w:name="_Toc10523"/>
      <w:bookmarkStart w:id="46" w:name="_Toc21078"/>
      <w:bookmarkStart w:id="47" w:name="_Toc7325"/>
      <w:bookmarkStart w:id="48" w:name="_Toc25270"/>
      <w:bookmarkStart w:id="115" w:name="_GoBack"/>
      <w:bookmarkEnd w:id="115"/>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采购人、采购代理机构及供应商</w:t>
      </w:r>
    </w:p>
    <w:p w14:paraId="44CEDE3D">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1.1采购人：是指依法开展政府采购活动的国家机关、事业单位、团体组织。</w:t>
      </w:r>
    </w:p>
    <w:p w14:paraId="343DC70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1.2采购代理机构：是指集中采购机构或从事采购代理业务的社会中介机构。</w:t>
      </w:r>
    </w:p>
    <w:p w14:paraId="4F90F4E9">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1.3政府采购监督管理部门：各级人民政府指定的有关部门依法履行与政府采购活动有关的监督管理职责。</w:t>
      </w:r>
    </w:p>
    <w:p w14:paraId="31080CA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1.4供应商：是指向采购人提供货物、工程或者服务的法人、其他组织或者自然人。分支机构不得参加政府采购活动，但银行、保险、石油石化、电力、电信等特殊行业除外。</w:t>
      </w:r>
      <w:bookmarkStart w:id="49" w:name="_Hlk60264251"/>
      <w:r>
        <w:rPr>
          <w:rFonts w:hint="eastAsia" w:ascii="宋体" w:hAnsi="宋体" w:eastAsia="宋体" w:cs="Times New Roman"/>
          <w:color w:val="auto"/>
          <w:sz w:val="24"/>
          <w:highlight w:val="none"/>
          <w:lang w:val="en-US" w:eastAsia="zh-CN"/>
        </w:rPr>
        <w:t>本项目的供应商须满足以下条件：</w:t>
      </w:r>
    </w:p>
    <w:p w14:paraId="7728D21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1.4.1具备《中华人民共和国政府采购法》第二十二条关于供应商条件的规定，遵守本项目采购人本级和上级财政部门政府采购的有关规定。</w:t>
      </w:r>
    </w:p>
    <w:p w14:paraId="4A0DAC83">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1.4.2以采购代理机构认可的方式获得了本项目的谈判文件。</w:t>
      </w:r>
    </w:p>
    <w:p w14:paraId="38E2CAE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1.4.3若采购需求中写明允许采购进口产品，供应商应保证所投产品可履行合法报通关手续进入中国关境内。</w:t>
      </w:r>
    </w:p>
    <w:p w14:paraId="059CB49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若采购需求中未写明允许采购进口产品，如供应商所投产品为进口产品，其响应文件将被认定为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bookmarkEnd w:id="49"/>
    <w:p w14:paraId="6B0A3654">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2.资金落实情况</w:t>
      </w:r>
    </w:p>
    <w:p w14:paraId="25ECBFDD">
      <w:pPr>
        <w:spacing w:line="360" w:lineRule="auto"/>
        <w:ind w:firstLine="240" w:firstLineChars="100"/>
        <w:rPr>
          <w:rFonts w:asciiTheme="minorEastAsia" w:hAnsiTheme="minorEastAsia" w:eastAsiaTheme="minorEastAsia"/>
          <w:color w:val="auto"/>
          <w:sz w:val="24"/>
          <w:highlight w:val="none"/>
        </w:rPr>
      </w:pPr>
      <w:r>
        <w:rPr>
          <w:rFonts w:hint="eastAsia" w:ascii="宋体" w:hAnsi="宋体" w:eastAsia="宋体" w:cs="Times New Roman"/>
          <w:color w:val="auto"/>
          <w:sz w:val="24"/>
          <w:highlight w:val="none"/>
          <w:lang w:val="en-US" w:eastAsia="zh-CN"/>
        </w:rPr>
        <w:t>本项目的采购人已获得足以支付本次谈判后所签订的合同项下的资金。</w:t>
      </w:r>
    </w:p>
    <w:p w14:paraId="53D90C5F">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3.谈判费用</w:t>
      </w:r>
    </w:p>
    <w:p w14:paraId="7C57E13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不论谈判的结果如何，供应商应承担其所有与准备和参加谈判有关的费用。</w:t>
      </w:r>
    </w:p>
    <w:p w14:paraId="65487714">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4.适用法律</w:t>
      </w:r>
    </w:p>
    <w:p w14:paraId="55A81F7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本项目采购人、采购代理机构、供应商、谈判小组的相关行为均受《中华人民共和国政府采购法》、《中华人民共和国政府采购法实施条例》及本项目本级和上级财政部门、政府采购监督管理部门的政府采购有关规定的约束，其权利受到上述法律法规的保护。</w:t>
      </w:r>
    </w:p>
    <w:p w14:paraId="5BD1AE1A">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5.谈判文件构成</w:t>
      </w:r>
    </w:p>
    <w:p w14:paraId="673D8F0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5.1谈判文件包括下列内容：</w:t>
      </w:r>
    </w:p>
    <w:p w14:paraId="7455A63B">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第一章  谈判邀请</w:t>
      </w:r>
    </w:p>
    <w:p w14:paraId="4FD73385">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第二章  供应商须知</w:t>
      </w:r>
    </w:p>
    <w:p w14:paraId="2904E97C">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第三章  采购需求</w:t>
      </w:r>
    </w:p>
    <w:p w14:paraId="08A9AF7D">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第四章  评审方法和标准</w:t>
      </w:r>
    </w:p>
    <w:p w14:paraId="5BF2EBBD">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第五章  政府采购合同</w:t>
      </w:r>
    </w:p>
    <w:p w14:paraId="5B5FCAF7">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第六章  响应文件格式</w:t>
      </w:r>
    </w:p>
    <w:p w14:paraId="0DA58631">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第七章  政府采购供应商询问函和质疑函范本</w:t>
      </w:r>
    </w:p>
    <w:p w14:paraId="3B72930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12569EE9">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原则上采购人、采购代理机构不要求</w:t>
      </w:r>
      <w:r>
        <w:rPr>
          <w:rFonts w:hint="eastAsia" w:asciiTheme="minorEastAsia" w:hAnsiTheme="minorEastAsia" w:eastAsiaTheme="minorEastAsia"/>
          <w:color w:val="auto"/>
          <w:sz w:val="24"/>
          <w:highlight w:val="none"/>
          <w:lang w:val="en-US" w:eastAsia="zh-CN"/>
        </w:rPr>
        <w:t>供应商</w:t>
      </w:r>
      <w:r>
        <w:rPr>
          <w:rFonts w:asciiTheme="minorEastAsia" w:hAnsiTheme="minorEastAsia" w:eastAsiaTheme="minorEastAsia"/>
          <w:color w:val="auto"/>
          <w:sz w:val="24"/>
          <w:highlight w:val="none"/>
        </w:rPr>
        <w:t>提供样品。仅凭书面方式不能准确描述采购需求，或者需要对样品进行主观判断以确认是否满足采购需求等特殊情况除外。</w:t>
      </w:r>
    </w:p>
    <w:p w14:paraId="70492F7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如需提供样品，对样品相关要求见采购需求，对样品的评审方法及评审标准见谈判文件第四章。</w:t>
      </w:r>
    </w:p>
    <w:p w14:paraId="2C110B7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应认真阅读</w:t>
      </w:r>
      <w:r>
        <w:rPr>
          <w:rFonts w:hint="eastAsia" w:asciiTheme="minorEastAsia" w:hAnsiTheme="minorEastAsia" w:eastAsiaTheme="minorEastAsia"/>
          <w:color w:val="auto"/>
          <w:sz w:val="24"/>
          <w:highlight w:val="none"/>
        </w:rPr>
        <w:t>谈判</w:t>
      </w:r>
      <w:r>
        <w:rPr>
          <w:rFonts w:asciiTheme="minorEastAsia" w:hAnsiTheme="minorEastAsia" w:eastAsiaTheme="minorEastAsia"/>
          <w:color w:val="auto"/>
          <w:sz w:val="24"/>
          <w:highlight w:val="none"/>
        </w:rPr>
        <w:t>文件所有的事项、格式、条款和技术规范等。</w:t>
      </w:r>
    </w:p>
    <w:p w14:paraId="5F7532EA">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6.谈判文件的澄清与修改</w:t>
      </w:r>
    </w:p>
    <w:p w14:paraId="6F220221">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6.1供应商如对谈判文件内容有疑问，必须在供应商须知前附表规定的网上询问截止时间前以书面提问形式提交给采购代理机构。</w:t>
      </w:r>
    </w:p>
    <w:p w14:paraId="16037D5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6.2</w:t>
      </w:r>
      <w:r>
        <w:rPr>
          <w:rFonts w:hint="eastAsia" w:asciiTheme="minorEastAsia" w:hAnsiTheme="minorEastAsia" w:eastAsiaTheme="minorEastAsia"/>
          <w:color w:val="auto"/>
          <w:sz w:val="24"/>
          <w:highlight w:val="none"/>
        </w:rPr>
        <w:t>采购人可主动地或在</w:t>
      </w:r>
      <w:r>
        <w:rPr>
          <w:rFonts w:hint="eastAsia" w:asciiTheme="minorEastAsia" w:hAnsiTheme="minorEastAsia" w:eastAsiaTheme="minorEastAsia"/>
          <w:color w:val="auto"/>
          <w:sz w:val="24"/>
          <w:highlight w:val="none"/>
          <w:lang w:val="en-US" w:eastAsia="zh-CN"/>
        </w:rPr>
        <w:t>答复供应商</w:t>
      </w:r>
      <w:r>
        <w:rPr>
          <w:rFonts w:hint="eastAsia" w:asciiTheme="minorEastAsia" w:hAnsiTheme="minorEastAsia" w:eastAsiaTheme="minorEastAsia"/>
          <w:color w:val="auto"/>
          <w:sz w:val="24"/>
          <w:highlight w:val="none"/>
        </w:rPr>
        <w:t>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w:t>
      </w:r>
      <w:r>
        <w:rPr>
          <w:rFonts w:hint="eastAsia" w:asciiTheme="minorEastAsia" w:hAnsiTheme="minorEastAsia" w:eastAsiaTheme="minorEastAsia"/>
          <w:color w:val="auto"/>
          <w:sz w:val="24"/>
          <w:highlight w:val="none"/>
          <w:lang w:val="en-US" w:eastAsia="zh-CN"/>
        </w:rPr>
        <w:t>谈判</w:t>
      </w:r>
      <w:r>
        <w:rPr>
          <w:rFonts w:hint="eastAsia" w:asciiTheme="minorEastAsia" w:hAnsiTheme="minorEastAsia" w:eastAsiaTheme="minorEastAsia"/>
          <w:color w:val="auto"/>
          <w:sz w:val="24"/>
          <w:highlight w:val="none"/>
        </w:rPr>
        <w:t>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w:t>
      </w:r>
      <w:r>
        <w:rPr>
          <w:rFonts w:hint="eastAsia" w:asciiTheme="minorEastAsia" w:hAnsiTheme="minorEastAsia" w:eastAsiaTheme="minorEastAsia"/>
          <w:color w:val="auto"/>
          <w:sz w:val="24"/>
          <w:highlight w:val="none"/>
          <w:lang w:eastAsia="zh-CN"/>
        </w:rPr>
        <w:t>桐城师范高等专科学校</w:t>
      </w:r>
      <w:r>
        <w:rPr>
          <w:rFonts w:hint="eastAsia" w:asciiTheme="minorEastAsia" w:hAnsiTheme="minorEastAsia" w:eastAsiaTheme="minorEastAsia"/>
          <w:color w:val="auto"/>
          <w:sz w:val="24"/>
          <w:highlight w:val="none"/>
          <w:lang w:val="en-US" w:eastAsia="zh-CN"/>
        </w:rPr>
        <w:t>官网和安庆市公共资源交易服务网“限额以下项目”上</w:t>
      </w:r>
      <w:r>
        <w:rPr>
          <w:rFonts w:hint="eastAsia" w:asciiTheme="minorEastAsia" w:hAnsiTheme="minorEastAsia" w:eastAsiaTheme="minorEastAsia"/>
          <w:color w:val="auto"/>
          <w:sz w:val="24"/>
          <w:highlight w:val="none"/>
        </w:rPr>
        <w:t>发布更正公告的方式澄清或者修改谈判文件，更正公告的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w:t>
      </w:r>
      <w:r>
        <w:rPr>
          <w:rFonts w:hint="eastAsia" w:asciiTheme="minorEastAsia" w:hAnsiTheme="minorEastAsia" w:eastAsiaTheme="minorEastAsia"/>
          <w:color w:val="auto"/>
          <w:sz w:val="24"/>
          <w:highlight w:val="none"/>
        </w:rPr>
        <w:t>谈判</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起约束作用</w:t>
      </w:r>
      <w:r>
        <w:rPr>
          <w:rFonts w:hint="eastAsia" w:asciiTheme="minorEastAsia" w:hAnsiTheme="minorEastAsia" w:eastAsiaTheme="minorEastAsia"/>
          <w:color w:val="auto"/>
          <w:sz w:val="24"/>
          <w:highlight w:val="none"/>
        </w:rPr>
        <w:t>。供应商应主动上网查询。采购代理机构不承担供应商未及时关注相关信息引发的相关责任。</w:t>
      </w:r>
    </w:p>
    <w:p w14:paraId="1452C7A1">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6.3任何人或任何组织向供应商提供的任何书面或口头资料，未经采购代理机构在网上发布或书面通知，均作无效处理，不得作为谈判文件的组成部分。采购代理机构对供应商由此而做出的推论、理解和结论概不负责。</w:t>
      </w:r>
    </w:p>
    <w:p w14:paraId="35F2B7E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6.4对于没有提出询问又参与了本项目谈判的供应商将被视为完全认同本谈判文件（含更正公告的内容）。</w:t>
      </w:r>
    </w:p>
    <w:p w14:paraId="479E2824">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7.谈判范围及响应文件中标准和计量单位的使用</w:t>
      </w:r>
    </w:p>
    <w:p w14:paraId="4D97F1E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7.1</w:t>
      </w:r>
      <w:r>
        <w:rPr>
          <w:rFonts w:hint="eastAsia" w:ascii="宋体" w:hAnsi="宋体" w:cs="Times New Roman"/>
          <w:color w:val="auto"/>
          <w:sz w:val="24"/>
          <w:highlight w:val="none"/>
          <w:lang w:val="en-US" w:eastAsia="zh-CN"/>
        </w:rPr>
        <w:t>本</w:t>
      </w:r>
      <w:r>
        <w:rPr>
          <w:rFonts w:hint="eastAsia" w:ascii="宋体" w:hAnsi="宋体" w:eastAsia="宋体" w:cs="Times New Roman"/>
          <w:color w:val="auto"/>
          <w:sz w:val="24"/>
          <w:highlight w:val="none"/>
          <w:lang w:val="en-US" w:eastAsia="zh-CN"/>
        </w:rPr>
        <w:t>项目</w:t>
      </w:r>
      <w:r>
        <w:rPr>
          <w:rFonts w:hint="eastAsia" w:ascii="宋体" w:hAnsi="宋体" w:cs="Times New Roman"/>
          <w:color w:val="auto"/>
          <w:sz w:val="24"/>
          <w:highlight w:val="none"/>
          <w:lang w:val="en-US" w:eastAsia="zh-CN"/>
        </w:rPr>
        <w:t>无</w:t>
      </w:r>
      <w:r>
        <w:rPr>
          <w:rFonts w:hint="eastAsia" w:ascii="宋体" w:hAnsi="宋体" w:eastAsia="宋体" w:cs="Times New Roman"/>
          <w:color w:val="auto"/>
          <w:sz w:val="24"/>
          <w:highlight w:val="none"/>
          <w:lang w:val="en-US" w:eastAsia="zh-CN"/>
        </w:rPr>
        <w:t>分包。</w:t>
      </w:r>
    </w:p>
    <w:p w14:paraId="5FE3DE70">
      <w:pPr>
        <w:spacing w:line="360" w:lineRule="auto"/>
        <w:ind w:firstLine="240" w:firstLineChars="100"/>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7.2供应商应当对所投分包谈判文件中“采购需求”所列的所有内容进行响应，如仅响应所投包别中的部分内容，其所投包别的响应将被认定为响应无效</w:t>
      </w:r>
      <w:r>
        <w:rPr>
          <w:rFonts w:hint="eastAsia" w:ascii="宋体" w:hAnsi="宋体" w:eastAsia="宋体" w:cs="Times New Roman"/>
          <w:color w:val="auto"/>
          <w:sz w:val="24"/>
          <w:highlight w:val="yellow"/>
          <w:lang w:val="en-US" w:eastAsia="zh-CN"/>
        </w:rPr>
        <w:t>（采购文件允许偏离的除外）</w:t>
      </w:r>
      <w:r>
        <w:rPr>
          <w:rFonts w:hint="eastAsia" w:ascii="宋体" w:hAnsi="宋体" w:eastAsia="宋体" w:cs="Times New Roman"/>
          <w:color w:val="auto"/>
          <w:sz w:val="24"/>
          <w:highlight w:val="none"/>
          <w:lang w:val="en-US" w:eastAsia="zh-CN"/>
        </w:rPr>
        <w:t>。</w:t>
      </w:r>
    </w:p>
    <w:p w14:paraId="322931F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7.3无论谈判文件中是否要求，供应商所投货物及伴随的服务和工程均应符合国家强制性标准。</w:t>
      </w:r>
    </w:p>
    <w:p w14:paraId="2A8D5233">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7.4供应商与采购代理机构之间与谈判有关的所有往来通知、函件和响应文件均用中文表述。供应商随响应文件提供的证明文件和资料可以为其它语言，但必须附中文译文。翻译的中文资料与外文资料如果出现差异时，以中文为准。</w:t>
      </w:r>
    </w:p>
    <w:p w14:paraId="687B0A9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7.5除谈判文件中有特殊要求外，响应文件中所使用的计量单位，应采用中华人民共和国法定计量单位。</w:t>
      </w:r>
    </w:p>
    <w:p w14:paraId="328159C0">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8.响应文件构成</w:t>
      </w:r>
    </w:p>
    <w:p w14:paraId="18748EB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8.1供应商应完整地按谈判文件提供的响应文件格式及要求编写响应文件，具体内容详见本项目响应文件格式的相关内容。</w:t>
      </w:r>
    </w:p>
    <w:p w14:paraId="76F6BDD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8.2供应商应提交谈判文件要求的证明文件，证明其响应内容符合谈判文件规定。该证明文件是响应文件的一部分。证明文件形式可以是文字资料、图纸和数据</w:t>
      </w:r>
      <w:bookmarkStart w:id="50" w:name="_Hlk11703583"/>
      <w:r>
        <w:rPr>
          <w:rFonts w:hint="eastAsia" w:ascii="宋体" w:hAnsi="宋体" w:eastAsia="宋体" w:cs="Times New Roman"/>
          <w:color w:val="auto"/>
          <w:sz w:val="24"/>
          <w:highlight w:val="none"/>
          <w:lang w:val="en-US" w:eastAsia="zh-CN"/>
        </w:rPr>
        <w:t>。</w:t>
      </w:r>
    </w:p>
    <w:bookmarkEnd w:id="50"/>
    <w:p w14:paraId="21E9A43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8.3为保证公平公正，除非谈判文件另有规定或说明，供应商对同一项目谈判时，不得同时提供备选谈判方案。</w:t>
      </w:r>
    </w:p>
    <w:p w14:paraId="05C862C2">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9.报价</w:t>
      </w:r>
    </w:p>
    <w:p w14:paraId="748BD5F6">
      <w:pPr>
        <w:spacing w:line="360" w:lineRule="auto"/>
        <w:ind w:firstLine="240" w:firstLineChars="1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的报价应当包括满足本次</w:t>
      </w:r>
      <w:r>
        <w:rPr>
          <w:rFonts w:hint="eastAsia" w:asciiTheme="minorEastAsia" w:hAnsiTheme="minorEastAsia" w:eastAsiaTheme="minorEastAsia"/>
          <w:color w:val="auto"/>
          <w:sz w:val="24"/>
          <w:highlight w:val="none"/>
        </w:rPr>
        <w:t>谈判</w:t>
      </w:r>
      <w:r>
        <w:rPr>
          <w:rFonts w:asciiTheme="minorEastAsia" w:hAnsiTheme="minorEastAsia" w:eastAsiaTheme="minorEastAsia"/>
          <w:color w:val="auto"/>
          <w:sz w:val="24"/>
          <w:highlight w:val="none"/>
        </w:rPr>
        <w:t>全部采购需求所应提供的</w:t>
      </w:r>
      <w:r>
        <w:rPr>
          <w:rFonts w:hint="eastAsia" w:asciiTheme="minorEastAsia" w:hAnsiTheme="minorEastAsia" w:eastAsiaTheme="minorEastAsia"/>
          <w:color w:val="auto"/>
          <w:sz w:val="24"/>
          <w:highlight w:val="none"/>
        </w:rPr>
        <w:t>货物，</w:t>
      </w:r>
      <w:r>
        <w:rPr>
          <w:rFonts w:asciiTheme="minorEastAsia" w:hAnsiTheme="minorEastAsia" w:eastAsiaTheme="minorEastAsia"/>
          <w:color w:val="auto"/>
          <w:sz w:val="24"/>
          <w:highlight w:val="none"/>
        </w:rPr>
        <w:t>以及伴随的</w:t>
      </w:r>
      <w:r>
        <w:rPr>
          <w:rFonts w:hint="eastAsia" w:asciiTheme="minorEastAsia" w:hAnsiTheme="minorEastAsia" w:eastAsiaTheme="minorEastAsia"/>
          <w:color w:val="auto"/>
          <w:sz w:val="24"/>
          <w:highlight w:val="none"/>
        </w:rPr>
        <w:t>服务</w:t>
      </w:r>
      <w:r>
        <w:rPr>
          <w:rFonts w:asciiTheme="minorEastAsia" w:hAnsiTheme="minorEastAsia" w:eastAsiaTheme="minorEastAsia"/>
          <w:color w:val="auto"/>
          <w:sz w:val="24"/>
          <w:highlight w:val="none"/>
        </w:rPr>
        <w:t>和工程</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除谈判文件另有规定外，</w:t>
      </w:r>
      <w:r>
        <w:rPr>
          <w:rFonts w:hint="eastAsia" w:asciiTheme="minorEastAsia" w:hAnsiTheme="minorEastAsia" w:eastAsiaTheme="minorEastAsia"/>
          <w:color w:val="auto"/>
          <w:sz w:val="24"/>
          <w:highlight w:val="none"/>
        </w:rPr>
        <w:t>所有内容均应以人民币报价，供应商的谈判报价应遵守《中华人民共和国价格法》。</w:t>
      </w:r>
    </w:p>
    <w:p w14:paraId="0C9E639B">
      <w:pPr>
        <w:spacing w:line="360" w:lineRule="auto"/>
        <w:ind w:firstLine="240" w:firstLineChars="1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除非谈判文件另有规定或经采购人同意支付的，最后报价均不得高于谈判文件（公告）列明的项目预算，否则其响应文件将被认定为</w:t>
      </w:r>
      <w:r>
        <w:rPr>
          <w:rFonts w:asciiTheme="minorEastAsia" w:hAnsiTheme="minorEastAsia" w:eastAsiaTheme="minorEastAsia"/>
          <w:b/>
          <w:color w:val="auto"/>
          <w:sz w:val="24"/>
          <w:highlight w:val="none"/>
        </w:rPr>
        <w:t>响应无效</w:t>
      </w:r>
      <w:r>
        <w:rPr>
          <w:rFonts w:asciiTheme="minorEastAsia" w:hAnsiTheme="minorEastAsia" w:eastAsiaTheme="minorEastAsia"/>
          <w:color w:val="auto"/>
          <w:sz w:val="24"/>
          <w:highlight w:val="none"/>
        </w:rPr>
        <w:t>。</w:t>
      </w:r>
    </w:p>
    <w:p w14:paraId="1A16B858">
      <w:pPr>
        <w:spacing w:line="360" w:lineRule="auto"/>
        <w:ind w:firstLine="240" w:firstLineChars="1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报价</w:t>
      </w:r>
      <w:r>
        <w:rPr>
          <w:rFonts w:asciiTheme="minorEastAsia" w:hAnsiTheme="minorEastAsia" w:eastAsiaTheme="minorEastAsia"/>
          <w:color w:val="auto"/>
          <w:sz w:val="24"/>
          <w:highlight w:val="none"/>
        </w:rPr>
        <w:t>在合同履行过程中是固定不变的，不得以任何理由予以变更。任何包含价格调整要求的</w:t>
      </w:r>
      <w:r>
        <w:rPr>
          <w:rFonts w:hint="eastAsia" w:asciiTheme="minorEastAsia" w:hAnsiTheme="minorEastAsia" w:eastAsiaTheme="minorEastAsia"/>
          <w:color w:val="auto"/>
          <w:sz w:val="24"/>
          <w:highlight w:val="none"/>
        </w:rPr>
        <w:t>谈判</w:t>
      </w:r>
      <w:r>
        <w:rPr>
          <w:rFonts w:asciiTheme="minorEastAsia" w:hAnsiTheme="minorEastAsia" w:eastAsiaTheme="minorEastAsia"/>
          <w:color w:val="auto"/>
          <w:sz w:val="24"/>
          <w:highlight w:val="none"/>
        </w:rPr>
        <w:t>，其</w:t>
      </w:r>
      <w:r>
        <w:rPr>
          <w:rFonts w:hint="eastAsia" w:asciiTheme="minorEastAsia" w:hAnsiTheme="minorEastAsia" w:eastAsiaTheme="minorEastAsia"/>
          <w:color w:val="auto"/>
          <w:sz w:val="24"/>
          <w:highlight w:val="none"/>
        </w:rPr>
        <w:t>响应文件</w:t>
      </w:r>
      <w:r>
        <w:rPr>
          <w:rFonts w:asciiTheme="minorEastAsia" w:hAnsiTheme="minorEastAsia" w:eastAsiaTheme="minorEastAsia"/>
          <w:color w:val="auto"/>
          <w:sz w:val="24"/>
          <w:highlight w:val="none"/>
        </w:rPr>
        <w:t>将被认定为</w:t>
      </w:r>
      <w:r>
        <w:rPr>
          <w:rFonts w:hint="eastAsia" w:asciiTheme="minorEastAsia" w:hAnsiTheme="minorEastAsia" w:eastAsiaTheme="minorEastAsia"/>
          <w:b/>
          <w:color w:val="auto"/>
          <w:sz w:val="24"/>
          <w:highlight w:val="none"/>
        </w:rPr>
        <w:t>响应</w:t>
      </w:r>
      <w:r>
        <w:rPr>
          <w:rFonts w:asciiTheme="minorEastAsia" w:hAnsiTheme="minorEastAsia" w:eastAsiaTheme="minorEastAsia"/>
          <w:b/>
          <w:color w:val="auto"/>
          <w:sz w:val="24"/>
          <w:highlight w:val="none"/>
        </w:rPr>
        <w:t>无效</w:t>
      </w:r>
      <w:r>
        <w:rPr>
          <w:rFonts w:asciiTheme="minorEastAsia" w:hAnsiTheme="minorEastAsia" w:eastAsiaTheme="minorEastAsia"/>
          <w:color w:val="auto"/>
          <w:sz w:val="24"/>
          <w:highlight w:val="none"/>
        </w:rPr>
        <w:t>。</w:t>
      </w:r>
    </w:p>
    <w:p w14:paraId="5DFD6F68">
      <w:pPr>
        <w:spacing w:line="360" w:lineRule="auto"/>
        <w:ind w:firstLine="240" w:firstLineChars="1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采购人不接受具有附加条件的报价。</w:t>
      </w:r>
    </w:p>
    <w:p w14:paraId="6AB8C721">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10.谈判保证金</w:t>
      </w:r>
    </w:p>
    <w:p w14:paraId="2641AA4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10.1本项目不收取谈判保证金。</w:t>
      </w:r>
    </w:p>
    <w:p w14:paraId="3036E34B">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11.谈判有效期</w:t>
      </w:r>
    </w:p>
    <w:p w14:paraId="08E4B2AD">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11.1谈判有效期为从响应文件提交截止之日算起的日历天数，谈判有效期详见供应商须知前附表。</w:t>
      </w:r>
    </w:p>
    <w:p w14:paraId="016B733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11.2在谈判有效期内，供应商的谈判保持有效，供应商不得要求撤销或修改其响应文件。谈判有效期不满足要求的响应，其响应文件将被认定为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5503A1C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11.3为保证有充分时间签订合同，采购人或采购代理机构可根据实际情况，在原谈判有效期截止之前，要求供应商延长谈判有效期。接受该要求的供应商将不会被要求和允许修正其响应文件。供应商可以拒绝延长谈判有效期的要求，且不承担任何责任。上述要求和答复都应以书面形式提交。</w:t>
      </w:r>
    </w:p>
    <w:p w14:paraId="3C114C06">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12.响应文件的提交、修改与撤回</w:t>
      </w:r>
    </w:p>
    <w:p w14:paraId="3EFBE38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12.1供应商应当在竞争性谈判公告规定的响应文件提交截止时间前，将密封完好的响应文件递交，逾期递交的响应文件将不予受理。</w:t>
      </w:r>
    </w:p>
    <w:p w14:paraId="77A8F62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12.2响应人应当在响应文件提交截止时间前完成响应文件的现场递交，未在响应文件提交截止时间前提交有效纸质响应文件的，代理机构不予接收，视为未提交响应文件。</w:t>
      </w:r>
    </w:p>
    <w:p w14:paraId="2ED4015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12.3供应商应在供应商须知前附表规定的递交时间前对其响应文件进行提交，未在规定时间内进行递交的，</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7C431E2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12.4在响应文件提交截止时间之后，供应商不得对其响应文件做任何修改。但属于谈判小组在评审中发现的计算错误并进行核实的修改、按照谈判文件的变动情况和谈判小组的要求重新提交响应文件的，不在此列。</w:t>
      </w:r>
    </w:p>
    <w:p w14:paraId="58FB8011">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13.谈判小组</w:t>
      </w:r>
    </w:p>
    <w:p w14:paraId="36395F8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13.1本项目将依法组建谈判小组，谈判小组成员由3人以上（含）单数组成，谈判小组及其成员应当依照政府采购的有关规定履行相关职责和义务。</w:t>
      </w:r>
    </w:p>
    <w:p w14:paraId="5CBC2FE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13.2谈判小组依法对响应文件进行评审，并根据谈判文件规定的程序、评定成交的标准等事项与实质性响应谈判文件要求的供应商进行谈判。</w:t>
      </w:r>
    </w:p>
    <w:p w14:paraId="2B82BFC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13.3谈判小组应当从质量和服务均能满足谈判文件实质性响应要求的供应商中，按照评审办法和标准推荐成交候选人，并编写评审报告。</w:t>
      </w:r>
    </w:p>
    <w:p w14:paraId="3954067B">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14.响应文件的评审与谈判</w:t>
      </w:r>
    </w:p>
    <w:p w14:paraId="61A6F3C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14.1采购人和采购代理机构将在竞争性谈判公告规定的时间和地点组织谈判。</w:t>
      </w:r>
    </w:p>
    <w:p w14:paraId="029152D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14.2竞争性谈判采用最低评标价法评审。</w:t>
      </w:r>
    </w:p>
    <w:p w14:paraId="6B838F9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最低评标价法，是指响应文件满足谈判文件全部实质性要求且最后报价最低的供应商为成交候选人的评标方法。</w:t>
      </w:r>
    </w:p>
    <w:p w14:paraId="0862BF8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14.3谈判小组将按照谈判文件规定的评审方法和标准对供应商独立进行评审。评审程序如下：</w:t>
      </w:r>
    </w:p>
    <w:p w14:paraId="4224439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14.3.1</w:t>
      </w:r>
      <w:r>
        <w:rPr>
          <w:rFonts w:hint="eastAsia" w:ascii="宋体" w:hAnsi="宋体" w:eastAsia="宋体" w:cs="Times New Roman"/>
          <w:b/>
          <w:bCs/>
          <w:color w:val="auto"/>
          <w:sz w:val="24"/>
          <w:highlight w:val="none"/>
          <w:lang w:val="en-US" w:eastAsia="zh-CN"/>
        </w:rPr>
        <w:t>初审</w:t>
      </w:r>
      <w:r>
        <w:rPr>
          <w:rFonts w:hint="eastAsia" w:ascii="宋体" w:hAnsi="宋体" w:eastAsia="宋体" w:cs="Times New Roman"/>
          <w:color w:val="auto"/>
          <w:sz w:val="24"/>
          <w:highlight w:val="none"/>
          <w:lang w:val="en-US" w:eastAsia="zh-CN"/>
        </w:rPr>
        <w:t>。谈判小组对供应商必须满足和实质性响应的内容进行评审，供应商未实质性响应谈判文件要求导致响应无效的，谈判小组将以书面询标的方式告知有关供应商。</w:t>
      </w:r>
    </w:p>
    <w:p w14:paraId="135397F8">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采购人或采购代理机构将在响应文件提交截止时间后至评审结束前通过“信用中国”网站(www.creditchina.gov.cn)、中国政府采购网(www.ccgp.gov.cn)查询相关</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信用记录，并对供应商信用记录进行甄别，对列入“信用中国”网站(www.creditchina.gov.cn)失信被执行人名单、重大税收违法</w:t>
      </w:r>
      <w:r>
        <w:rPr>
          <w:rFonts w:hint="eastAsia" w:ascii="宋体" w:hAnsi="宋体" w:eastAsia="宋体" w:cs="宋体"/>
          <w:color w:val="auto"/>
          <w:sz w:val="24"/>
          <w:szCs w:val="24"/>
          <w:highlight w:val="yellow"/>
          <w:lang w:val="en-US" w:eastAsia="zh-CN"/>
        </w:rPr>
        <w:t>失信主体名单</w:t>
      </w:r>
      <w:r>
        <w:rPr>
          <w:rFonts w:hint="eastAsia" w:ascii="宋体" w:hAnsi="宋体" w:eastAsia="宋体" w:cs="宋体"/>
          <w:color w:val="auto"/>
          <w:sz w:val="24"/>
          <w:szCs w:val="24"/>
          <w:highlight w:val="none"/>
        </w:rPr>
        <w:t>、中国政府采购网(www.ccgp.gov.cn)政府采购严重违法失信行为记录名单及其他不符合《中华人民共和国政府采购法》第二十二条规定条件的供应商，其响应文件将被认定为</w:t>
      </w:r>
      <w:r>
        <w:rPr>
          <w:rFonts w:hint="eastAsia" w:ascii="宋体" w:hAnsi="宋体" w:eastAsia="宋体" w:cs="宋体"/>
          <w:b/>
          <w:color w:val="auto"/>
          <w:sz w:val="24"/>
          <w:szCs w:val="24"/>
          <w:highlight w:val="none"/>
        </w:rPr>
        <w:t>响应无效</w:t>
      </w:r>
      <w:r>
        <w:rPr>
          <w:rFonts w:hint="eastAsia" w:ascii="宋体" w:hAnsi="宋体" w:eastAsia="宋体" w:cs="宋体"/>
          <w:color w:val="auto"/>
          <w:sz w:val="24"/>
          <w:szCs w:val="24"/>
          <w:highlight w:val="none"/>
        </w:rPr>
        <w:t>。</w:t>
      </w:r>
    </w:p>
    <w:p w14:paraId="2BA3842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14.3.2</w:t>
      </w:r>
      <w:r>
        <w:rPr>
          <w:rFonts w:hint="eastAsia" w:ascii="宋体" w:hAnsi="宋体" w:eastAsia="宋体" w:cs="Times New Roman"/>
          <w:b/>
          <w:bCs/>
          <w:color w:val="auto"/>
          <w:sz w:val="24"/>
          <w:highlight w:val="none"/>
          <w:lang w:val="en-US" w:eastAsia="zh-CN"/>
        </w:rPr>
        <w:t>谈判</w:t>
      </w:r>
      <w:r>
        <w:rPr>
          <w:rFonts w:hint="eastAsia" w:ascii="宋体" w:hAnsi="宋体" w:eastAsia="宋体" w:cs="Times New Roman"/>
          <w:color w:val="auto"/>
          <w:sz w:val="24"/>
          <w:highlight w:val="none"/>
          <w:lang w:val="en-US" w:eastAsia="zh-CN"/>
        </w:rPr>
        <w:t>。初审合格后，谈判小组将与单一供应商分别进行谈判，并给予所有参加谈判的供应商平等的谈判机会。</w:t>
      </w:r>
    </w:p>
    <w:p w14:paraId="5608CB7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14.3.3</w:t>
      </w:r>
      <w:r>
        <w:rPr>
          <w:rFonts w:hint="eastAsia" w:ascii="宋体" w:hAnsi="宋体" w:eastAsia="宋体" w:cs="Times New Roman"/>
          <w:b/>
          <w:bCs/>
          <w:color w:val="auto"/>
          <w:sz w:val="24"/>
          <w:highlight w:val="none"/>
          <w:lang w:val="en-US" w:eastAsia="zh-CN"/>
        </w:rPr>
        <w:t>报价</w:t>
      </w:r>
      <w:r>
        <w:rPr>
          <w:rFonts w:hint="eastAsia" w:ascii="宋体" w:hAnsi="宋体" w:eastAsia="宋体" w:cs="Times New Roman"/>
          <w:color w:val="auto"/>
          <w:sz w:val="24"/>
          <w:highlight w:val="none"/>
          <w:lang w:val="en-US" w:eastAsia="zh-CN"/>
        </w:rPr>
        <w:t>。谈判结束后，谈判小组应当要求所有继续参加谈判的供应商在规定时间内提交最后报价。如供应商未在规定时间内（30分钟内）提交最后报价，则视为供应商自愿退出谈判。</w:t>
      </w:r>
    </w:p>
    <w:p w14:paraId="26C9810D">
      <w:pPr>
        <w:spacing w:line="360" w:lineRule="auto"/>
        <w:ind w:firstLine="240" w:firstLineChars="100"/>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14.3.4</w:t>
      </w:r>
      <w:r>
        <w:rPr>
          <w:rFonts w:hint="eastAsia" w:ascii="宋体" w:hAnsi="宋体" w:eastAsia="宋体" w:cs="Times New Roman"/>
          <w:b/>
          <w:bCs/>
          <w:color w:val="auto"/>
          <w:sz w:val="24"/>
          <w:highlight w:val="none"/>
          <w:lang w:val="en-US" w:eastAsia="zh-CN"/>
        </w:rPr>
        <w:t>异常低价响应审查。根据《关于推进解决政府采购异常低价问题的通知》（财库〔2026〕2号），谈判小组进行异常低价响应审查。</w:t>
      </w:r>
    </w:p>
    <w:p w14:paraId="4562232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14.4相关说明。</w:t>
      </w:r>
    </w:p>
    <w:p w14:paraId="3AD3A82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14.4.1为保证谈判活动顺利进行，供应商可派相关技术人员进行现场答疑。</w:t>
      </w:r>
    </w:p>
    <w:p w14:paraId="70EC8D9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14.4.2谈判小组根据与供应商谈判情况可能实质性变动谈判文件的内容，包括采购需求中的技术、服务要求以及合同草案条款。谈判文件有实质性变动的，经采购人代表确认作为谈判文件的有效组成部分，谈判小组将以书面形式通知所有参加谈判的供应商。</w:t>
      </w:r>
    </w:p>
    <w:p w14:paraId="5586BB5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14.4.3谈判小组发现供应商的报价或者某些分项报价明显低于其他通过初审的供应商的报价，有可能影响产品质量和不能诚信履约的，应当要求其在合理的时间内提供书面说明，必要时提交相关证明材料；供应商不能证明其报价合理性的，其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378D0F0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14.4.4无论何种原因，即使供应商谈判时携带了证书材料的原件，但响应文件中未提供与之内容完全一致的扫描件的，谈判小组可以视同其未提供。</w:t>
      </w:r>
    </w:p>
    <w:p w14:paraId="5055F4F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14.4.5谈判小组决定响应文件的响应性及符合性只根据响应文件本身的内容，而不寻求其他外部证据。</w:t>
      </w:r>
    </w:p>
    <w:p w14:paraId="65539C3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14.5供应商授权代表对谈判过程有疑义，以及认为采购人、采购代理机构相关工作人员有需要回避的情形的，应当场提出询问或者回避申请，并说明理由。</w:t>
      </w:r>
    </w:p>
    <w:p w14:paraId="2F63E236">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15.终止竞争性谈判</w:t>
      </w:r>
    </w:p>
    <w:p w14:paraId="5E29EEB5">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15.1出现下列情况之一时，采购人和采购代理机构有权宣布终止竞争性谈判采购，并将理由通知所有供应商：</w:t>
      </w:r>
    </w:p>
    <w:p w14:paraId="60D48D7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（1）有效供应商数量不足，导致本次谈判缺乏竞争的；</w:t>
      </w:r>
    </w:p>
    <w:p w14:paraId="4DA98F19">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（2）出现影响采购公正的违法、违规行为的；</w:t>
      </w:r>
    </w:p>
    <w:p w14:paraId="254F1BC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（3）因重大变故，采购任务取消的；</w:t>
      </w:r>
    </w:p>
    <w:p w14:paraId="1F9DFE4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（4）政府采购法律法规规定的其他情形。</w:t>
      </w:r>
    </w:p>
    <w:p w14:paraId="5D5658AD">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16.响应文件的澄清、说明或更正</w:t>
      </w:r>
    </w:p>
    <w:p w14:paraId="04037D2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16.1谈判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050D6C3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16.2谈判小组要求供应商澄清、说明或者更正响应文件应当以书面形式（询标）作出。供应商的澄清、说明或者更正应当由法定代表人或其授权代表签字或者加盖公章。</w:t>
      </w:r>
    </w:p>
    <w:p w14:paraId="17A40863">
      <w:pPr>
        <w:pageBreakBefore w:val="0"/>
        <w:kinsoku/>
        <w:wordWrap/>
        <w:overflowPunct/>
        <w:topLinePunct w:val="0"/>
        <w:bidi w:val="0"/>
        <w:snapToGrid w:val="0"/>
        <w:spacing w:beforeAutospacing="0" w:afterAutospacing="0" w:line="500" w:lineRule="exact"/>
        <w:ind w:firstLine="241" w:firstLineChars="100"/>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如有询标，授权代表（或法定代表人）现场接受询标。因授权代表联系不上、没有莅临现场等情形而无法接受谈判小组询标的，供应商自行承担相关风险。</w:t>
      </w:r>
    </w:p>
    <w:p w14:paraId="48E7B59A">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17.最后报价</w:t>
      </w:r>
    </w:p>
    <w:p w14:paraId="5EB59CE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17.1谈判并不限定只进行二轮报价，如果谈判小组认为有必要，可以要求供应商进行多轮报价。</w:t>
      </w:r>
    </w:p>
    <w:p w14:paraId="719EFD7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17.2在谈判内容不做实质性变更或重大调整的前提下，供应商下轮报价不得高于上一轮报价。</w:t>
      </w:r>
    </w:p>
    <w:p w14:paraId="6E3BE18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17.3最后报价是供应商响应文件的有效组成部分，最后报价也是签订合同的依据。</w:t>
      </w:r>
    </w:p>
    <w:p w14:paraId="33E0DB4F">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18.成交候选人的推荐原则及标准</w:t>
      </w:r>
    </w:p>
    <w:p w14:paraId="42A93BD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18.1谈判小组依据本项目谈判文件所约定的评审方法和标准，按照最后报价由低到高的顺序依次推荐成交候选人。最后报价相同的，则由谈判小组采取随机抽取方式确定。</w:t>
      </w:r>
    </w:p>
    <w:p w14:paraId="092B46A3">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19.确定成交候选人和成交供应商</w:t>
      </w:r>
    </w:p>
    <w:p w14:paraId="29D60B3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19.1谈判小组按照最后报价由低到高的顺序和供应商须知前附表中规定确定成交候选人。按供应商须知前附表中规定，由谈判小组或采购人确定成交供应商。</w:t>
      </w:r>
    </w:p>
    <w:p w14:paraId="71229C72">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20.编写评审报告</w:t>
      </w:r>
    </w:p>
    <w:p w14:paraId="2693A82D">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20.1评审报告是根据全体谈判小组成员签字的原始评审记录和评审结果编写的报告，评审报告由谈判小组全体成员签字。对评审结论持有异议的谈判小组成员可以书面方式阐述其不同意见和理由。谈判小组成员拒绝在评审报告上签字且不陈述其不同意见和理由的，视为同意评审结论。</w:t>
      </w:r>
    </w:p>
    <w:p w14:paraId="4479C70F">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21.保密要求</w:t>
      </w:r>
    </w:p>
    <w:p w14:paraId="2A2CEDF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21.1评审将在严格保密的情况下进行。</w:t>
      </w:r>
    </w:p>
    <w:p w14:paraId="4F85A3D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21.2有关人员应当遵守评审工作纪律，不得泄露评审文件、评审情况和评审中获悉的国家秘密、商业秘密。</w:t>
      </w:r>
    </w:p>
    <w:p w14:paraId="150AE607">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22.成交结果公告</w:t>
      </w:r>
    </w:p>
    <w:p w14:paraId="4FD790E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22.1为体现“公开、公平、公正”的原则，谈判结束后，采购代理机构将在桐城师范高等专科学校官网</w:t>
      </w:r>
      <w:r>
        <w:rPr>
          <w:rFonts w:hint="eastAsia" w:asciiTheme="minorEastAsia" w:hAnsiTheme="minorEastAsia" w:eastAsiaTheme="minorEastAsia" w:cstheme="minorEastAsia"/>
          <w:sz w:val="24"/>
          <w:szCs w:val="22"/>
          <w:lang w:val="en-US" w:eastAsia="zh-CN"/>
        </w:rPr>
        <w:t>tctc.edu.cn</w:t>
      </w:r>
      <w:r>
        <w:rPr>
          <w:rFonts w:hint="eastAsia" w:ascii="宋体" w:hAnsi="宋体" w:eastAsia="宋体" w:cs="Times New Roman"/>
          <w:color w:val="auto"/>
          <w:sz w:val="24"/>
          <w:highlight w:val="none"/>
          <w:lang w:val="en-US" w:eastAsia="zh-CN"/>
        </w:rPr>
        <w:t>和安庆市公共资源交易服务网</w:t>
      </w:r>
      <w:r>
        <w:rPr>
          <w:rFonts w:hint="eastAsia" w:asciiTheme="minorEastAsia" w:hAnsiTheme="minorEastAsia" w:eastAsiaTheme="minorEastAsia" w:cstheme="minorEastAsia"/>
          <w:sz w:val="24"/>
          <w:szCs w:val="22"/>
          <w:lang w:val="en-US" w:eastAsia="zh-CN"/>
        </w:rPr>
        <w:t>https://aqggzy.anqing.gov.cn/</w:t>
      </w:r>
      <w:r>
        <w:rPr>
          <w:rFonts w:hint="eastAsia" w:ascii="宋体" w:hAnsi="宋体" w:eastAsia="宋体" w:cs="Times New Roman"/>
          <w:color w:val="auto"/>
          <w:sz w:val="24"/>
          <w:highlight w:val="none"/>
          <w:lang w:val="en-US" w:eastAsia="zh-CN"/>
        </w:rPr>
        <w:t>“限额以下项目”上发布成交结果公告。</w:t>
      </w:r>
    </w:p>
    <w:p w14:paraId="68D564C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22.2成交结果公告内容应当包括采购人及其委托的采购代理机构的名称、地址、联系方式，项目名称和项目编号，成交供应商名称、地址和成交金额，主要成交标的的名称、品牌（如有）、规格型号、数量、单价，成交结果公告期限、评审专家名单以及供应商须知前附表中约定进行公告的内容。</w:t>
      </w:r>
    </w:p>
    <w:p w14:paraId="315E7638">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23.成交通知书</w:t>
      </w:r>
    </w:p>
    <w:p w14:paraId="0709D03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23.1采购代理机构发布成交结果公告的同时以供应商须知前附表规定的形式向成交供应商发出成交通知书。</w:t>
      </w:r>
    </w:p>
    <w:p w14:paraId="1E90744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23.2成交通知书对采购人和成交供应商具有同等法律效力。成交通知书发出以后，采购人改变成交结果或者成交供应商放弃成交资格，应当承担相应的法律责任。</w:t>
      </w:r>
    </w:p>
    <w:p w14:paraId="4712008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23.3成交通知书是合同的组成部分。</w:t>
      </w:r>
    </w:p>
    <w:p w14:paraId="46932AAC">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24.告知谈判结果</w:t>
      </w:r>
    </w:p>
    <w:p w14:paraId="79B8FCF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24.1在公告成交结果的同时，采购代理机构同时以供应商须知前附表规定的形式告知未成交供应商本人的排序。</w:t>
      </w:r>
    </w:p>
    <w:p w14:paraId="7A07E4D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24.2采购代理机构对未成交的供应商不做未成交原因的解释。</w:t>
      </w:r>
    </w:p>
    <w:p w14:paraId="4CEBA475">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25.履约保证金</w:t>
      </w:r>
    </w:p>
    <w:p w14:paraId="7015E383">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25.1成交供应商应按照供应商须知前附表规定缴纳履约保证金。</w:t>
      </w:r>
    </w:p>
    <w:p w14:paraId="2C1CD49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25.2如果成交供应商没有按照上述履约保证金的规定执行，将视为放弃成交资格。在此情况下，采购人可确定下一成交候选人为成交供应商，也可以重新开展采购活动。</w:t>
      </w:r>
    </w:p>
    <w:p w14:paraId="02B218C6">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26.代理费用</w:t>
      </w:r>
    </w:p>
    <w:p w14:paraId="6CB914B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26.1本项目代理费用的收取按供应商须知前附表的规定执行。</w:t>
      </w:r>
    </w:p>
    <w:p w14:paraId="456F33E8">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27.签订合同</w:t>
      </w:r>
    </w:p>
    <w:p w14:paraId="226E2533">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27.1采购人与成交供应商应当按照供应商须知前附表规定的时间内完成政府采购合同签订及合同公告。</w:t>
      </w:r>
    </w:p>
    <w:p w14:paraId="0AC727D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27.2谈判文件、成交供应商的响应文件及其澄清文件等，均为签订合同的依据。</w:t>
      </w:r>
    </w:p>
    <w:p w14:paraId="170A950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27.3 成交供应商拒绝与采购人签订合同的，采购人可以按照评审报告推荐的成交候选人名单排序，确定下一成交候选人为成交供应商，也可以重新开展采购活动。成交供应商拒绝签订政府采购合同的不得参加对该项目重新开展的采购活动。</w:t>
      </w:r>
    </w:p>
    <w:p w14:paraId="4DE9F811">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28.廉洁自律规定</w:t>
      </w:r>
    </w:p>
    <w:p w14:paraId="5A14A57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28.1采购代理机构工作人员不得以不正当手段获取政府采购代理业务，不得与采购人、供应商恶意串通。</w:t>
      </w:r>
    </w:p>
    <w:p w14:paraId="47E94F1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28.2采购代理机构工作人员不得接受采购人或者供应商组织的宴请、旅游、娱乐，不得收受礼品、现金、有价证券等，不得向采购人或者供应商报销应当由个人承担的费用。</w:t>
      </w:r>
    </w:p>
    <w:p w14:paraId="7F2F1047">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29.质疑的提出与接收</w:t>
      </w:r>
    </w:p>
    <w:p w14:paraId="0D40443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29.1供应商认为谈判文件、采购过程和成交结果使自己的权益受到损害的，可以在知道或者应知其权益受到损害之日起七个工作日内，以书面形式向采购人或其委托的采购代理机构提出质疑。</w:t>
      </w:r>
    </w:p>
    <w:p w14:paraId="0A44BE29">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29.2质疑供应商应按照财政部制定的《政府采购质疑函范本》格式和《政府采购质疑和投诉办法》的要求，在法定质疑期内以书面形式提出质疑，超出法定质疑期提交的质疑将被拒绝。针对同一采购程序环节的质疑应一次性提出。</w:t>
      </w:r>
    </w:p>
    <w:p w14:paraId="38FB1E15">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29.3采购代理机构质疑函接收部门、联系电话和通讯地址，见供应商须知前附表。</w:t>
      </w:r>
    </w:p>
    <w:p w14:paraId="4E139FF3">
      <w:pPr>
        <w:spacing w:beforeAutospacing="0" w:line="360" w:lineRule="auto"/>
        <w:ind w:firstLine="241" w:firstLineChars="100"/>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30.需要补充的其他内容</w:t>
      </w:r>
    </w:p>
    <w:p w14:paraId="7C2E2DA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需要补充的其他内容，见供应商须知前附表。</w:t>
      </w:r>
    </w:p>
    <w:p w14:paraId="6B85ACF8">
      <w:pPr>
        <w:spacing w:beforeAutospacing="0" w:line="360" w:lineRule="auto"/>
        <w:ind w:firstLine="241" w:firstLineChars="100"/>
        <w:outlineLvl w:val="2"/>
        <w:rPr>
          <w:rFonts w:hint="default"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31.备注</w:t>
      </w:r>
    </w:p>
    <w:p w14:paraId="1EFDFFD1">
      <w:pPr>
        <w:spacing w:line="360" w:lineRule="auto"/>
        <w:ind w:firstLine="240" w:firstLineChars="100"/>
        <w:rPr>
          <w:rFonts w:hint="default" w:ascii="宋体" w:hAnsi="宋体" w:eastAsia="宋体" w:cs="Times New Roman"/>
          <w:color w:val="auto"/>
          <w:sz w:val="24"/>
          <w:highlight w:val="none"/>
          <w:lang w:val="en-US" w:eastAsia="zh-CN"/>
        </w:rPr>
        <w:sectPr>
          <w:footerReference r:id="rId9" w:type="default"/>
          <w:pgSz w:w="11906" w:h="16838"/>
          <w:pgMar w:top="1418" w:right="1418" w:bottom="1276" w:left="1418" w:header="680" w:footer="68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Times New Roman"/>
          <w:color w:val="auto"/>
          <w:sz w:val="24"/>
          <w:highlight w:val="none"/>
          <w:lang w:val="en-US" w:eastAsia="zh-CN"/>
        </w:rPr>
        <w:t>本谈判文件第五章合同格式内容以供参考，具体合同内容以采购人与成交供应商所签订的合同为准</w:t>
      </w:r>
      <w:r>
        <w:rPr>
          <w:rFonts w:hint="eastAsia" w:ascii="宋体" w:hAnsi="宋体" w:cs="Times New Roman"/>
          <w:color w:val="auto"/>
          <w:sz w:val="24"/>
          <w:highlight w:val="none"/>
          <w:lang w:val="en-US" w:eastAsia="zh-CN"/>
        </w:rPr>
        <w:t>。</w:t>
      </w:r>
    </w:p>
    <w:bookmarkEnd w:id="42"/>
    <w:bookmarkEnd w:id="43"/>
    <w:bookmarkEnd w:id="44"/>
    <w:bookmarkEnd w:id="45"/>
    <w:bookmarkEnd w:id="46"/>
    <w:bookmarkEnd w:id="47"/>
    <w:bookmarkEnd w:id="48"/>
    <w:p w14:paraId="1C9EA266">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en-US" w:eastAsia="zh-CN"/>
        </w:rPr>
      </w:pPr>
      <w:bookmarkStart w:id="51" w:name="_Toc12353"/>
      <w:r>
        <w:rPr>
          <w:rFonts w:hint="eastAsia" w:ascii="宋体" w:hAnsi="宋体" w:eastAsia="宋体" w:cs="宋体"/>
          <w:b/>
          <w:bCs/>
          <w:color w:val="auto"/>
          <w:kern w:val="2"/>
          <w:sz w:val="36"/>
          <w:szCs w:val="36"/>
          <w:highlight w:val="none"/>
          <w:lang w:val="en-US" w:eastAsia="zh-CN"/>
        </w:rPr>
        <w:t>第三章 采购需求</w:t>
      </w:r>
      <w:bookmarkEnd w:id="51"/>
    </w:p>
    <w:p w14:paraId="053A50F9">
      <w:pPr>
        <w:spacing w:beforeAutospacing="0" w:line="360" w:lineRule="auto"/>
        <w:outlineLvl w:val="1"/>
        <w:rPr>
          <w:rFonts w:ascii="宋体" w:hAnsi="宋体" w:eastAsia="宋体"/>
          <w:b/>
          <w:color w:val="auto"/>
          <w:sz w:val="24"/>
          <w:szCs w:val="18"/>
          <w:highlight w:val="none"/>
        </w:rPr>
      </w:pPr>
      <w:bookmarkStart w:id="52" w:name="_Toc16371"/>
      <w:r>
        <w:rPr>
          <w:rFonts w:hint="eastAsia" w:ascii="宋体" w:hAnsi="宋体" w:eastAsia="宋体" w:cs="宋体"/>
          <w:b/>
          <w:bCs/>
          <w:sz w:val="24"/>
          <w:szCs w:val="24"/>
          <w:lang w:val="en-US" w:eastAsia="zh-CN" w:bidi="ar-SA"/>
        </w:rPr>
        <w:t>一、</w:t>
      </w:r>
      <w:r>
        <w:rPr>
          <w:rFonts w:hint="eastAsia" w:ascii="宋体" w:hAnsi="宋体" w:eastAsia="宋体"/>
          <w:b/>
          <w:color w:val="auto"/>
          <w:sz w:val="24"/>
          <w:szCs w:val="18"/>
          <w:highlight w:val="none"/>
        </w:rPr>
        <w:t>采购需求前附表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75F8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53DE7C6">
            <w:pPr>
              <w:pStyle w:val="141"/>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vAlign w:val="center"/>
          </w:tcPr>
          <w:p w14:paraId="7B4B4AC5">
            <w:pPr>
              <w:pStyle w:val="145"/>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vAlign w:val="center"/>
          </w:tcPr>
          <w:p w14:paraId="04EE1D55">
            <w:pPr>
              <w:pStyle w:val="145"/>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65B0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3E480F7">
            <w:pPr>
              <w:pStyle w:val="141"/>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vAlign w:val="center"/>
          </w:tcPr>
          <w:p w14:paraId="157F9241">
            <w:pPr>
              <w:pStyle w:val="1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217" w:type="pct"/>
            <w:vAlign w:val="center"/>
          </w:tcPr>
          <w:p w14:paraId="797C56CF">
            <w:pPr>
              <w:pStyle w:val="145"/>
              <w:widowControl w:val="0"/>
              <w:spacing w:before="0" w:beforeAutospacing="0" w:after="0" w:afterAutospacing="0" w:line="360" w:lineRule="auto"/>
              <w:jc w:val="center"/>
              <w:rPr>
                <w:rFonts w:hint="default" w:ascii="宋体" w:hAnsi="宋体" w:eastAsia="宋体"/>
                <w:b w:val="0"/>
                <w:color w:val="auto"/>
                <w:sz w:val="24"/>
                <w:highlight w:val="none"/>
                <w:u w:val="single"/>
                <w:lang w:val="en-US"/>
              </w:rPr>
            </w:pPr>
            <w:r>
              <w:rPr>
                <w:rFonts w:hint="eastAsia" w:ascii="宋体" w:hAnsi="宋体"/>
                <w:b w:val="0"/>
                <w:color w:val="auto"/>
                <w:sz w:val="24"/>
                <w:highlight w:val="none"/>
                <w:u w:val="none"/>
                <w:lang w:val="en-US" w:eastAsia="zh-CN"/>
              </w:rPr>
              <w:t>完成本项目全部内容并验收合格后一次性支付97%，剩余3%待免费质保期到期后支付</w:t>
            </w:r>
          </w:p>
        </w:tc>
      </w:tr>
      <w:tr w14:paraId="1793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20E95396">
            <w:pPr>
              <w:pStyle w:val="141"/>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vAlign w:val="center"/>
          </w:tcPr>
          <w:p w14:paraId="05D81890">
            <w:pPr>
              <w:pStyle w:val="1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w:t>
            </w:r>
            <w:r>
              <w:rPr>
                <w:rFonts w:hint="eastAsia" w:ascii="宋体" w:hAnsi="宋体"/>
                <w:b w:val="0"/>
                <w:color w:val="auto"/>
                <w:sz w:val="24"/>
                <w:highlight w:val="none"/>
                <w:lang w:val="en-US" w:eastAsia="zh-CN"/>
              </w:rPr>
              <w:t>及安装</w:t>
            </w:r>
            <w:r>
              <w:rPr>
                <w:rFonts w:hint="eastAsia" w:ascii="宋体" w:hAnsi="宋体" w:eastAsia="宋体"/>
                <w:b w:val="0"/>
                <w:color w:val="auto"/>
                <w:sz w:val="24"/>
                <w:highlight w:val="none"/>
              </w:rPr>
              <w:t>地点</w:t>
            </w:r>
          </w:p>
        </w:tc>
        <w:tc>
          <w:tcPr>
            <w:tcW w:w="3217" w:type="pct"/>
            <w:vAlign w:val="center"/>
          </w:tcPr>
          <w:p w14:paraId="6E190F26">
            <w:pPr>
              <w:pStyle w:val="145"/>
              <w:widowControl w:val="0"/>
              <w:spacing w:before="0" w:beforeAutospacing="0" w:after="0" w:afterAutospacing="0" w:line="360" w:lineRule="auto"/>
              <w:jc w:val="center"/>
              <w:rPr>
                <w:rFonts w:hint="default" w:ascii="宋体" w:hAnsi="宋体" w:eastAsia="宋体"/>
                <w:b w:val="0"/>
                <w:color w:val="auto"/>
                <w:sz w:val="24"/>
                <w:highlight w:val="none"/>
                <w:lang w:val="en-US" w:eastAsia="zh-CN"/>
              </w:rPr>
            </w:pPr>
            <w:r>
              <w:rPr>
                <w:rFonts w:hint="eastAsia" w:ascii="宋体" w:hAnsi="宋体"/>
                <w:b w:val="0"/>
                <w:color w:val="auto"/>
                <w:sz w:val="24"/>
                <w:highlight w:val="none"/>
                <w:u w:val="none"/>
                <w:lang w:val="en-US" w:eastAsia="zh-CN"/>
              </w:rPr>
              <w:t>桐城师范高等专科学校</w:t>
            </w:r>
          </w:p>
        </w:tc>
      </w:tr>
      <w:tr w14:paraId="1E6D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12CDF8DB">
            <w:pPr>
              <w:pStyle w:val="141"/>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vAlign w:val="center"/>
          </w:tcPr>
          <w:p w14:paraId="1A2DAC67">
            <w:pPr>
              <w:pStyle w:val="1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w:t>
            </w:r>
            <w:r>
              <w:rPr>
                <w:rFonts w:hint="eastAsia" w:ascii="宋体" w:hAnsi="宋体"/>
                <w:b w:val="0"/>
                <w:color w:val="auto"/>
                <w:sz w:val="24"/>
                <w:highlight w:val="none"/>
                <w:lang w:val="en-US" w:eastAsia="zh-CN"/>
              </w:rPr>
              <w:t>及安装</w:t>
            </w:r>
            <w:r>
              <w:rPr>
                <w:rFonts w:hint="eastAsia" w:ascii="宋体" w:hAnsi="宋体" w:eastAsia="宋体"/>
                <w:b w:val="0"/>
                <w:color w:val="auto"/>
                <w:sz w:val="24"/>
                <w:highlight w:val="none"/>
              </w:rPr>
              <w:t>期限</w:t>
            </w:r>
          </w:p>
        </w:tc>
        <w:tc>
          <w:tcPr>
            <w:tcW w:w="3217" w:type="pct"/>
            <w:vAlign w:val="center"/>
          </w:tcPr>
          <w:p w14:paraId="727D0143">
            <w:pPr>
              <w:pStyle w:val="145"/>
              <w:widowControl w:val="0"/>
              <w:spacing w:before="0" w:beforeAutospacing="0" w:after="0" w:afterAutospacing="0" w:line="360" w:lineRule="auto"/>
              <w:jc w:val="center"/>
              <w:rPr>
                <w:rFonts w:hint="default" w:ascii="宋体" w:hAnsi="宋体" w:eastAsia="宋体"/>
                <w:b w:val="0"/>
                <w:color w:val="auto"/>
                <w:sz w:val="24"/>
                <w:highlight w:val="none"/>
                <w:lang w:val="en-US" w:eastAsia="zh-CN"/>
              </w:rPr>
            </w:pPr>
            <w:r>
              <w:rPr>
                <w:rFonts w:hint="eastAsia" w:ascii="宋体" w:hAnsi="宋体"/>
                <w:b w:val="0"/>
                <w:color w:val="auto"/>
                <w:sz w:val="24"/>
                <w:highlight w:val="none"/>
                <w:u w:val="none"/>
                <w:lang w:val="en-US" w:eastAsia="zh-CN"/>
              </w:rPr>
              <w:t>合同签订后30日历天完成供货、安装</w:t>
            </w:r>
          </w:p>
        </w:tc>
      </w:tr>
      <w:tr w14:paraId="2FFA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197F673A">
            <w:pPr>
              <w:pStyle w:val="141"/>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4</w:t>
            </w:r>
          </w:p>
        </w:tc>
        <w:tc>
          <w:tcPr>
            <w:tcW w:w="1192" w:type="pct"/>
            <w:vAlign w:val="center"/>
          </w:tcPr>
          <w:p w14:paraId="55158539">
            <w:pPr>
              <w:pStyle w:val="145"/>
              <w:widowControl w:val="0"/>
              <w:spacing w:before="0" w:beforeAutospacing="0" w:after="0" w:afterAutospacing="0" w:line="360" w:lineRule="auto"/>
              <w:rPr>
                <w:rFonts w:hint="default" w:ascii="宋体" w:hAnsi="宋体" w:eastAsia="宋体"/>
                <w:b w:val="0"/>
                <w:color w:val="auto"/>
                <w:sz w:val="24"/>
                <w:highlight w:val="none"/>
                <w:lang w:val="en-US" w:eastAsia="zh-CN"/>
              </w:rPr>
            </w:pPr>
            <w:r>
              <w:rPr>
                <w:rFonts w:hint="eastAsia" w:ascii="宋体" w:hAnsi="宋体"/>
                <w:b w:val="0"/>
                <w:color w:val="auto"/>
                <w:sz w:val="24"/>
                <w:highlight w:val="none"/>
                <w:lang w:val="en-US" w:eastAsia="zh-CN"/>
              </w:rPr>
              <w:t>免费质保期</w:t>
            </w:r>
          </w:p>
        </w:tc>
        <w:tc>
          <w:tcPr>
            <w:tcW w:w="3217" w:type="pct"/>
            <w:vAlign w:val="center"/>
          </w:tcPr>
          <w:p w14:paraId="3A809A52">
            <w:pPr>
              <w:pStyle w:val="145"/>
              <w:widowControl w:val="0"/>
              <w:spacing w:before="0" w:beforeAutospacing="0" w:after="0" w:afterAutospacing="0" w:line="360" w:lineRule="auto"/>
              <w:jc w:val="center"/>
              <w:rPr>
                <w:rFonts w:hint="default" w:ascii="宋体" w:hAnsi="宋体"/>
                <w:b w:val="0"/>
                <w:color w:val="auto"/>
                <w:sz w:val="24"/>
                <w:highlight w:val="none"/>
                <w:u w:val="none"/>
                <w:lang w:val="en-US" w:eastAsia="zh-CN"/>
              </w:rPr>
            </w:pPr>
            <w:r>
              <w:rPr>
                <w:rFonts w:hint="eastAsia" w:ascii="宋体" w:hAnsi="宋体"/>
                <w:b w:val="0"/>
                <w:color w:val="auto"/>
                <w:sz w:val="24"/>
                <w:highlight w:val="none"/>
                <w:u w:val="none"/>
                <w:lang w:val="en-US" w:eastAsia="zh-CN"/>
              </w:rPr>
              <w:t>验收合格之日起不低于3年</w:t>
            </w:r>
          </w:p>
        </w:tc>
      </w:tr>
    </w:tbl>
    <w:p w14:paraId="7A6FE4B2">
      <w:pPr>
        <w:spacing w:beforeAutospacing="0" w:line="360" w:lineRule="auto"/>
        <w:outlineLvl w:val="1"/>
        <w:rPr>
          <w:rFonts w:hint="eastAsia" w:ascii="宋体" w:hAnsi="宋体" w:eastAsia="宋体" w:cs="宋体"/>
          <w:b/>
          <w:bCs/>
          <w:sz w:val="24"/>
          <w:szCs w:val="24"/>
          <w:lang w:val="en-US" w:eastAsia="zh-CN" w:bidi="ar-SA"/>
        </w:rPr>
      </w:pPr>
    </w:p>
    <w:p w14:paraId="3EB9B7EC">
      <w:pPr>
        <w:spacing w:beforeAutospacing="0" w:line="360" w:lineRule="auto"/>
        <w:outlineLvl w:val="1"/>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二、</w:t>
      </w:r>
      <w:r>
        <w:rPr>
          <w:rFonts w:hint="eastAsia" w:ascii="宋体" w:hAnsi="宋体" w:cs="宋体"/>
          <w:b/>
          <w:bCs/>
          <w:sz w:val="24"/>
          <w:szCs w:val="24"/>
          <w:lang w:val="en-US" w:eastAsia="zh-CN" w:bidi="ar-SA"/>
        </w:rPr>
        <w:t>货物需求</w:t>
      </w:r>
    </w:p>
    <w:p w14:paraId="7247D64A">
      <w:pPr>
        <w:spacing w:line="660" w:lineRule="exact"/>
        <w:ind w:firstLine="480" w:firstLineChars="200"/>
        <w:rPr>
          <w:rFonts w:hint="eastAsia"/>
          <w:sz w:val="24"/>
          <w:szCs w:val="24"/>
        </w:rPr>
      </w:pPr>
      <w:r>
        <w:rPr>
          <w:rFonts w:hint="eastAsia"/>
          <w:sz w:val="24"/>
          <w:szCs w:val="24"/>
        </w:rPr>
        <w:t>桐城师范高等专科学校新建</w:t>
      </w:r>
      <w:r>
        <w:rPr>
          <w:sz w:val="24"/>
          <w:szCs w:val="24"/>
        </w:rPr>
        <w:t>1</w:t>
      </w:r>
      <w:r>
        <w:rPr>
          <w:rFonts w:hint="eastAsia"/>
          <w:sz w:val="24"/>
          <w:szCs w:val="24"/>
        </w:rPr>
        <w:t>4</w:t>
      </w:r>
      <w:r>
        <w:rPr>
          <w:sz w:val="24"/>
          <w:szCs w:val="24"/>
        </w:rPr>
        <w:t>-1</w:t>
      </w:r>
      <w:r>
        <w:rPr>
          <w:rFonts w:hint="eastAsia"/>
          <w:sz w:val="24"/>
          <w:szCs w:val="24"/>
        </w:rPr>
        <w:t>5</w:t>
      </w:r>
      <w:r>
        <w:rPr>
          <w:rFonts w:hint="eastAsia"/>
          <w:sz w:val="24"/>
          <w:szCs w:val="24"/>
          <w:lang w:val="en-US" w:eastAsia="zh-CN"/>
        </w:rPr>
        <w:t>#</w:t>
      </w:r>
      <w:r>
        <w:rPr>
          <w:rFonts w:hint="eastAsia"/>
          <w:sz w:val="24"/>
          <w:szCs w:val="24"/>
        </w:rPr>
        <w:t>学生宿舍楼启用，考虑到学生的安全和方便学生大件物品晾晒，学校决定在学生公寓一、二楼宿舍、走廊、包括公共洗漱间活动窗外侧安装金刚网防盗窗，共</w:t>
      </w:r>
      <w:r>
        <w:rPr>
          <w:sz w:val="24"/>
          <w:szCs w:val="24"/>
        </w:rPr>
        <w:t>1</w:t>
      </w:r>
      <w:r>
        <w:rPr>
          <w:rFonts w:hint="eastAsia"/>
          <w:sz w:val="24"/>
          <w:szCs w:val="24"/>
        </w:rPr>
        <w:t>74个窗户，合计面积约</w:t>
      </w:r>
      <w:r>
        <w:rPr>
          <w:sz w:val="24"/>
          <w:szCs w:val="24"/>
        </w:rPr>
        <w:t>3</w:t>
      </w:r>
      <w:r>
        <w:rPr>
          <w:rFonts w:hint="eastAsia"/>
          <w:sz w:val="24"/>
          <w:szCs w:val="24"/>
        </w:rPr>
        <w:t>04平方米，以及在新建</w:t>
      </w:r>
      <w:r>
        <w:rPr>
          <w:sz w:val="24"/>
          <w:szCs w:val="24"/>
        </w:rPr>
        <w:t>1</w:t>
      </w:r>
      <w:r>
        <w:rPr>
          <w:rFonts w:hint="eastAsia"/>
          <w:sz w:val="24"/>
          <w:szCs w:val="24"/>
        </w:rPr>
        <w:t>4</w:t>
      </w:r>
      <w:r>
        <w:rPr>
          <w:sz w:val="24"/>
          <w:szCs w:val="24"/>
        </w:rPr>
        <w:t>-1</w:t>
      </w:r>
      <w:r>
        <w:rPr>
          <w:rFonts w:hint="eastAsia"/>
          <w:sz w:val="24"/>
          <w:szCs w:val="24"/>
        </w:rPr>
        <w:t>5</w:t>
      </w:r>
      <w:r>
        <w:rPr>
          <w:rFonts w:hint="eastAsia"/>
          <w:sz w:val="24"/>
          <w:szCs w:val="24"/>
          <w:lang w:val="en-US" w:eastAsia="zh-CN"/>
        </w:rPr>
        <w:t>#</w:t>
      </w:r>
      <w:r>
        <w:rPr>
          <w:rFonts w:hint="eastAsia"/>
          <w:sz w:val="24"/>
          <w:szCs w:val="24"/>
        </w:rPr>
        <w:t>学生宿舍楼西侧集中安装50个室外晾晒架。</w:t>
      </w:r>
      <w:r>
        <w:rPr>
          <w:rFonts w:hint="eastAsia"/>
          <w:sz w:val="24"/>
          <w:szCs w:val="24"/>
          <w:lang w:val="en-US" w:eastAsia="zh-CN"/>
        </w:rPr>
        <w:t>现</w:t>
      </w:r>
      <w:r>
        <w:rPr>
          <w:rFonts w:hint="eastAsia"/>
          <w:sz w:val="24"/>
          <w:szCs w:val="24"/>
        </w:rPr>
        <w:t>对工程质量、材料及施工时间有关事宜说明如下：</w:t>
      </w:r>
    </w:p>
    <w:p w14:paraId="2D238110">
      <w:pPr>
        <w:spacing w:line="660" w:lineRule="exact"/>
        <w:ind w:firstLine="470" w:firstLineChars="196"/>
        <w:rPr>
          <w:rFonts w:hint="eastAsia" w:eastAsia="宋体"/>
          <w:sz w:val="24"/>
          <w:szCs w:val="24"/>
          <w:lang w:eastAsia="zh-CN"/>
        </w:rPr>
      </w:pPr>
      <w:r>
        <w:rPr>
          <w:rFonts w:hint="eastAsia"/>
          <w:sz w:val="24"/>
          <w:szCs w:val="24"/>
          <w:lang w:val="en-US" w:eastAsia="zh-CN"/>
        </w:rPr>
        <w:t>1、</w:t>
      </w:r>
      <w:r>
        <w:rPr>
          <w:rFonts w:hint="eastAsia"/>
          <w:sz w:val="24"/>
          <w:szCs w:val="24"/>
        </w:rPr>
        <w:t>金刚纱防盗窗</w:t>
      </w:r>
      <w:r>
        <w:rPr>
          <w:rFonts w:hint="eastAsia"/>
          <w:sz w:val="24"/>
          <w:szCs w:val="24"/>
          <w:lang w:eastAsia="zh-CN"/>
        </w:rPr>
        <w:t>，</w:t>
      </w:r>
      <w:r>
        <w:rPr>
          <w:rFonts w:hint="eastAsia"/>
          <w:sz w:val="24"/>
          <w:szCs w:val="24"/>
          <w:lang w:val="en-US" w:eastAsia="zh-CN"/>
        </w:rPr>
        <w:t>304平方米（据实结算）</w:t>
      </w:r>
    </w:p>
    <w:p w14:paraId="73E04437">
      <w:pPr>
        <w:spacing w:line="660" w:lineRule="exact"/>
        <w:ind w:firstLine="470" w:firstLineChars="196"/>
        <w:rPr>
          <w:sz w:val="24"/>
          <w:szCs w:val="24"/>
        </w:rPr>
      </w:pPr>
      <w:r>
        <w:rPr>
          <w:rFonts w:hint="eastAsia"/>
          <w:sz w:val="24"/>
          <w:szCs w:val="24"/>
          <w:lang w:val="en-US" w:eastAsia="zh-CN"/>
        </w:rPr>
        <w:t>1.1</w:t>
      </w:r>
      <w:r>
        <w:rPr>
          <w:sz w:val="24"/>
          <w:szCs w:val="24"/>
        </w:rPr>
        <w:t>金刚网（核心纱网选材）</w:t>
      </w:r>
    </w:p>
    <w:p w14:paraId="4597D53A">
      <w:pPr>
        <w:spacing w:line="660" w:lineRule="exact"/>
        <w:ind w:firstLine="470" w:firstLineChars="196"/>
        <w:rPr>
          <w:rFonts w:hint="eastAsia" w:eastAsia="宋体"/>
          <w:sz w:val="24"/>
          <w:szCs w:val="24"/>
          <w:lang w:eastAsia="zh-CN"/>
        </w:rPr>
      </w:pPr>
      <w:r>
        <w:rPr>
          <w:rFonts w:hint="eastAsia"/>
          <w:sz w:val="24"/>
          <w:szCs w:val="24"/>
          <w:lang w:val="en-US" w:eastAsia="zh-CN"/>
        </w:rPr>
        <w:t>1.1.1</w:t>
      </w:r>
      <w:r>
        <w:rPr>
          <w:sz w:val="24"/>
          <w:szCs w:val="24"/>
        </w:rPr>
        <w:t>选</w:t>
      </w:r>
      <w:r>
        <w:rPr>
          <w:rFonts w:hint="eastAsia"/>
          <w:sz w:val="24"/>
          <w:szCs w:val="24"/>
        </w:rPr>
        <w:t>用</w:t>
      </w:r>
      <w:r>
        <w:rPr>
          <w:sz w:val="24"/>
          <w:szCs w:val="24"/>
        </w:rPr>
        <w:t>304 不锈钢丝，防腐防锈、耐日晒雨淋；严禁使用普通铁网、201 劣质不锈钢（易生锈断裂）</w:t>
      </w:r>
      <w:r>
        <w:rPr>
          <w:rFonts w:hint="eastAsia"/>
          <w:sz w:val="24"/>
          <w:szCs w:val="24"/>
          <w:lang w:eastAsia="zh-CN"/>
        </w:rPr>
        <w:t>；</w:t>
      </w:r>
    </w:p>
    <w:p w14:paraId="7760BA6E">
      <w:pPr>
        <w:spacing w:line="660" w:lineRule="exact"/>
        <w:ind w:firstLine="470" w:firstLineChars="196"/>
        <w:rPr>
          <w:rFonts w:hint="eastAsia" w:eastAsia="宋体"/>
          <w:sz w:val="24"/>
          <w:szCs w:val="24"/>
          <w:lang w:eastAsia="zh-CN"/>
        </w:rPr>
      </w:pPr>
      <w:r>
        <w:rPr>
          <w:rFonts w:hint="eastAsia"/>
          <w:sz w:val="24"/>
          <w:szCs w:val="24"/>
          <w:lang w:val="en-US" w:eastAsia="zh-CN"/>
        </w:rPr>
        <w:t>1.1.2</w:t>
      </w:r>
      <w:r>
        <w:rPr>
          <w:sz w:val="24"/>
          <w:szCs w:val="24"/>
        </w:rPr>
        <w:t>丝径选用 0.8–0.9mm 加强款</w:t>
      </w:r>
      <w:r>
        <w:rPr>
          <w:rFonts w:hint="eastAsia"/>
          <w:sz w:val="24"/>
          <w:szCs w:val="24"/>
        </w:rPr>
        <w:t>；</w:t>
      </w:r>
      <w:r>
        <w:rPr>
          <w:sz w:val="24"/>
          <w:szCs w:val="24"/>
        </w:rPr>
        <w:t>网孔</w:t>
      </w:r>
      <w:r>
        <w:rPr>
          <w:rFonts w:hint="eastAsia"/>
          <w:sz w:val="24"/>
          <w:szCs w:val="24"/>
        </w:rPr>
        <w:t>选用</w:t>
      </w:r>
      <w:r>
        <w:rPr>
          <w:sz w:val="24"/>
          <w:szCs w:val="24"/>
        </w:rPr>
        <w:t>常规11 目 / 12 目（网孔小，防蚊虫、防手指伸入攀爬，不遮挡视线），禁止大网孔款</w:t>
      </w:r>
      <w:r>
        <w:rPr>
          <w:rFonts w:hint="eastAsia"/>
          <w:sz w:val="24"/>
          <w:szCs w:val="24"/>
          <w:lang w:eastAsia="zh-CN"/>
        </w:rPr>
        <w:t>；</w:t>
      </w:r>
    </w:p>
    <w:p w14:paraId="0DC99935">
      <w:pPr>
        <w:spacing w:line="660" w:lineRule="exact"/>
        <w:ind w:firstLine="470" w:firstLineChars="196"/>
        <w:rPr>
          <w:rFonts w:hint="eastAsia" w:eastAsia="宋体"/>
          <w:sz w:val="24"/>
          <w:szCs w:val="24"/>
          <w:lang w:eastAsia="zh-CN"/>
        </w:rPr>
      </w:pPr>
      <w:r>
        <w:rPr>
          <w:rFonts w:hint="eastAsia"/>
          <w:sz w:val="24"/>
          <w:szCs w:val="24"/>
          <w:lang w:val="en-US" w:eastAsia="zh-CN"/>
        </w:rPr>
        <w:t>1.1.3</w:t>
      </w:r>
      <w:r>
        <w:rPr>
          <w:sz w:val="24"/>
          <w:szCs w:val="24"/>
        </w:rPr>
        <w:t>编织工艺采用平纹高密编织，网面平整无松动、无断丝、无跳丝</w:t>
      </w:r>
      <w:r>
        <w:rPr>
          <w:rFonts w:hint="eastAsia"/>
          <w:sz w:val="24"/>
          <w:szCs w:val="24"/>
        </w:rPr>
        <w:t>，</w:t>
      </w:r>
      <w:r>
        <w:rPr>
          <w:sz w:val="24"/>
          <w:szCs w:val="24"/>
        </w:rPr>
        <w:t>整张网无拼接缝</w:t>
      </w:r>
      <w:r>
        <w:rPr>
          <w:rFonts w:hint="eastAsia"/>
          <w:sz w:val="24"/>
          <w:szCs w:val="24"/>
          <w:lang w:eastAsia="zh-CN"/>
        </w:rPr>
        <w:t>；</w:t>
      </w:r>
    </w:p>
    <w:p w14:paraId="2051B416">
      <w:pPr>
        <w:spacing w:line="660" w:lineRule="exact"/>
        <w:ind w:firstLine="470" w:firstLineChars="196"/>
        <w:rPr>
          <w:sz w:val="24"/>
          <w:szCs w:val="24"/>
        </w:rPr>
      </w:pPr>
      <w:r>
        <w:rPr>
          <w:rFonts w:hint="eastAsia"/>
          <w:sz w:val="24"/>
          <w:szCs w:val="24"/>
          <w:lang w:val="en-US" w:eastAsia="zh-CN"/>
        </w:rPr>
        <w:t>1.1.4</w:t>
      </w:r>
      <w:r>
        <w:rPr>
          <w:sz w:val="24"/>
          <w:szCs w:val="24"/>
        </w:rPr>
        <w:t>表面处理</w:t>
      </w:r>
      <w:r>
        <w:rPr>
          <w:rFonts w:hint="eastAsia"/>
          <w:sz w:val="24"/>
          <w:szCs w:val="24"/>
        </w:rPr>
        <w:t>选用</w:t>
      </w:r>
      <w:r>
        <w:rPr>
          <w:sz w:val="24"/>
          <w:szCs w:val="24"/>
        </w:rPr>
        <w:t>整体电泳喷塑，颜色均匀，防刮、防氧化、不掉色，哑光款优先（不反光影响室内采光）。</w:t>
      </w:r>
    </w:p>
    <w:p w14:paraId="4C2BA4DC">
      <w:pPr>
        <w:spacing w:line="660" w:lineRule="exact"/>
        <w:ind w:firstLine="470" w:firstLineChars="196"/>
        <w:rPr>
          <w:sz w:val="24"/>
          <w:szCs w:val="24"/>
        </w:rPr>
      </w:pPr>
      <w:r>
        <w:rPr>
          <w:rFonts w:hint="eastAsia"/>
          <w:sz w:val="24"/>
          <w:szCs w:val="24"/>
          <w:lang w:val="en-US" w:eastAsia="zh-CN"/>
        </w:rPr>
        <w:t>1.2</w:t>
      </w:r>
      <w:r>
        <w:rPr>
          <w:sz w:val="24"/>
          <w:szCs w:val="24"/>
        </w:rPr>
        <w:t>外框型材选材</w:t>
      </w:r>
    </w:p>
    <w:p w14:paraId="7D0CB5D1">
      <w:pPr>
        <w:spacing w:line="660" w:lineRule="exact"/>
        <w:ind w:firstLine="470" w:firstLineChars="196"/>
        <w:rPr>
          <w:rFonts w:hint="eastAsia" w:eastAsia="宋体"/>
          <w:sz w:val="24"/>
          <w:szCs w:val="24"/>
          <w:lang w:eastAsia="zh-CN"/>
        </w:rPr>
      </w:pPr>
      <w:r>
        <w:rPr>
          <w:rFonts w:hint="eastAsia"/>
          <w:sz w:val="24"/>
          <w:szCs w:val="24"/>
          <w:lang w:val="en-US" w:eastAsia="zh-CN"/>
        </w:rPr>
        <w:t>1.2.1</w:t>
      </w:r>
      <w:r>
        <w:rPr>
          <w:sz w:val="24"/>
          <w:szCs w:val="24"/>
        </w:rPr>
        <w:t>选用</w:t>
      </w:r>
      <w:r>
        <w:rPr>
          <w:rFonts w:hint="eastAsia"/>
          <w:sz w:val="24"/>
          <w:szCs w:val="24"/>
        </w:rPr>
        <w:t>20</w:t>
      </w:r>
      <w:r>
        <w:rPr>
          <w:sz w:val="24"/>
          <w:szCs w:val="24"/>
        </w:rPr>
        <w:t xml:space="preserve"> mm</w:t>
      </w:r>
      <w:r>
        <w:rPr>
          <w:rFonts w:hint="eastAsia"/>
          <w:sz w:val="24"/>
          <w:szCs w:val="24"/>
        </w:rPr>
        <w:t xml:space="preserve"> *40</w:t>
      </w:r>
      <w:r>
        <w:rPr>
          <w:sz w:val="24"/>
          <w:szCs w:val="24"/>
        </w:rPr>
        <w:t xml:space="preserve"> mm加厚带加强筋</w:t>
      </w:r>
      <w:r>
        <w:rPr>
          <w:rFonts w:hint="eastAsia"/>
          <w:sz w:val="24"/>
          <w:szCs w:val="24"/>
        </w:rPr>
        <w:t>钛镁</w:t>
      </w:r>
      <w:r>
        <w:rPr>
          <w:sz w:val="24"/>
          <w:szCs w:val="24"/>
        </w:rPr>
        <w:t>铝合金型材，型材壁厚≥1.</w:t>
      </w:r>
      <w:r>
        <w:rPr>
          <w:rFonts w:hint="eastAsia"/>
          <w:sz w:val="24"/>
          <w:szCs w:val="24"/>
        </w:rPr>
        <w:t>4</w:t>
      </w:r>
      <w:r>
        <w:rPr>
          <w:sz w:val="24"/>
          <w:szCs w:val="24"/>
        </w:rPr>
        <w:t>mm，抗撞击、不变形</w:t>
      </w:r>
      <w:r>
        <w:rPr>
          <w:rFonts w:hint="eastAsia"/>
          <w:sz w:val="24"/>
          <w:szCs w:val="24"/>
          <w:lang w:eastAsia="zh-CN"/>
        </w:rPr>
        <w:t>；</w:t>
      </w:r>
    </w:p>
    <w:p w14:paraId="50D0F1B9">
      <w:pPr>
        <w:spacing w:line="660" w:lineRule="exact"/>
        <w:ind w:firstLine="470" w:firstLineChars="196"/>
        <w:rPr>
          <w:rFonts w:hint="eastAsia" w:eastAsia="宋体"/>
          <w:sz w:val="24"/>
          <w:szCs w:val="24"/>
          <w:lang w:eastAsia="zh-CN"/>
        </w:rPr>
      </w:pPr>
      <w:r>
        <w:rPr>
          <w:rFonts w:hint="eastAsia"/>
          <w:sz w:val="24"/>
          <w:szCs w:val="24"/>
          <w:lang w:val="en-US" w:eastAsia="zh-CN"/>
        </w:rPr>
        <w:t>1.2.2</w:t>
      </w:r>
      <w:r>
        <w:rPr>
          <w:sz w:val="24"/>
          <w:szCs w:val="24"/>
        </w:rPr>
        <w:t>框体一体成型，拼接处严丝合缝，晃动无异响</w:t>
      </w:r>
      <w:r>
        <w:rPr>
          <w:rFonts w:hint="eastAsia"/>
          <w:sz w:val="24"/>
          <w:szCs w:val="24"/>
          <w:lang w:eastAsia="zh-CN"/>
        </w:rPr>
        <w:t>；</w:t>
      </w:r>
    </w:p>
    <w:p w14:paraId="050D30D2">
      <w:pPr>
        <w:spacing w:line="660" w:lineRule="exact"/>
        <w:ind w:firstLine="470" w:firstLineChars="196"/>
        <w:rPr>
          <w:sz w:val="24"/>
          <w:szCs w:val="24"/>
        </w:rPr>
      </w:pPr>
      <w:r>
        <w:rPr>
          <w:rFonts w:hint="eastAsia"/>
          <w:sz w:val="24"/>
          <w:szCs w:val="24"/>
          <w:lang w:val="en-US" w:eastAsia="zh-CN"/>
        </w:rPr>
        <w:t>1.2.3</w:t>
      </w:r>
      <w:r>
        <w:rPr>
          <w:sz w:val="24"/>
          <w:szCs w:val="24"/>
        </w:rPr>
        <w:t>颜色统一选用浅灰、深灰、白色等校园常规色系，与建筑外立面协调。</w:t>
      </w:r>
    </w:p>
    <w:p w14:paraId="6332FCB5">
      <w:pPr>
        <w:spacing w:line="660" w:lineRule="exact"/>
        <w:ind w:firstLine="470" w:firstLineChars="196"/>
        <w:rPr>
          <w:sz w:val="24"/>
          <w:szCs w:val="24"/>
        </w:rPr>
      </w:pPr>
      <w:r>
        <w:rPr>
          <w:rFonts w:hint="eastAsia"/>
          <w:sz w:val="24"/>
          <w:szCs w:val="24"/>
          <w:lang w:val="en-US" w:eastAsia="zh-CN"/>
        </w:rPr>
        <w:t>1.3</w:t>
      </w:r>
      <w:r>
        <w:rPr>
          <w:sz w:val="24"/>
          <w:szCs w:val="24"/>
        </w:rPr>
        <w:t>安装辅材与加固要求</w:t>
      </w:r>
    </w:p>
    <w:p w14:paraId="6FBCA41D">
      <w:pPr>
        <w:spacing w:line="660" w:lineRule="exact"/>
        <w:ind w:firstLine="470" w:firstLineChars="196"/>
        <w:rPr>
          <w:rFonts w:hint="eastAsia" w:eastAsia="宋体"/>
          <w:sz w:val="24"/>
          <w:szCs w:val="24"/>
          <w:lang w:eastAsia="zh-CN"/>
        </w:rPr>
      </w:pPr>
      <w:r>
        <w:rPr>
          <w:rFonts w:hint="eastAsia"/>
          <w:sz w:val="24"/>
          <w:szCs w:val="24"/>
          <w:lang w:val="en-US" w:eastAsia="zh-CN"/>
        </w:rPr>
        <w:t>1.3.1</w:t>
      </w:r>
      <w:r>
        <w:rPr>
          <w:sz w:val="24"/>
          <w:szCs w:val="24"/>
        </w:rPr>
        <w:t>固定螺丝 / 膨胀栓/</w:t>
      </w:r>
      <w:r>
        <w:rPr>
          <w:rFonts w:hint="eastAsia"/>
          <w:sz w:val="24"/>
          <w:szCs w:val="24"/>
        </w:rPr>
        <w:t>角码</w:t>
      </w:r>
      <w:r>
        <w:rPr>
          <w:sz w:val="24"/>
          <w:szCs w:val="24"/>
        </w:rPr>
        <w:t>：全部使用304 不锈钢，禁止镀锌铁件（生锈脱落）；每根边框固定点</w:t>
      </w:r>
      <w:r>
        <w:rPr>
          <w:rFonts w:hint="eastAsia"/>
          <w:sz w:val="24"/>
          <w:szCs w:val="24"/>
        </w:rPr>
        <w:t>不少于2个</w:t>
      </w:r>
      <w:r>
        <w:rPr>
          <w:rFonts w:hint="eastAsia"/>
          <w:sz w:val="24"/>
          <w:szCs w:val="24"/>
          <w:lang w:eastAsia="zh-CN"/>
        </w:rPr>
        <w:t>；</w:t>
      </w:r>
    </w:p>
    <w:p w14:paraId="5ED2A864">
      <w:pPr>
        <w:spacing w:line="660" w:lineRule="exact"/>
        <w:ind w:firstLine="470" w:firstLineChars="196"/>
        <w:rPr>
          <w:sz w:val="24"/>
          <w:szCs w:val="24"/>
        </w:rPr>
      </w:pPr>
      <w:r>
        <w:rPr>
          <w:rFonts w:hint="eastAsia"/>
          <w:sz w:val="24"/>
          <w:szCs w:val="24"/>
          <w:lang w:val="en-US" w:eastAsia="zh-CN"/>
        </w:rPr>
        <w:t>1.3.2</w:t>
      </w:r>
      <w:r>
        <w:rPr>
          <w:sz w:val="24"/>
          <w:szCs w:val="24"/>
        </w:rPr>
        <w:t>固定方式：外墙墙体采用膨胀螺栓加固，窗沿贴合安装，无松动、无翘边。</w:t>
      </w:r>
    </w:p>
    <w:p w14:paraId="004DB0EB">
      <w:pPr>
        <w:spacing w:line="660" w:lineRule="exact"/>
        <w:ind w:firstLine="470" w:firstLineChars="196"/>
        <w:rPr>
          <w:sz w:val="24"/>
          <w:szCs w:val="24"/>
        </w:rPr>
      </w:pPr>
      <w:r>
        <w:rPr>
          <w:rFonts w:hint="eastAsia"/>
          <w:sz w:val="24"/>
          <w:szCs w:val="24"/>
          <w:lang w:val="en-US" w:eastAsia="zh-CN"/>
        </w:rPr>
        <w:t>1.4</w:t>
      </w:r>
      <w:r>
        <w:rPr>
          <w:rFonts w:hint="eastAsia"/>
          <w:sz w:val="24"/>
          <w:szCs w:val="24"/>
        </w:rPr>
        <w:t>所提供材料符合国家同类质量标准，须提供进场材料合格证和有资质的检测单位出具的材料检测报告。</w:t>
      </w:r>
    </w:p>
    <w:p w14:paraId="77458FEC">
      <w:pPr>
        <w:numPr>
          <w:ilvl w:val="0"/>
          <w:numId w:val="2"/>
        </w:numPr>
        <w:spacing w:line="660" w:lineRule="exact"/>
        <w:ind w:firstLine="480" w:firstLineChars="200"/>
        <w:rPr>
          <w:rFonts w:hint="eastAsia"/>
          <w:sz w:val="24"/>
          <w:szCs w:val="24"/>
          <w:lang w:eastAsia="zh-CN"/>
        </w:rPr>
      </w:pPr>
      <w:r>
        <w:rPr>
          <w:rFonts w:hint="eastAsia"/>
          <w:sz w:val="24"/>
          <w:szCs w:val="24"/>
        </w:rPr>
        <w:t>室外晾晒架</w:t>
      </w:r>
      <w:r>
        <w:rPr>
          <w:rFonts w:hint="eastAsia"/>
          <w:sz w:val="24"/>
          <w:szCs w:val="24"/>
          <w:lang w:eastAsia="zh-CN"/>
        </w:rPr>
        <w:t>，</w:t>
      </w:r>
      <w:r>
        <w:rPr>
          <w:rFonts w:hint="eastAsia"/>
          <w:sz w:val="24"/>
          <w:szCs w:val="24"/>
          <w:lang w:val="en-US" w:eastAsia="zh-CN"/>
        </w:rPr>
        <w:t>50个（据实结算）</w:t>
      </w:r>
    </w:p>
    <w:p w14:paraId="1589E8E5">
      <w:pPr>
        <w:numPr>
          <w:ilvl w:val="0"/>
          <w:numId w:val="0"/>
        </w:numPr>
        <w:spacing w:line="660" w:lineRule="exact"/>
        <w:ind w:firstLine="480" w:firstLineChars="200"/>
        <w:rPr>
          <w:rFonts w:hint="eastAsia" w:eastAsia="宋体"/>
          <w:sz w:val="24"/>
          <w:szCs w:val="24"/>
          <w:lang w:eastAsia="zh-CN"/>
        </w:rPr>
      </w:pPr>
      <w:r>
        <w:rPr>
          <w:rFonts w:hint="eastAsia"/>
          <w:sz w:val="24"/>
          <w:szCs w:val="24"/>
          <w:lang w:val="en-US" w:eastAsia="zh-CN"/>
        </w:rPr>
        <w:t>2.1</w:t>
      </w:r>
      <w:r>
        <w:rPr>
          <w:rFonts w:hint="eastAsia"/>
          <w:sz w:val="24"/>
          <w:szCs w:val="24"/>
        </w:rPr>
        <w:t>须正规厂家生产的</w:t>
      </w:r>
      <w:r>
        <w:rPr>
          <w:sz w:val="24"/>
          <w:szCs w:val="24"/>
        </w:rPr>
        <w:t>304</w:t>
      </w:r>
      <w:r>
        <w:rPr>
          <w:rFonts w:hint="eastAsia"/>
          <w:sz w:val="24"/>
          <w:szCs w:val="24"/>
        </w:rPr>
        <w:t>不锈钢材质</w:t>
      </w:r>
      <w:r>
        <w:rPr>
          <w:rFonts w:hint="eastAsia"/>
          <w:sz w:val="24"/>
          <w:szCs w:val="24"/>
          <w:lang w:eastAsia="zh-CN"/>
        </w:rPr>
        <w:t>；</w:t>
      </w:r>
    </w:p>
    <w:p w14:paraId="3372ECF6">
      <w:pPr>
        <w:spacing w:line="660" w:lineRule="exact"/>
        <w:ind w:firstLine="480" w:firstLineChars="200"/>
        <w:textAlignment w:val="baseline"/>
        <w:rPr>
          <w:rFonts w:hint="eastAsia" w:eastAsia="宋体"/>
          <w:sz w:val="24"/>
          <w:szCs w:val="24"/>
          <w:lang w:eastAsia="zh-CN"/>
        </w:rPr>
      </w:pPr>
      <w:r>
        <w:rPr>
          <w:rFonts w:hint="eastAsia"/>
          <w:sz w:val="24"/>
          <w:szCs w:val="24"/>
          <w:lang w:val="en-US" w:eastAsia="zh-CN"/>
        </w:rPr>
        <w:t>2.2</w:t>
      </w:r>
      <w:r>
        <w:rPr>
          <w:rFonts w:hint="eastAsia"/>
          <w:sz w:val="24"/>
          <w:szCs w:val="24"/>
        </w:rPr>
        <w:t>室外晒衣架横杠</w:t>
      </w:r>
      <w:r>
        <w:rPr>
          <w:sz w:val="24"/>
          <w:szCs w:val="24"/>
        </w:rPr>
        <w:t>: 304</w:t>
      </w:r>
      <w:r>
        <w:rPr>
          <w:rFonts w:hint="eastAsia"/>
          <w:sz w:val="24"/>
          <w:szCs w:val="24"/>
        </w:rPr>
        <w:t>号不锈钢</w:t>
      </w:r>
      <w:r>
        <w:rPr>
          <w:sz w:val="24"/>
          <w:szCs w:val="24"/>
        </w:rPr>
        <w:t xml:space="preserve">  </w:t>
      </w:r>
      <w:r>
        <w:rPr>
          <w:rFonts w:hint="eastAsia"/>
          <w:sz w:val="24"/>
          <w:szCs w:val="24"/>
        </w:rPr>
        <w:t>管材厚度</w:t>
      </w:r>
      <w:r>
        <w:rPr>
          <w:sz w:val="24"/>
          <w:szCs w:val="24"/>
        </w:rPr>
        <w:t xml:space="preserve">1.78mm </w:t>
      </w:r>
      <w:r>
        <w:rPr>
          <w:rFonts w:hint="eastAsia"/>
          <w:sz w:val="24"/>
          <w:szCs w:val="24"/>
        </w:rPr>
        <w:t>外径</w:t>
      </w:r>
      <w:r>
        <w:rPr>
          <w:sz w:val="24"/>
          <w:szCs w:val="24"/>
        </w:rPr>
        <w:t xml:space="preserve">51mm </w:t>
      </w:r>
      <w:r>
        <w:rPr>
          <w:rFonts w:hint="eastAsia"/>
          <w:sz w:val="24"/>
          <w:szCs w:val="24"/>
        </w:rPr>
        <w:t>长</w:t>
      </w:r>
      <w:r>
        <w:rPr>
          <w:sz w:val="24"/>
          <w:szCs w:val="24"/>
        </w:rPr>
        <w:t xml:space="preserve">3m  </w:t>
      </w:r>
      <w:r>
        <w:rPr>
          <w:rFonts w:hint="eastAsia"/>
          <w:sz w:val="24"/>
          <w:szCs w:val="24"/>
        </w:rPr>
        <w:t>管口平封口</w:t>
      </w:r>
      <w:r>
        <w:rPr>
          <w:rFonts w:hint="eastAsia"/>
          <w:sz w:val="24"/>
          <w:szCs w:val="24"/>
          <w:lang w:eastAsia="zh-CN"/>
        </w:rPr>
        <w:t>；</w:t>
      </w:r>
    </w:p>
    <w:p w14:paraId="611C0B4E">
      <w:pPr>
        <w:spacing w:line="660" w:lineRule="exact"/>
        <w:ind w:firstLine="480" w:firstLineChars="200"/>
        <w:textAlignment w:val="baseline"/>
        <w:rPr>
          <w:rFonts w:hint="eastAsia" w:eastAsia="宋体"/>
          <w:sz w:val="24"/>
          <w:szCs w:val="24"/>
          <w:lang w:eastAsia="zh-CN"/>
        </w:rPr>
      </w:pPr>
      <w:r>
        <w:rPr>
          <w:rFonts w:hint="eastAsia"/>
          <w:sz w:val="24"/>
          <w:szCs w:val="24"/>
          <w:lang w:val="en-US" w:eastAsia="zh-CN"/>
        </w:rPr>
        <w:t>2.3</w:t>
      </w:r>
      <w:r>
        <w:rPr>
          <w:rFonts w:hint="eastAsia"/>
          <w:sz w:val="24"/>
          <w:szCs w:val="24"/>
        </w:rPr>
        <w:t>室外晒衣架立柱（两个）</w:t>
      </w:r>
      <w:r>
        <w:rPr>
          <w:sz w:val="24"/>
          <w:szCs w:val="24"/>
        </w:rPr>
        <w:t>:304</w:t>
      </w:r>
      <w:r>
        <w:rPr>
          <w:rFonts w:hint="eastAsia"/>
          <w:sz w:val="24"/>
          <w:szCs w:val="24"/>
        </w:rPr>
        <w:t>号不锈钢</w:t>
      </w:r>
      <w:r>
        <w:rPr>
          <w:sz w:val="24"/>
          <w:szCs w:val="24"/>
        </w:rPr>
        <w:t xml:space="preserve">  </w:t>
      </w:r>
      <w:r>
        <w:rPr>
          <w:rFonts w:hint="eastAsia"/>
          <w:sz w:val="24"/>
          <w:szCs w:val="24"/>
        </w:rPr>
        <w:t>管材厚度</w:t>
      </w:r>
      <w:r>
        <w:rPr>
          <w:sz w:val="24"/>
          <w:szCs w:val="24"/>
        </w:rPr>
        <w:t xml:space="preserve">1.78mm </w:t>
      </w:r>
      <w:r>
        <w:rPr>
          <w:rFonts w:hint="eastAsia"/>
          <w:sz w:val="24"/>
          <w:szCs w:val="24"/>
        </w:rPr>
        <w:t>外径</w:t>
      </w:r>
      <w:r>
        <w:rPr>
          <w:sz w:val="24"/>
          <w:szCs w:val="24"/>
        </w:rPr>
        <w:t xml:space="preserve">51mm </w:t>
      </w:r>
      <w:r>
        <w:rPr>
          <w:rFonts w:hint="eastAsia"/>
          <w:sz w:val="24"/>
          <w:szCs w:val="24"/>
        </w:rPr>
        <w:t>长</w:t>
      </w:r>
      <w:r>
        <w:rPr>
          <w:sz w:val="24"/>
          <w:szCs w:val="24"/>
        </w:rPr>
        <w:t>2m</w:t>
      </w:r>
      <w:r>
        <w:rPr>
          <w:rFonts w:hint="eastAsia"/>
          <w:sz w:val="24"/>
          <w:szCs w:val="24"/>
          <w:lang w:eastAsia="zh-CN"/>
        </w:rPr>
        <w:t>；</w:t>
      </w:r>
    </w:p>
    <w:p w14:paraId="64452B4D">
      <w:pPr>
        <w:spacing w:line="660" w:lineRule="exact"/>
        <w:ind w:firstLine="480" w:firstLineChars="200"/>
        <w:textAlignment w:val="baseline"/>
        <w:rPr>
          <w:rFonts w:hint="eastAsia" w:eastAsia="宋体"/>
          <w:sz w:val="24"/>
          <w:szCs w:val="24"/>
          <w:lang w:eastAsia="zh-CN"/>
        </w:rPr>
      </w:pPr>
      <w:r>
        <w:rPr>
          <w:rFonts w:hint="eastAsia"/>
          <w:sz w:val="24"/>
          <w:szCs w:val="24"/>
          <w:lang w:val="en-US" w:eastAsia="zh-CN"/>
        </w:rPr>
        <w:t>2.4</w:t>
      </w:r>
      <w:r>
        <w:rPr>
          <w:rFonts w:hint="eastAsia"/>
          <w:sz w:val="24"/>
          <w:szCs w:val="24"/>
        </w:rPr>
        <w:t>室外晒衣架立柱斜撑（两个）</w:t>
      </w:r>
      <w:r>
        <w:rPr>
          <w:sz w:val="24"/>
          <w:szCs w:val="24"/>
        </w:rPr>
        <w:t>:304</w:t>
      </w:r>
      <w:r>
        <w:rPr>
          <w:rFonts w:hint="eastAsia"/>
          <w:sz w:val="24"/>
          <w:szCs w:val="24"/>
        </w:rPr>
        <w:t>号不锈钢</w:t>
      </w:r>
      <w:r>
        <w:rPr>
          <w:sz w:val="24"/>
          <w:szCs w:val="24"/>
        </w:rPr>
        <w:t xml:space="preserve">  </w:t>
      </w:r>
      <w:r>
        <w:rPr>
          <w:rFonts w:hint="eastAsia"/>
          <w:sz w:val="24"/>
          <w:szCs w:val="24"/>
        </w:rPr>
        <w:t>管材厚度</w:t>
      </w:r>
      <w:r>
        <w:rPr>
          <w:sz w:val="24"/>
          <w:szCs w:val="24"/>
        </w:rPr>
        <w:t xml:space="preserve">1.38mm </w:t>
      </w:r>
      <w:r>
        <w:rPr>
          <w:rFonts w:hint="eastAsia"/>
          <w:sz w:val="24"/>
          <w:szCs w:val="24"/>
        </w:rPr>
        <w:t>外径</w:t>
      </w:r>
      <w:r>
        <w:rPr>
          <w:sz w:val="24"/>
          <w:szCs w:val="24"/>
        </w:rPr>
        <w:t xml:space="preserve">38mm </w:t>
      </w:r>
      <w:r>
        <w:rPr>
          <w:rFonts w:hint="eastAsia"/>
          <w:sz w:val="24"/>
          <w:szCs w:val="24"/>
        </w:rPr>
        <w:t>长</w:t>
      </w:r>
      <w:r>
        <w:rPr>
          <w:sz w:val="24"/>
          <w:szCs w:val="24"/>
        </w:rPr>
        <w:t>1m</w:t>
      </w:r>
      <w:r>
        <w:rPr>
          <w:rFonts w:hint="eastAsia"/>
          <w:sz w:val="24"/>
          <w:szCs w:val="24"/>
          <w:lang w:eastAsia="zh-CN"/>
        </w:rPr>
        <w:t>；</w:t>
      </w:r>
    </w:p>
    <w:p w14:paraId="49270472">
      <w:pPr>
        <w:spacing w:line="660" w:lineRule="exact"/>
        <w:ind w:firstLine="480" w:firstLineChars="200"/>
        <w:rPr>
          <w:rFonts w:hint="eastAsia" w:eastAsia="宋体"/>
          <w:sz w:val="24"/>
          <w:szCs w:val="24"/>
          <w:lang w:eastAsia="zh-CN"/>
        </w:rPr>
      </w:pPr>
      <w:r>
        <w:rPr>
          <w:rFonts w:hint="eastAsia"/>
          <w:sz w:val="24"/>
          <w:szCs w:val="24"/>
          <w:lang w:val="en-US" w:eastAsia="zh-CN"/>
        </w:rPr>
        <w:t>2.5</w:t>
      </w:r>
      <w:r>
        <w:rPr>
          <w:rFonts w:hint="eastAsia"/>
          <w:sz w:val="24"/>
          <w:szCs w:val="24"/>
        </w:rPr>
        <w:t>室外晾衣杆水泥底座采用</w:t>
      </w:r>
      <w:r>
        <w:rPr>
          <w:sz w:val="24"/>
          <w:szCs w:val="24"/>
        </w:rPr>
        <w:t>c25</w:t>
      </w:r>
      <w:r>
        <w:rPr>
          <w:rFonts w:hint="eastAsia"/>
          <w:sz w:val="24"/>
          <w:szCs w:val="24"/>
        </w:rPr>
        <w:t>砼：</w:t>
      </w:r>
      <w:r>
        <w:rPr>
          <w:sz w:val="24"/>
          <w:szCs w:val="24"/>
        </w:rPr>
        <w:t xml:space="preserve"> </w:t>
      </w:r>
      <w:r>
        <w:rPr>
          <w:rFonts w:hint="eastAsia"/>
          <w:sz w:val="24"/>
          <w:szCs w:val="24"/>
        </w:rPr>
        <w:t>长</w:t>
      </w:r>
      <w:r>
        <w:rPr>
          <w:sz w:val="24"/>
          <w:szCs w:val="24"/>
        </w:rPr>
        <w:t xml:space="preserve">70cm  </w:t>
      </w:r>
      <w:r>
        <w:rPr>
          <w:rFonts w:hint="eastAsia"/>
          <w:sz w:val="24"/>
          <w:szCs w:val="24"/>
        </w:rPr>
        <w:t>宽</w:t>
      </w:r>
      <w:r>
        <w:rPr>
          <w:sz w:val="24"/>
          <w:szCs w:val="24"/>
        </w:rPr>
        <w:t xml:space="preserve">40cm   </w:t>
      </w:r>
      <w:r>
        <w:rPr>
          <w:rFonts w:hint="eastAsia"/>
          <w:sz w:val="24"/>
          <w:szCs w:val="24"/>
        </w:rPr>
        <w:t>深</w:t>
      </w:r>
      <w:r>
        <w:rPr>
          <w:sz w:val="24"/>
          <w:szCs w:val="24"/>
        </w:rPr>
        <w:t>60cm</w:t>
      </w:r>
      <w:r>
        <w:rPr>
          <w:rFonts w:hint="eastAsia"/>
          <w:sz w:val="24"/>
          <w:szCs w:val="24"/>
          <w:lang w:eastAsia="zh-CN"/>
        </w:rPr>
        <w:t>。</w:t>
      </w:r>
    </w:p>
    <w:p w14:paraId="5DC2B062">
      <w:pPr>
        <w:spacing w:line="660" w:lineRule="exact"/>
        <w:ind w:firstLine="482" w:firstLineChars="200"/>
        <w:rPr>
          <w:rFonts w:hint="eastAsia"/>
          <w:b/>
          <w:bCs/>
          <w:sz w:val="24"/>
          <w:szCs w:val="24"/>
        </w:rPr>
      </w:pPr>
      <w:r>
        <w:rPr>
          <w:rFonts w:hint="eastAsia"/>
          <w:b/>
          <w:bCs/>
          <w:sz w:val="24"/>
          <w:szCs w:val="24"/>
          <w:lang w:val="en-US" w:eastAsia="zh-CN"/>
        </w:rPr>
        <w:t>三、其他要求</w:t>
      </w:r>
      <w:r>
        <w:rPr>
          <w:rFonts w:hint="eastAsia"/>
          <w:b/>
          <w:bCs/>
          <w:sz w:val="24"/>
          <w:szCs w:val="24"/>
        </w:rPr>
        <w:t>：</w:t>
      </w:r>
    </w:p>
    <w:p w14:paraId="4291E1B0">
      <w:pPr>
        <w:spacing w:line="660" w:lineRule="exact"/>
        <w:ind w:firstLine="480" w:firstLineChars="200"/>
        <w:rPr>
          <w:rFonts w:hint="eastAsia" w:eastAsia="宋体"/>
          <w:sz w:val="24"/>
          <w:szCs w:val="24"/>
          <w:lang w:eastAsia="zh-CN"/>
        </w:rPr>
      </w:pPr>
      <w:r>
        <w:rPr>
          <w:rFonts w:hint="eastAsia"/>
          <w:sz w:val="24"/>
          <w:szCs w:val="24"/>
          <w:lang w:val="en-US" w:eastAsia="zh-CN"/>
        </w:rPr>
        <w:t>3.1</w:t>
      </w:r>
      <w:r>
        <w:rPr>
          <w:rFonts w:hint="eastAsia"/>
          <w:sz w:val="24"/>
          <w:szCs w:val="24"/>
        </w:rPr>
        <w:t>桐城师范高等专科学校新建</w:t>
      </w:r>
      <w:r>
        <w:rPr>
          <w:sz w:val="24"/>
          <w:szCs w:val="24"/>
        </w:rPr>
        <w:t>1</w:t>
      </w:r>
      <w:r>
        <w:rPr>
          <w:rFonts w:hint="eastAsia"/>
          <w:sz w:val="24"/>
          <w:szCs w:val="24"/>
        </w:rPr>
        <w:t>4</w:t>
      </w:r>
      <w:r>
        <w:rPr>
          <w:sz w:val="24"/>
          <w:szCs w:val="24"/>
        </w:rPr>
        <w:t>-1</w:t>
      </w:r>
      <w:r>
        <w:rPr>
          <w:rFonts w:hint="eastAsia"/>
          <w:sz w:val="24"/>
          <w:szCs w:val="24"/>
        </w:rPr>
        <w:t>5号学生宿舍共二幢宿舍楼一、二层及三层</w:t>
      </w:r>
      <w:r>
        <w:rPr>
          <w:sz w:val="24"/>
          <w:szCs w:val="24"/>
        </w:rPr>
        <w:t>2</w:t>
      </w:r>
      <w:r>
        <w:rPr>
          <w:rFonts w:hint="eastAsia"/>
          <w:sz w:val="24"/>
          <w:szCs w:val="24"/>
        </w:rPr>
        <w:t>间，合计</w:t>
      </w:r>
      <w:r>
        <w:rPr>
          <w:sz w:val="24"/>
          <w:szCs w:val="24"/>
        </w:rPr>
        <w:t>192</w:t>
      </w:r>
      <w:r>
        <w:rPr>
          <w:rFonts w:hint="eastAsia"/>
          <w:sz w:val="24"/>
          <w:szCs w:val="24"/>
        </w:rPr>
        <w:t>个窗户的金刚网防盗窗，总面积约</w:t>
      </w:r>
      <w:r>
        <w:rPr>
          <w:sz w:val="24"/>
          <w:szCs w:val="24"/>
        </w:rPr>
        <w:t>3</w:t>
      </w:r>
      <w:r>
        <w:rPr>
          <w:rFonts w:hint="eastAsia"/>
          <w:sz w:val="24"/>
          <w:szCs w:val="24"/>
        </w:rPr>
        <w:t>04平方米；以及在新建</w:t>
      </w:r>
      <w:r>
        <w:rPr>
          <w:sz w:val="24"/>
          <w:szCs w:val="24"/>
        </w:rPr>
        <w:t>1</w:t>
      </w:r>
      <w:r>
        <w:rPr>
          <w:rFonts w:hint="eastAsia"/>
          <w:sz w:val="24"/>
          <w:szCs w:val="24"/>
        </w:rPr>
        <w:t>4</w:t>
      </w:r>
      <w:r>
        <w:rPr>
          <w:sz w:val="24"/>
          <w:szCs w:val="24"/>
        </w:rPr>
        <w:t>-1</w:t>
      </w:r>
      <w:r>
        <w:rPr>
          <w:rFonts w:hint="eastAsia"/>
          <w:sz w:val="24"/>
          <w:szCs w:val="24"/>
        </w:rPr>
        <w:t>5号学生宿舍楼西侧空旷区域安装50个晾晒架</w:t>
      </w:r>
      <w:r>
        <w:rPr>
          <w:rFonts w:hint="eastAsia"/>
          <w:sz w:val="24"/>
          <w:szCs w:val="24"/>
          <w:lang w:eastAsia="zh-CN"/>
        </w:rPr>
        <w:t>；</w:t>
      </w:r>
    </w:p>
    <w:p w14:paraId="2F12775B">
      <w:pPr>
        <w:spacing w:line="660" w:lineRule="exact"/>
        <w:ind w:firstLine="480" w:firstLineChars="200"/>
        <w:rPr>
          <w:rFonts w:hint="eastAsia" w:eastAsia="宋体"/>
          <w:sz w:val="24"/>
          <w:szCs w:val="24"/>
          <w:lang w:val="en-US" w:eastAsia="zh-CN"/>
        </w:rPr>
      </w:pPr>
      <w:r>
        <w:rPr>
          <w:rFonts w:hint="eastAsia"/>
          <w:sz w:val="24"/>
          <w:szCs w:val="24"/>
          <w:lang w:val="en-US" w:eastAsia="zh-CN"/>
        </w:rPr>
        <w:t>3.2控制价：</w:t>
      </w:r>
      <w:r>
        <w:rPr>
          <w:rFonts w:hint="eastAsia"/>
          <w:sz w:val="24"/>
          <w:szCs w:val="24"/>
        </w:rPr>
        <w:t>金刚网防盗窗：</w:t>
      </w:r>
      <w:r>
        <w:rPr>
          <w:sz w:val="24"/>
          <w:szCs w:val="24"/>
        </w:rPr>
        <w:t>100</w:t>
      </w:r>
      <w:r>
        <w:rPr>
          <w:rFonts w:hint="eastAsia"/>
          <w:sz w:val="24"/>
          <w:szCs w:val="24"/>
        </w:rPr>
        <w:t>元</w:t>
      </w:r>
      <w:r>
        <w:rPr>
          <w:sz w:val="24"/>
          <w:szCs w:val="24"/>
        </w:rPr>
        <w:t>/</w:t>
      </w:r>
      <w:r>
        <w:rPr>
          <w:rFonts w:hint="eastAsia"/>
          <w:sz w:val="24"/>
          <w:szCs w:val="24"/>
        </w:rPr>
        <w:t>平方米</w:t>
      </w:r>
      <w:r>
        <w:rPr>
          <w:rFonts w:hint="eastAsia"/>
          <w:sz w:val="24"/>
          <w:szCs w:val="24"/>
          <w:lang w:eastAsia="zh-CN"/>
        </w:rPr>
        <w:t>，</w:t>
      </w:r>
      <w:r>
        <w:rPr>
          <w:rFonts w:hint="eastAsia"/>
          <w:sz w:val="24"/>
          <w:szCs w:val="24"/>
        </w:rPr>
        <w:t>室外晾晒架：</w:t>
      </w:r>
      <w:r>
        <w:rPr>
          <w:sz w:val="24"/>
          <w:szCs w:val="24"/>
        </w:rPr>
        <w:t>600</w:t>
      </w:r>
      <w:r>
        <w:rPr>
          <w:rFonts w:hint="eastAsia"/>
          <w:sz w:val="24"/>
          <w:szCs w:val="24"/>
        </w:rPr>
        <w:t>元</w:t>
      </w:r>
      <w:r>
        <w:rPr>
          <w:sz w:val="24"/>
          <w:szCs w:val="24"/>
        </w:rPr>
        <w:t>/</w:t>
      </w:r>
      <w:r>
        <w:rPr>
          <w:rFonts w:hint="eastAsia"/>
          <w:sz w:val="24"/>
          <w:szCs w:val="24"/>
        </w:rPr>
        <w:t>个</w:t>
      </w:r>
      <w:r>
        <w:rPr>
          <w:rFonts w:hint="eastAsia"/>
          <w:sz w:val="24"/>
          <w:szCs w:val="24"/>
          <w:lang w:eastAsia="zh-CN"/>
        </w:rPr>
        <w:t>；</w:t>
      </w:r>
    </w:p>
    <w:p w14:paraId="486A5968">
      <w:pPr>
        <w:spacing w:line="660" w:lineRule="exact"/>
        <w:ind w:firstLine="480" w:firstLineChars="200"/>
        <w:rPr>
          <w:rFonts w:hint="eastAsia" w:eastAsia="宋体"/>
          <w:sz w:val="24"/>
          <w:szCs w:val="24"/>
          <w:lang w:eastAsia="zh-CN"/>
        </w:rPr>
      </w:pPr>
      <w:r>
        <w:rPr>
          <w:rFonts w:hint="eastAsia"/>
          <w:sz w:val="24"/>
          <w:szCs w:val="24"/>
          <w:lang w:val="en-US" w:eastAsia="zh-CN"/>
        </w:rPr>
        <w:t>3.3结算</w:t>
      </w:r>
      <w:r>
        <w:rPr>
          <w:rFonts w:hint="eastAsia"/>
          <w:sz w:val="24"/>
          <w:szCs w:val="24"/>
        </w:rPr>
        <w:t>方式：</w:t>
      </w:r>
      <w:r>
        <w:rPr>
          <w:rFonts w:hint="eastAsia"/>
          <w:sz w:val="24"/>
          <w:szCs w:val="24"/>
          <w:lang w:val="en-US" w:eastAsia="zh-CN"/>
        </w:rPr>
        <w:t>控制价*中标费率*</w:t>
      </w:r>
      <w:r>
        <w:rPr>
          <w:rFonts w:hint="eastAsia"/>
          <w:sz w:val="24"/>
          <w:szCs w:val="24"/>
        </w:rPr>
        <w:t>实际丈量面积</w:t>
      </w:r>
      <w:r>
        <w:rPr>
          <w:rFonts w:hint="eastAsia"/>
          <w:sz w:val="24"/>
          <w:szCs w:val="24"/>
          <w:lang w:eastAsia="zh-CN"/>
        </w:rPr>
        <w:t>（</w:t>
      </w:r>
      <w:r>
        <w:rPr>
          <w:rFonts w:hint="eastAsia"/>
          <w:sz w:val="24"/>
          <w:szCs w:val="24"/>
        </w:rPr>
        <w:t>数量</w:t>
      </w:r>
      <w:r>
        <w:rPr>
          <w:rFonts w:hint="eastAsia"/>
          <w:sz w:val="24"/>
          <w:szCs w:val="24"/>
          <w:lang w:eastAsia="zh-CN"/>
        </w:rPr>
        <w:t>）</w:t>
      </w:r>
      <w:r>
        <w:rPr>
          <w:rFonts w:hint="eastAsia"/>
          <w:sz w:val="24"/>
          <w:szCs w:val="24"/>
          <w:lang w:val="en-US" w:eastAsia="zh-CN"/>
        </w:rPr>
        <w:t>据实结算</w:t>
      </w:r>
      <w:r>
        <w:rPr>
          <w:rFonts w:hint="eastAsia"/>
          <w:sz w:val="24"/>
          <w:szCs w:val="24"/>
          <w:lang w:eastAsia="zh-CN"/>
        </w:rPr>
        <w:t>；</w:t>
      </w:r>
    </w:p>
    <w:p w14:paraId="5F0C081E">
      <w:pPr>
        <w:spacing w:line="660" w:lineRule="exact"/>
        <w:ind w:firstLine="480" w:firstLineChars="200"/>
        <w:rPr>
          <w:rFonts w:hint="eastAsia"/>
          <w:sz w:val="24"/>
          <w:szCs w:val="24"/>
          <w:lang w:val="en-US" w:eastAsia="zh-CN"/>
        </w:rPr>
      </w:pPr>
      <w:r>
        <w:rPr>
          <w:rFonts w:hint="eastAsia"/>
          <w:sz w:val="24"/>
          <w:szCs w:val="24"/>
          <w:lang w:val="en-US" w:eastAsia="zh-CN"/>
        </w:rPr>
        <w:t>3.4本项目包含金钢网防盗窗和晾晒架的材料、制做、安装，请投标人于投标前自行到校进行现场勘察，熟知本项目的实施内容，如实填写现场勘察表，并在投标文件中提供现场勘察表复印件。现场勘察联系人：王老师 13705563327；</w:t>
      </w:r>
    </w:p>
    <w:p w14:paraId="6AD6A433">
      <w:pPr>
        <w:spacing w:line="660" w:lineRule="exac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3.5质量要求：施工期间的施工安全问题归中标单位自行承担，</w:t>
      </w:r>
      <w:r>
        <w:rPr>
          <w:rFonts w:hint="eastAsia" w:ascii="Times New Roman" w:hAnsi="Times New Roman" w:eastAsia="宋体" w:cs="Times New Roman"/>
          <w:sz w:val="24"/>
          <w:szCs w:val="24"/>
        </w:rPr>
        <w:t>施工质量符合国家同类相应标准，安装的各个节点必须牢固、稳定。金钢网防盗窗需在活动窗户外侧（室外）固定，且不能影响窗户左右推拉，上下换装</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实际承做的是窗户全活动部分。施工期间的施工安全问题归承包方承担</w:t>
      </w:r>
      <w:r>
        <w:rPr>
          <w:rFonts w:hint="eastAsia" w:ascii="Times New Roman" w:hAnsi="Times New Roman" w:eastAsia="宋体" w:cs="Times New Roman"/>
          <w:sz w:val="24"/>
          <w:szCs w:val="24"/>
          <w:lang w:eastAsia="zh-CN"/>
        </w:rPr>
        <w:t>；</w:t>
      </w:r>
    </w:p>
    <w:p w14:paraId="54CAFACC">
      <w:pPr>
        <w:spacing w:line="660" w:lineRule="exact"/>
        <w:ind w:firstLine="480" w:firstLineChars="200"/>
      </w:pPr>
      <w:r>
        <w:rPr>
          <w:rFonts w:hint="eastAsia"/>
          <w:sz w:val="24"/>
          <w:szCs w:val="24"/>
          <w:lang w:val="en-US" w:eastAsia="zh-CN"/>
        </w:rPr>
        <w:t>3.6</w:t>
      </w:r>
      <w:r>
        <w:rPr>
          <w:rFonts w:hint="eastAsia"/>
          <w:sz w:val="24"/>
          <w:szCs w:val="24"/>
        </w:rPr>
        <w:t>所提供材料符合国家同类质量标准，须提供进场材料合格证和</w:t>
      </w:r>
      <w:r>
        <w:rPr>
          <w:rFonts w:hint="eastAsia"/>
          <w:sz w:val="24"/>
          <w:szCs w:val="24"/>
          <w:lang w:val="en-US" w:eastAsia="zh-CN"/>
        </w:rPr>
        <w:t>国家认可的第三方检测机构</w:t>
      </w:r>
      <w:r>
        <w:rPr>
          <w:rFonts w:hint="eastAsia"/>
          <w:sz w:val="24"/>
          <w:szCs w:val="24"/>
        </w:rPr>
        <w:t>出具的材料检测报告。</w:t>
      </w:r>
    </w:p>
    <w:p w14:paraId="50B094E6">
      <w:pPr>
        <w:spacing w:line="660" w:lineRule="exact"/>
        <w:ind w:firstLine="480" w:firstLineChars="200"/>
        <w:rPr>
          <w:rFonts w:hint="eastAsia" w:ascii="Times New Roman" w:hAnsi="Times New Roman" w:eastAsia="宋体" w:cs="Times New Roman"/>
          <w:sz w:val="24"/>
          <w:szCs w:val="24"/>
        </w:rPr>
      </w:pPr>
    </w:p>
    <w:p w14:paraId="3314652E">
      <w:pPr>
        <w:jc w:val="both"/>
        <w:rPr>
          <w:rFonts w:hint="eastAsia"/>
          <w:b/>
          <w:sz w:val="28"/>
          <w:szCs w:val="28"/>
          <w:lang w:val="en-US" w:eastAsia="zh-CN"/>
        </w:rPr>
      </w:pPr>
    </w:p>
    <w:p w14:paraId="12047EB3">
      <w:pPr>
        <w:pStyle w:val="2"/>
        <w:rPr>
          <w:rFonts w:hint="eastAsia"/>
          <w:lang w:val="en-US" w:eastAsia="zh-CN"/>
        </w:rPr>
      </w:pPr>
    </w:p>
    <w:p w14:paraId="3260B778">
      <w:pPr>
        <w:pStyle w:val="5"/>
        <w:rPr>
          <w:rFonts w:hint="eastAsia"/>
          <w:lang w:val="en-US" w:eastAsia="zh-CN"/>
        </w:rPr>
      </w:pPr>
    </w:p>
    <w:p w14:paraId="1C782C92">
      <w:pPr>
        <w:ind w:firstLine="482" w:firstLineChars="200"/>
        <w:jc w:val="both"/>
        <w:rPr>
          <w:rFonts w:hint="eastAsia"/>
          <w:b/>
          <w:sz w:val="24"/>
          <w:szCs w:val="24"/>
          <w:lang w:val="en-US" w:eastAsia="zh-CN"/>
        </w:rPr>
      </w:pPr>
      <w:r>
        <w:rPr>
          <w:rFonts w:hint="eastAsia"/>
          <w:b/>
          <w:sz w:val="24"/>
          <w:szCs w:val="24"/>
          <w:lang w:val="en-US" w:eastAsia="zh-CN"/>
        </w:rPr>
        <w:t>四、参考图片</w:t>
      </w:r>
    </w:p>
    <w:p w14:paraId="6CC3F981">
      <w:pPr>
        <w:ind w:left="420"/>
        <w:jc w:val="left"/>
        <w:rPr>
          <w:sz w:val="24"/>
          <w:szCs w:val="24"/>
        </w:rPr>
      </w:pPr>
      <w:r>
        <w:rPr>
          <w:rFonts w:hint="eastAsia"/>
          <w:sz w:val="24"/>
          <w:szCs w:val="24"/>
          <w:lang w:val="en-US" w:eastAsia="zh-CN"/>
        </w:rPr>
        <w:t>4.</w:t>
      </w:r>
      <w:r>
        <w:rPr>
          <w:rFonts w:hint="eastAsia"/>
          <w:sz w:val="24"/>
          <w:szCs w:val="24"/>
        </w:rPr>
        <w:t>1金钢网防盗窗</w:t>
      </w:r>
    </w:p>
    <w:p w14:paraId="32FF7FF9">
      <w:pPr>
        <w:ind w:firstLine="420" w:firstLineChars="200"/>
        <w:jc w:val="both"/>
        <w:rPr>
          <w:rFonts w:hint="eastAsia"/>
          <w:sz w:val="32"/>
          <w:szCs w:val="32"/>
        </w:rPr>
      </w:pPr>
      <w:r>
        <w:rPr>
          <w:rFonts w:hint="eastAsia"/>
        </w:rPr>
        <w:drawing>
          <wp:inline distT="0" distB="0" distL="114300" distR="114300">
            <wp:extent cx="1855470" cy="2275840"/>
            <wp:effectExtent l="0" t="0" r="11430" b="10160"/>
            <wp:docPr id="15" name="图片 15" descr="ffa1bc5574a62b72ef02add15c7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fa1bc5574a62b72ef02add15c78883"/>
                    <pic:cNvPicPr>
                      <a:picLocks noChangeAspect="1"/>
                    </pic:cNvPicPr>
                  </pic:nvPicPr>
                  <pic:blipFill>
                    <a:blip r:embed="rId15"/>
                    <a:stretch>
                      <a:fillRect/>
                    </a:stretch>
                  </pic:blipFill>
                  <pic:spPr>
                    <a:xfrm>
                      <a:off x="0" y="0"/>
                      <a:ext cx="1855470" cy="2275840"/>
                    </a:xfrm>
                    <a:prstGeom prst="rect">
                      <a:avLst/>
                    </a:prstGeom>
                  </pic:spPr>
                </pic:pic>
              </a:graphicData>
            </a:graphic>
          </wp:inline>
        </w:drawing>
      </w:r>
      <w:r>
        <w:rPr>
          <w:rFonts w:hint="eastAsia"/>
        </w:rPr>
        <w:drawing>
          <wp:inline distT="0" distB="0" distL="114300" distR="114300">
            <wp:extent cx="2616200" cy="2248535"/>
            <wp:effectExtent l="0" t="0" r="12700" b="18415"/>
            <wp:docPr id="16" name="图片 16" descr="1353028604c5ac4785dc9b4b514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53028604c5ac4785dc9b4b5143936"/>
                    <pic:cNvPicPr>
                      <a:picLocks noChangeAspect="1"/>
                    </pic:cNvPicPr>
                  </pic:nvPicPr>
                  <pic:blipFill>
                    <a:blip r:embed="rId16"/>
                    <a:stretch>
                      <a:fillRect/>
                    </a:stretch>
                  </pic:blipFill>
                  <pic:spPr>
                    <a:xfrm>
                      <a:off x="0" y="0"/>
                      <a:ext cx="2616200" cy="2248535"/>
                    </a:xfrm>
                    <a:prstGeom prst="rect">
                      <a:avLst/>
                    </a:prstGeom>
                  </pic:spPr>
                </pic:pic>
              </a:graphicData>
            </a:graphic>
          </wp:inline>
        </w:drawing>
      </w:r>
      <w:r>
        <w:rPr>
          <w:rFonts w:hint="eastAsia"/>
        </w:rPr>
        <w:drawing>
          <wp:inline distT="0" distB="0" distL="114300" distR="114300">
            <wp:extent cx="2527300" cy="2670810"/>
            <wp:effectExtent l="0" t="0" r="6350" b="15240"/>
            <wp:docPr id="17" name="图片 17" descr="4d2137a6c005ba95a28d7e97f743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d2137a6c005ba95a28d7e97f7433d7"/>
                    <pic:cNvPicPr>
                      <a:picLocks noChangeAspect="1"/>
                    </pic:cNvPicPr>
                  </pic:nvPicPr>
                  <pic:blipFill>
                    <a:blip r:embed="rId17"/>
                    <a:stretch>
                      <a:fillRect/>
                    </a:stretch>
                  </pic:blipFill>
                  <pic:spPr>
                    <a:xfrm>
                      <a:off x="0" y="0"/>
                      <a:ext cx="2527300" cy="2670810"/>
                    </a:xfrm>
                    <a:prstGeom prst="rect">
                      <a:avLst/>
                    </a:prstGeom>
                  </pic:spPr>
                </pic:pic>
              </a:graphicData>
            </a:graphic>
          </wp:inline>
        </w:drawing>
      </w:r>
      <w:r>
        <w:rPr>
          <w:rFonts w:hint="eastAsia"/>
          <w:lang w:val="en-US" w:eastAsia="zh-CN"/>
        </w:rPr>
        <w:t xml:space="preserve"> </w:t>
      </w:r>
      <w:r>
        <w:rPr>
          <w:rFonts w:hint="eastAsia"/>
        </w:rPr>
        <w:drawing>
          <wp:inline distT="0" distB="0" distL="114300" distR="114300">
            <wp:extent cx="2605405" cy="2715260"/>
            <wp:effectExtent l="0" t="0" r="4445" b="8890"/>
            <wp:docPr id="18" name="图片 18" descr="0fd58a496f1d0d8ff8d273a47ac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fd58a496f1d0d8ff8d273a47ac3404"/>
                    <pic:cNvPicPr>
                      <a:picLocks noChangeAspect="1"/>
                    </pic:cNvPicPr>
                  </pic:nvPicPr>
                  <pic:blipFill>
                    <a:blip r:embed="rId18"/>
                    <a:stretch>
                      <a:fillRect/>
                    </a:stretch>
                  </pic:blipFill>
                  <pic:spPr>
                    <a:xfrm>
                      <a:off x="0" y="0"/>
                      <a:ext cx="2605405" cy="2715260"/>
                    </a:xfrm>
                    <a:prstGeom prst="rect">
                      <a:avLst/>
                    </a:prstGeom>
                  </pic:spPr>
                </pic:pic>
              </a:graphicData>
            </a:graphic>
          </wp:inline>
        </w:drawing>
      </w:r>
      <w:r>
        <w:rPr>
          <w:rFonts w:hint="eastAsia"/>
          <w:lang w:val="en-US" w:eastAsia="zh-CN"/>
        </w:rPr>
        <w:t xml:space="preserve">   </w:t>
      </w:r>
    </w:p>
    <w:p w14:paraId="2D3C3783">
      <w:pPr>
        <w:ind w:left="420"/>
        <w:jc w:val="left"/>
        <w:rPr>
          <w:rFonts w:hint="eastAsia"/>
          <w:sz w:val="24"/>
          <w:szCs w:val="24"/>
          <w:lang w:val="en-US" w:eastAsia="zh-CN"/>
        </w:rPr>
      </w:pPr>
    </w:p>
    <w:p w14:paraId="19FE7257">
      <w:pPr>
        <w:ind w:left="420"/>
        <w:jc w:val="left"/>
        <w:rPr>
          <w:rFonts w:hint="eastAsia"/>
          <w:sz w:val="24"/>
          <w:szCs w:val="24"/>
          <w:lang w:val="en-US" w:eastAsia="zh-CN"/>
        </w:rPr>
      </w:pPr>
    </w:p>
    <w:p w14:paraId="38B358BB">
      <w:pPr>
        <w:ind w:left="420"/>
        <w:jc w:val="left"/>
        <w:rPr>
          <w:rFonts w:hint="eastAsia"/>
          <w:sz w:val="24"/>
          <w:szCs w:val="24"/>
          <w:lang w:val="en-US" w:eastAsia="zh-CN"/>
        </w:rPr>
      </w:pPr>
    </w:p>
    <w:p w14:paraId="2CC4BF8F">
      <w:pPr>
        <w:ind w:left="420"/>
        <w:jc w:val="left"/>
        <w:rPr>
          <w:rFonts w:hint="eastAsia"/>
          <w:sz w:val="24"/>
          <w:szCs w:val="24"/>
          <w:lang w:val="en-US" w:eastAsia="zh-CN"/>
        </w:rPr>
      </w:pPr>
    </w:p>
    <w:p w14:paraId="6508863D">
      <w:pPr>
        <w:ind w:left="420"/>
        <w:jc w:val="left"/>
        <w:rPr>
          <w:rFonts w:hint="eastAsia"/>
          <w:sz w:val="24"/>
          <w:szCs w:val="24"/>
          <w:lang w:val="en-US" w:eastAsia="zh-CN"/>
        </w:rPr>
      </w:pPr>
    </w:p>
    <w:p w14:paraId="6D0F08F5">
      <w:pPr>
        <w:ind w:left="420"/>
        <w:jc w:val="left"/>
        <w:rPr>
          <w:rFonts w:hint="eastAsia"/>
          <w:sz w:val="24"/>
          <w:szCs w:val="24"/>
          <w:lang w:val="en-US" w:eastAsia="zh-CN"/>
        </w:rPr>
      </w:pPr>
    </w:p>
    <w:p w14:paraId="3197BD92">
      <w:pPr>
        <w:ind w:left="420"/>
        <w:jc w:val="left"/>
        <w:rPr>
          <w:rFonts w:hint="eastAsia"/>
          <w:sz w:val="24"/>
          <w:szCs w:val="24"/>
          <w:lang w:val="en-US" w:eastAsia="zh-CN"/>
        </w:rPr>
      </w:pPr>
    </w:p>
    <w:p w14:paraId="2A6A1B24">
      <w:pPr>
        <w:ind w:left="420"/>
        <w:jc w:val="left"/>
        <w:rPr>
          <w:rFonts w:hint="eastAsia"/>
          <w:sz w:val="24"/>
          <w:szCs w:val="24"/>
          <w:lang w:val="en-US" w:eastAsia="zh-CN"/>
        </w:rPr>
      </w:pPr>
    </w:p>
    <w:p w14:paraId="21D254BC">
      <w:pPr>
        <w:ind w:left="420"/>
        <w:jc w:val="left"/>
        <w:rPr>
          <w:rFonts w:hint="eastAsia"/>
          <w:sz w:val="24"/>
          <w:szCs w:val="24"/>
          <w:lang w:val="en-US" w:eastAsia="zh-CN"/>
        </w:rPr>
      </w:pPr>
    </w:p>
    <w:p w14:paraId="0C0A67E3">
      <w:pPr>
        <w:ind w:left="420"/>
        <w:jc w:val="left"/>
        <w:rPr>
          <w:rFonts w:hint="eastAsia"/>
          <w:sz w:val="24"/>
          <w:szCs w:val="24"/>
          <w:lang w:val="en-US" w:eastAsia="zh-CN"/>
        </w:rPr>
      </w:pPr>
    </w:p>
    <w:p w14:paraId="047581F1">
      <w:pPr>
        <w:ind w:left="420"/>
        <w:jc w:val="left"/>
        <w:rPr>
          <w:rFonts w:hint="eastAsia"/>
          <w:sz w:val="24"/>
          <w:szCs w:val="24"/>
          <w:lang w:val="en-US" w:eastAsia="zh-CN"/>
        </w:rPr>
      </w:pPr>
    </w:p>
    <w:p w14:paraId="5880C0B4">
      <w:pPr>
        <w:ind w:left="420"/>
        <w:jc w:val="left"/>
        <w:rPr>
          <w:rFonts w:hint="eastAsia"/>
          <w:sz w:val="24"/>
          <w:szCs w:val="24"/>
          <w:lang w:val="en-US" w:eastAsia="zh-CN"/>
        </w:rPr>
      </w:pPr>
    </w:p>
    <w:p w14:paraId="0142563B">
      <w:pPr>
        <w:ind w:left="420"/>
        <w:jc w:val="left"/>
        <w:rPr>
          <w:rFonts w:hint="eastAsia"/>
          <w:sz w:val="24"/>
          <w:szCs w:val="24"/>
          <w:lang w:val="en-US" w:eastAsia="zh-CN"/>
        </w:rPr>
      </w:pPr>
    </w:p>
    <w:p w14:paraId="692C2BFF">
      <w:pPr>
        <w:ind w:left="420"/>
        <w:jc w:val="left"/>
        <w:rPr>
          <w:rFonts w:hint="eastAsia"/>
          <w:sz w:val="24"/>
          <w:szCs w:val="24"/>
          <w:lang w:val="en-US" w:eastAsia="zh-CN"/>
        </w:rPr>
      </w:pPr>
    </w:p>
    <w:p w14:paraId="5FE89A32">
      <w:pPr>
        <w:ind w:left="420"/>
        <w:jc w:val="left"/>
        <w:rPr>
          <w:rFonts w:hint="eastAsia"/>
          <w:sz w:val="24"/>
          <w:szCs w:val="24"/>
        </w:rPr>
      </w:pPr>
      <w:r>
        <w:rPr>
          <w:rFonts w:hint="eastAsia"/>
          <w:sz w:val="24"/>
          <w:szCs w:val="24"/>
          <w:lang w:val="en-US" w:eastAsia="zh-CN"/>
        </w:rPr>
        <w:t>4.</w:t>
      </w:r>
      <w:r>
        <w:rPr>
          <w:rFonts w:hint="eastAsia"/>
          <w:sz w:val="24"/>
          <w:szCs w:val="24"/>
        </w:rPr>
        <w:t>2室外晾晒架</w:t>
      </w:r>
    </w:p>
    <w:p w14:paraId="439F4C9C">
      <w:pPr>
        <w:jc w:val="center"/>
        <w:rPr>
          <w:rFonts w:hint="eastAsia"/>
          <w:sz w:val="32"/>
          <w:szCs w:val="32"/>
        </w:rPr>
      </w:pPr>
      <w:r>
        <w:rPr>
          <w:sz w:val="32"/>
          <w:szCs w:val="32"/>
        </w:rPr>
        <w:drawing>
          <wp:inline distT="0" distB="0" distL="0" distR="0">
            <wp:extent cx="4160520" cy="3729355"/>
            <wp:effectExtent l="0" t="0" r="1143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60520" cy="3729355"/>
                    </a:xfrm>
                    <a:prstGeom prst="rect">
                      <a:avLst/>
                    </a:prstGeom>
                    <a:noFill/>
                  </pic:spPr>
                </pic:pic>
              </a:graphicData>
            </a:graphic>
          </wp:inline>
        </w:drawing>
      </w:r>
    </w:p>
    <w:p w14:paraId="5E7587B6">
      <w:pPr>
        <w:ind w:left="420"/>
        <w:jc w:val="center"/>
        <w:rPr>
          <w:rFonts w:hint="eastAsia"/>
        </w:rPr>
      </w:pPr>
    </w:p>
    <w:p w14:paraId="7AC08E88">
      <w:pPr>
        <w:ind w:left="420"/>
        <w:jc w:val="center"/>
        <w:rPr>
          <w:rFonts w:hint="eastAsia"/>
          <w:sz w:val="32"/>
          <w:szCs w:val="32"/>
        </w:rPr>
      </w:pPr>
      <w:r>
        <w:rPr>
          <w:rFonts w:hint="eastAsia"/>
        </w:rPr>
        <w:t>现场图片</w:t>
      </w:r>
    </w:p>
    <w:p w14:paraId="5DE15BC1">
      <w:pPr>
        <w:pStyle w:val="5"/>
      </w:pPr>
      <w:r>
        <w:rPr>
          <w:sz w:val="32"/>
          <w:szCs w:val="32"/>
        </w:rPr>
        <w:drawing>
          <wp:inline distT="0" distB="0" distL="0" distR="0">
            <wp:extent cx="2457450" cy="2078355"/>
            <wp:effectExtent l="0" t="0" r="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57450" cy="2078355"/>
                    </a:xfrm>
                    <a:prstGeom prst="rect">
                      <a:avLst/>
                    </a:prstGeom>
                    <a:noFill/>
                  </pic:spPr>
                </pic:pic>
              </a:graphicData>
            </a:graphic>
          </wp:inline>
        </w:drawing>
      </w:r>
      <w:r>
        <w:rPr>
          <w:rFonts w:hint="eastAsia"/>
          <w:sz w:val="32"/>
          <w:szCs w:val="32"/>
          <w:lang w:val="en-US" w:eastAsia="zh-CN"/>
        </w:rPr>
        <w:t xml:space="preserve">  </w:t>
      </w:r>
      <w:r>
        <w:rPr>
          <w:sz w:val="32"/>
          <w:szCs w:val="32"/>
        </w:rPr>
        <w:drawing>
          <wp:inline distT="0" distB="0" distL="0" distR="0">
            <wp:extent cx="2453640" cy="2088515"/>
            <wp:effectExtent l="0" t="0" r="381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53640" cy="2088515"/>
                    </a:xfrm>
                    <a:prstGeom prst="rect">
                      <a:avLst/>
                    </a:prstGeom>
                    <a:noFill/>
                  </pic:spPr>
                </pic:pic>
              </a:graphicData>
            </a:graphic>
          </wp:inline>
        </w:drawing>
      </w:r>
    </w:p>
    <w:p w14:paraId="69743A0B">
      <w:pPr>
        <w:pStyle w:val="56"/>
        <w:rPr>
          <w:rFonts w:hint="eastAsia"/>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8D4ED91">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en-US" w:eastAsia="zh-CN"/>
        </w:rPr>
      </w:pPr>
      <w:r>
        <w:rPr>
          <w:rFonts w:hint="eastAsia" w:ascii="宋体" w:hAnsi="宋体" w:eastAsia="宋体" w:cs="宋体"/>
          <w:b/>
          <w:bCs/>
          <w:color w:val="auto"/>
          <w:kern w:val="2"/>
          <w:sz w:val="36"/>
          <w:szCs w:val="36"/>
          <w:highlight w:val="none"/>
          <w:lang w:val="en-US" w:eastAsia="zh-CN"/>
        </w:rPr>
        <w:t>第四章 评审方法与标准</w:t>
      </w:r>
      <w:bookmarkEnd w:id="52"/>
    </w:p>
    <w:p w14:paraId="5A12204F">
      <w:pPr>
        <w:numPr>
          <w:ilvl w:val="0"/>
          <w:numId w:val="0"/>
        </w:numPr>
        <w:spacing w:line="360" w:lineRule="auto"/>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 xml:space="preserve">一、总则 </w:t>
      </w:r>
    </w:p>
    <w:p w14:paraId="35054D2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本项目将按照竞争性谈判文件第二章 竞争性谈判须知的相关要求及本章的规定评审。</w:t>
      </w:r>
    </w:p>
    <w:p w14:paraId="3224582E">
      <w:pPr>
        <w:numPr>
          <w:ilvl w:val="0"/>
          <w:numId w:val="0"/>
        </w:numPr>
        <w:spacing w:line="360" w:lineRule="auto"/>
        <w:rPr>
          <w:rFonts w:hint="eastAsia" w:ascii="宋体" w:hAnsi="宋体"/>
          <w:b/>
          <w:color w:val="auto"/>
          <w:sz w:val="24"/>
          <w:szCs w:val="24"/>
          <w:highlight w:val="none"/>
          <w:lang w:val="en-US" w:eastAsia="zh-CN"/>
        </w:rPr>
      </w:pPr>
      <w:r>
        <w:rPr>
          <w:rFonts w:hint="eastAsia" w:ascii="宋体" w:hAnsi="宋体" w:eastAsia="宋体" w:cs="Times New Roman"/>
          <w:b/>
          <w:color w:val="auto"/>
          <w:sz w:val="24"/>
          <w:szCs w:val="24"/>
          <w:lang w:val="en-US" w:eastAsia="zh-CN" w:bidi="ar-SA"/>
        </w:rPr>
        <w:t>二、</w:t>
      </w:r>
      <w:r>
        <w:rPr>
          <w:rFonts w:hint="eastAsia" w:ascii="宋体" w:hAnsi="宋体"/>
          <w:b/>
          <w:color w:val="auto"/>
          <w:sz w:val="24"/>
          <w:szCs w:val="24"/>
          <w:highlight w:val="none"/>
          <w:lang w:val="en-US" w:eastAsia="zh-CN"/>
        </w:rPr>
        <w:t>评审方法：</w:t>
      </w:r>
    </w:p>
    <w:p w14:paraId="196C9DA4">
      <w:pPr>
        <w:spacing w:line="360" w:lineRule="auto"/>
        <w:ind w:firstLine="240" w:firstLineChars="100"/>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w:t>
      </w:r>
      <w:r>
        <w:rPr>
          <w:rFonts w:hint="eastAsia" w:ascii="宋体" w:hAnsi="宋体" w:cs="Times New Roman"/>
          <w:color w:val="auto"/>
          <w:sz w:val="24"/>
          <w:highlight w:val="none"/>
          <w:lang w:val="en-US" w:eastAsia="zh-CN"/>
        </w:rPr>
        <w:t>.</w:t>
      </w:r>
      <w:r>
        <w:rPr>
          <w:rFonts w:hint="eastAsia" w:ascii="宋体" w:hAnsi="宋体" w:eastAsia="宋体" w:cs="Times New Roman"/>
          <w:color w:val="auto"/>
          <w:sz w:val="24"/>
          <w:highlight w:val="none"/>
          <w:lang w:val="en-US" w:eastAsia="zh-CN"/>
        </w:rPr>
        <w:t>初审。谈判</w:t>
      </w:r>
      <w:r>
        <w:rPr>
          <w:rFonts w:hint="default" w:ascii="宋体" w:hAnsi="宋体" w:eastAsia="宋体" w:cs="Times New Roman"/>
          <w:color w:val="auto"/>
          <w:sz w:val="24"/>
          <w:highlight w:val="none"/>
          <w:lang w:val="en-US" w:eastAsia="zh-CN"/>
        </w:rPr>
        <w:t>小组对供应商的响应文件进行初审，以确定其是否满足竞争性谈判文件的实质性要求。初审表如下</w:t>
      </w:r>
      <w:r>
        <w:rPr>
          <w:rFonts w:hint="eastAsia" w:ascii="宋体" w:hAnsi="宋体" w:eastAsia="宋体" w:cs="Times New Roman"/>
          <w:color w:val="auto"/>
          <w:sz w:val="24"/>
          <w:highlight w:val="none"/>
          <w:lang w:val="en-US" w:eastAsia="zh-CN"/>
        </w:rPr>
        <w:t>：</w:t>
      </w:r>
    </w:p>
    <w:tbl>
      <w:tblPr>
        <w:tblStyle w:val="40"/>
        <w:tblW w:w="9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688"/>
        <w:gridCol w:w="4046"/>
        <w:gridCol w:w="3210"/>
      </w:tblGrid>
      <w:tr w14:paraId="57E6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30" w:type="dxa"/>
            <w:gridSpan w:val="4"/>
            <w:tcBorders>
              <w:bottom w:val="single" w:color="auto" w:sz="4" w:space="0"/>
            </w:tcBorders>
            <w:vAlign w:val="center"/>
          </w:tcPr>
          <w:p w14:paraId="206FEE8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初审表</w:t>
            </w:r>
          </w:p>
        </w:tc>
      </w:tr>
      <w:tr w14:paraId="6F0E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tcBorders>
              <w:bottom w:val="single" w:color="auto" w:sz="4" w:space="0"/>
            </w:tcBorders>
            <w:vAlign w:val="center"/>
          </w:tcPr>
          <w:p w14:paraId="373AB34E">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1688" w:type="dxa"/>
            <w:tcBorders>
              <w:bottom w:val="single" w:color="auto" w:sz="4" w:space="0"/>
            </w:tcBorders>
            <w:vAlign w:val="center"/>
          </w:tcPr>
          <w:p w14:paraId="66F8D809">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评审指标</w:t>
            </w:r>
          </w:p>
        </w:tc>
        <w:tc>
          <w:tcPr>
            <w:tcW w:w="4046" w:type="dxa"/>
            <w:tcBorders>
              <w:bottom w:val="single" w:color="auto" w:sz="4" w:space="0"/>
            </w:tcBorders>
            <w:vAlign w:val="center"/>
          </w:tcPr>
          <w:p w14:paraId="38C7D392">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评审标准</w:t>
            </w:r>
          </w:p>
        </w:tc>
        <w:tc>
          <w:tcPr>
            <w:tcW w:w="3210" w:type="dxa"/>
            <w:tcBorders>
              <w:bottom w:val="single" w:color="auto" w:sz="4" w:space="0"/>
            </w:tcBorders>
            <w:vAlign w:val="center"/>
          </w:tcPr>
          <w:p w14:paraId="39A39E98">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格式及材料要求</w:t>
            </w:r>
          </w:p>
        </w:tc>
      </w:tr>
      <w:tr w14:paraId="58D9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vAlign w:val="center"/>
          </w:tcPr>
          <w:p w14:paraId="140C12BD">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8" w:type="dxa"/>
            <w:vAlign w:val="center"/>
          </w:tcPr>
          <w:p w14:paraId="7D327243">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4046" w:type="dxa"/>
            <w:tcBorders>
              <w:bottom w:val="single" w:color="auto" w:sz="4" w:space="0"/>
            </w:tcBorders>
            <w:vAlign w:val="center"/>
          </w:tcPr>
          <w:p w14:paraId="2BDE321D">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（1）供应商为企业的，应提供有效的营业执照；</w:t>
            </w:r>
          </w:p>
          <w:p w14:paraId="5BF64BC7">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（2）供应商为事业单位的，应提供有效的事业单位法人证书；</w:t>
            </w:r>
          </w:p>
          <w:p w14:paraId="42C745F9">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（3）供应商是非企业机构的，应提供有效的执业许可证或登记证书等证明文件；</w:t>
            </w:r>
          </w:p>
          <w:p w14:paraId="18019D58">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（4）供应商是个体工商户的，应提供有效的个体工商户营业执照；</w:t>
            </w:r>
          </w:p>
          <w:p w14:paraId="4CBE0B6E">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（5）供应商是自然人的，应提供有效的自然人身份证明；</w:t>
            </w:r>
          </w:p>
        </w:tc>
        <w:tc>
          <w:tcPr>
            <w:tcW w:w="3210" w:type="dxa"/>
            <w:vAlign w:val="center"/>
          </w:tcPr>
          <w:p w14:paraId="0829E88C">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提供材料扫描件或复印件或影印件，应完整的体现出</w:t>
            </w:r>
          </w:p>
          <w:p w14:paraId="1B71332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材料全部内容</w:t>
            </w:r>
          </w:p>
        </w:tc>
      </w:tr>
      <w:tr w14:paraId="1CBE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tcBorders>
              <w:bottom w:val="single" w:color="auto" w:sz="4" w:space="0"/>
            </w:tcBorders>
            <w:vAlign w:val="center"/>
          </w:tcPr>
          <w:p w14:paraId="23E7A57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688" w:type="dxa"/>
            <w:tcBorders>
              <w:bottom w:val="single" w:color="auto" w:sz="4" w:space="0"/>
            </w:tcBorders>
            <w:vAlign w:val="center"/>
          </w:tcPr>
          <w:p w14:paraId="428644D3">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供应商信用</w:t>
            </w:r>
          </w:p>
          <w:p w14:paraId="1C3C7BEC">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记录</w:t>
            </w:r>
          </w:p>
        </w:tc>
        <w:tc>
          <w:tcPr>
            <w:tcW w:w="4046" w:type="dxa"/>
            <w:tcBorders>
              <w:bottom w:val="single" w:color="auto" w:sz="4" w:space="0"/>
            </w:tcBorders>
            <w:vAlign w:val="center"/>
          </w:tcPr>
          <w:p w14:paraId="78CFA8F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供应商不得存在供应商须知正文</w:t>
            </w:r>
          </w:p>
          <w:p w14:paraId="0A882A6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第14.3.1条中的不良信用记录情形</w:t>
            </w:r>
          </w:p>
        </w:tc>
        <w:tc>
          <w:tcPr>
            <w:tcW w:w="3210" w:type="dxa"/>
            <w:tcBorders>
              <w:bottom w:val="single" w:color="auto" w:sz="4" w:space="0"/>
            </w:tcBorders>
            <w:vAlign w:val="center"/>
          </w:tcPr>
          <w:p w14:paraId="0A7F917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无须供应商提供，由采购人或采购代理机构查询。</w:t>
            </w:r>
          </w:p>
        </w:tc>
      </w:tr>
      <w:tr w14:paraId="232C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tcBorders>
              <w:bottom w:val="single" w:color="auto" w:sz="4" w:space="0"/>
            </w:tcBorders>
            <w:vAlign w:val="center"/>
          </w:tcPr>
          <w:p w14:paraId="0A6898F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688" w:type="dxa"/>
            <w:tcBorders>
              <w:bottom w:val="single" w:color="auto" w:sz="4" w:space="0"/>
            </w:tcBorders>
            <w:vAlign w:val="center"/>
          </w:tcPr>
          <w:p w14:paraId="630A877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供应商资格</w:t>
            </w:r>
          </w:p>
          <w:p w14:paraId="6D8A10E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声明书</w:t>
            </w:r>
          </w:p>
        </w:tc>
        <w:tc>
          <w:tcPr>
            <w:tcW w:w="4046" w:type="dxa"/>
            <w:tcBorders>
              <w:bottom w:val="single" w:color="auto" w:sz="4" w:space="0"/>
            </w:tcBorders>
            <w:vAlign w:val="center"/>
          </w:tcPr>
          <w:p w14:paraId="09CC015F">
            <w:pPr>
              <w:spacing w:line="360" w:lineRule="auto"/>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提供符合谈判文件要求的</w:t>
            </w:r>
            <w:r>
              <w:rPr>
                <w:rFonts w:hint="eastAsia" w:ascii="宋体" w:hAnsi="宋体" w:cs="宋体"/>
                <w:color w:val="auto"/>
                <w:sz w:val="24"/>
                <w:szCs w:val="24"/>
                <w:highlight w:val="none"/>
                <w:lang w:val="en-US" w:eastAsia="zh-CN"/>
              </w:rPr>
              <w:t xml:space="preserve"> </w:t>
            </w:r>
          </w:p>
          <w:p w14:paraId="28A6140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《供应商资格声明书》</w:t>
            </w:r>
          </w:p>
        </w:tc>
        <w:tc>
          <w:tcPr>
            <w:tcW w:w="3210" w:type="dxa"/>
            <w:tcBorders>
              <w:bottom w:val="single" w:color="auto" w:sz="4" w:space="0"/>
            </w:tcBorders>
            <w:vAlign w:val="center"/>
          </w:tcPr>
          <w:p w14:paraId="79193671">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4E6D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0EA1C9E9">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688" w:type="dxa"/>
            <w:vAlign w:val="center"/>
          </w:tcPr>
          <w:p w14:paraId="52DED86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其它落实政府采购政策的</w:t>
            </w:r>
          </w:p>
          <w:p w14:paraId="607F8E4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资格要求</w:t>
            </w:r>
          </w:p>
        </w:tc>
        <w:tc>
          <w:tcPr>
            <w:tcW w:w="4046" w:type="dxa"/>
            <w:vAlign w:val="center"/>
          </w:tcPr>
          <w:p w14:paraId="6BE1AEF8">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如有，见第一章《谈判邀请》</w:t>
            </w:r>
          </w:p>
        </w:tc>
        <w:tc>
          <w:tcPr>
            <w:tcW w:w="3210" w:type="dxa"/>
            <w:vAlign w:val="center"/>
          </w:tcPr>
          <w:p w14:paraId="4161B972">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提供材料扫描件或复印件或影印件，应完整的体现出</w:t>
            </w:r>
          </w:p>
          <w:p w14:paraId="29C4799A">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材料全部内容</w:t>
            </w:r>
          </w:p>
        </w:tc>
      </w:tr>
      <w:tr w14:paraId="2F4B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7EC49C3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688" w:type="dxa"/>
            <w:vAlign w:val="center"/>
          </w:tcPr>
          <w:p w14:paraId="4B8AA50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本项目的特定资格要求</w:t>
            </w:r>
          </w:p>
        </w:tc>
        <w:tc>
          <w:tcPr>
            <w:tcW w:w="4046" w:type="dxa"/>
            <w:vAlign w:val="center"/>
          </w:tcPr>
          <w:p w14:paraId="1BF8DD92">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如有，见第一章《谈判邀请》</w:t>
            </w:r>
          </w:p>
        </w:tc>
        <w:tc>
          <w:tcPr>
            <w:tcW w:w="3210" w:type="dxa"/>
            <w:vAlign w:val="center"/>
          </w:tcPr>
          <w:p w14:paraId="10406D4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提供材料扫描件或复印件或影印件，应完整的体现出</w:t>
            </w:r>
          </w:p>
          <w:p w14:paraId="3BBCD02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材料全部内容</w:t>
            </w:r>
          </w:p>
        </w:tc>
      </w:tr>
      <w:tr w14:paraId="20F4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40987D78">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688" w:type="dxa"/>
            <w:vAlign w:val="center"/>
          </w:tcPr>
          <w:p w14:paraId="6C07E4E1">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谈判响应函</w:t>
            </w:r>
          </w:p>
        </w:tc>
        <w:tc>
          <w:tcPr>
            <w:tcW w:w="4046" w:type="dxa"/>
            <w:vAlign w:val="center"/>
          </w:tcPr>
          <w:p w14:paraId="0641C9F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格式、填写要求符合谈判文件规定并加盖</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公章</w:t>
            </w:r>
          </w:p>
        </w:tc>
        <w:tc>
          <w:tcPr>
            <w:tcW w:w="3210" w:type="dxa"/>
            <w:vAlign w:val="center"/>
          </w:tcPr>
          <w:p w14:paraId="09EB3B9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3195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786" w:type="dxa"/>
            <w:vAlign w:val="center"/>
          </w:tcPr>
          <w:p w14:paraId="461CA576">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688" w:type="dxa"/>
            <w:vAlign w:val="center"/>
          </w:tcPr>
          <w:p w14:paraId="5D20800C">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授权书</w:t>
            </w:r>
          </w:p>
        </w:tc>
        <w:tc>
          <w:tcPr>
            <w:tcW w:w="4046" w:type="dxa"/>
            <w:vAlign w:val="center"/>
          </w:tcPr>
          <w:p w14:paraId="473B8414">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格式、填写要求符合谈判文件规定并加盖</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公章</w:t>
            </w:r>
          </w:p>
        </w:tc>
        <w:tc>
          <w:tcPr>
            <w:tcW w:w="3210" w:type="dxa"/>
            <w:vAlign w:val="center"/>
          </w:tcPr>
          <w:p w14:paraId="5644922D">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法定代表人参加谈判的无需此件，提供身份证明即可。详见第六章响应文件格式  </w:t>
            </w:r>
          </w:p>
        </w:tc>
      </w:tr>
      <w:tr w14:paraId="6E38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86" w:type="dxa"/>
            <w:vAlign w:val="center"/>
          </w:tcPr>
          <w:p w14:paraId="14CA604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688" w:type="dxa"/>
            <w:vAlign w:val="center"/>
          </w:tcPr>
          <w:p w14:paraId="52BA8DCD">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谈判报价</w:t>
            </w:r>
          </w:p>
        </w:tc>
        <w:tc>
          <w:tcPr>
            <w:tcW w:w="4046" w:type="dxa"/>
            <w:vAlign w:val="center"/>
          </w:tcPr>
          <w:p w14:paraId="458ABF1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符合谈判文件供应商须知正文</w:t>
            </w:r>
          </w:p>
          <w:p w14:paraId="17CF66F2">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第9条要求</w:t>
            </w:r>
          </w:p>
        </w:tc>
        <w:tc>
          <w:tcPr>
            <w:tcW w:w="3210" w:type="dxa"/>
            <w:vAlign w:val="center"/>
          </w:tcPr>
          <w:p w14:paraId="7BF7BF3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21C7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86" w:type="dxa"/>
            <w:vAlign w:val="center"/>
          </w:tcPr>
          <w:p w14:paraId="0232AA4E">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688" w:type="dxa"/>
            <w:vAlign w:val="center"/>
          </w:tcPr>
          <w:p w14:paraId="4B5ED20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商务响应情况</w:t>
            </w:r>
          </w:p>
        </w:tc>
        <w:tc>
          <w:tcPr>
            <w:tcW w:w="4046" w:type="dxa"/>
            <w:vAlign w:val="center"/>
          </w:tcPr>
          <w:p w14:paraId="3220132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符合谈判文件采购需求中对付款方式、供货期限、供货地点、免费质保期等实质性要求</w:t>
            </w:r>
          </w:p>
        </w:tc>
        <w:tc>
          <w:tcPr>
            <w:tcW w:w="3210" w:type="dxa"/>
            <w:vAlign w:val="center"/>
          </w:tcPr>
          <w:p w14:paraId="448D3FF4">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464F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46F62DAE">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688" w:type="dxa"/>
            <w:vAlign w:val="center"/>
          </w:tcPr>
          <w:p w14:paraId="0B7EA9B9">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w:t>
            </w:r>
            <w:r>
              <w:rPr>
                <w:rFonts w:hint="eastAsia" w:ascii="宋体" w:hAnsi="宋体" w:eastAsia="宋体" w:cs="宋体"/>
                <w:color w:val="auto"/>
                <w:sz w:val="24"/>
                <w:szCs w:val="24"/>
                <w:highlight w:val="none"/>
                <w:lang w:val="en-US" w:eastAsia="zh-CN"/>
              </w:rPr>
              <w:t>响应情况</w:t>
            </w:r>
          </w:p>
        </w:tc>
        <w:tc>
          <w:tcPr>
            <w:tcW w:w="4046" w:type="dxa"/>
            <w:vAlign w:val="center"/>
          </w:tcPr>
          <w:p w14:paraId="3F62A6AA">
            <w:pPr>
              <w:spacing w:line="360" w:lineRule="auto"/>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符合谈判文件采购需求中货物</w:t>
            </w:r>
          </w:p>
          <w:p w14:paraId="7C278BFD">
            <w:pPr>
              <w:spacing w:line="360" w:lineRule="auto"/>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技术参数</w:t>
            </w:r>
          </w:p>
        </w:tc>
        <w:tc>
          <w:tcPr>
            <w:tcW w:w="3210" w:type="dxa"/>
            <w:vAlign w:val="center"/>
          </w:tcPr>
          <w:p w14:paraId="2086038A">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09E7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205B5301">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688" w:type="dxa"/>
            <w:vAlign w:val="center"/>
          </w:tcPr>
          <w:p w14:paraId="74CF66F6">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其他要求</w:t>
            </w:r>
          </w:p>
        </w:tc>
        <w:tc>
          <w:tcPr>
            <w:tcW w:w="4046" w:type="dxa"/>
            <w:vAlign w:val="center"/>
          </w:tcPr>
          <w:p w14:paraId="66447359">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符合法律、行政法规规定的其他条件或谈判文件列明的其他实质性要求</w:t>
            </w:r>
          </w:p>
        </w:tc>
        <w:tc>
          <w:tcPr>
            <w:tcW w:w="3210" w:type="dxa"/>
            <w:vAlign w:val="center"/>
          </w:tcPr>
          <w:p w14:paraId="5AFB665F">
            <w:pPr>
              <w:spacing w:line="360" w:lineRule="auto"/>
              <w:jc w:val="center"/>
              <w:rPr>
                <w:rFonts w:hint="eastAsia" w:ascii="宋体" w:hAnsi="宋体" w:eastAsia="宋体" w:cs="宋体"/>
                <w:color w:val="auto"/>
                <w:sz w:val="24"/>
                <w:szCs w:val="24"/>
                <w:highlight w:val="none"/>
                <w:lang w:val="en-US" w:eastAsia="zh-CN"/>
              </w:rPr>
            </w:pPr>
          </w:p>
        </w:tc>
      </w:tr>
      <w:tr w14:paraId="4632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9730" w:type="dxa"/>
            <w:gridSpan w:val="4"/>
            <w:vAlign w:val="center"/>
          </w:tcPr>
          <w:p w14:paraId="32BFDD73">
            <w:pPr>
              <w:widowControl/>
              <w:spacing w:line="500" w:lineRule="exact"/>
              <w:jc w:val="left"/>
              <w:rPr>
                <w:rFonts w:hint="eastAsia"/>
                <w:color w:val="auto"/>
                <w:sz w:val="24"/>
                <w:szCs w:val="22"/>
                <w:highlight w:val="none"/>
              </w:rPr>
            </w:pPr>
            <w:r>
              <w:rPr>
                <w:rFonts w:hint="eastAsia"/>
                <w:color w:val="auto"/>
                <w:sz w:val="24"/>
                <w:szCs w:val="22"/>
                <w:highlight w:val="none"/>
                <w:lang w:val="en-US" w:eastAsia="zh-CN"/>
              </w:rPr>
              <w:t>初审指标通过标准：供应商必须通过初审表中的全部评审指标。</w:t>
            </w:r>
          </w:p>
          <w:p w14:paraId="3A6CA51C">
            <w:pPr>
              <w:widowControl/>
              <w:spacing w:line="500" w:lineRule="exact"/>
              <w:jc w:val="left"/>
              <w:rPr>
                <w:rFonts w:hint="eastAsia"/>
                <w:color w:val="auto"/>
                <w:sz w:val="24"/>
                <w:szCs w:val="22"/>
                <w:highlight w:val="none"/>
                <w:lang w:val="en-US" w:eastAsia="zh-CN"/>
              </w:rPr>
            </w:pPr>
            <w:r>
              <w:rPr>
                <w:rFonts w:hint="eastAsia"/>
                <w:color w:val="auto"/>
                <w:sz w:val="24"/>
                <w:szCs w:val="22"/>
                <w:highlight w:val="none"/>
                <w:lang w:val="en-US" w:eastAsia="zh-CN"/>
              </w:rPr>
              <w:t>注：</w:t>
            </w:r>
            <w:r>
              <w:rPr>
                <w:rFonts w:hint="eastAsia" w:asciiTheme="majorEastAsia" w:hAnsiTheme="majorEastAsia" w:eastAsiaTheme="majorEastAsia" w:cstheme="majorEastAsia"/>
                <w:color w:val="auto"/>
                <w:sz w:val="24"/>
                <w:szCs w:val="22"/>
                <w:highlight w:val="none"/>
                <w:lang w:val="en-US" w:eastAsia="zh-CN"/>
              </w:rPr>
              <w:t>1、</w:t>
            </w:r>
            <w:r>
              <w:rPr>
                <w:rFonts w:hint="eastAsia"/>
                <w:color w:val="auto"/>
                <w:sz w:val="24"/>
                <w:szCs w:val="22"/>
                <w:highlight w:val="none"/>
                <w:lang w:val="en-US" w:eastAsia="zh-CN"/>
              </w:rPr>
              <w:t>竞争性谈判文件所有要求提供复印件或影印件或扫描件的，均须加盖响应人公章。</w:t>
            </w:r>
          </w:p>
          <w:p w14:paraId="5C3FE42B">
            <w:pPr>
              <w:widowControl/>
              <w:spacing w:line="500" w:lineRule="exact"/>
              <w:jc w:val="left"/>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cstheme="majorEastAsia"/>
                <w:color w:val="auto"/>
                <w:sz w:val="24"/>
                <w:szCs w:val="22"/>
                <w:highlight w:val="none"/>
                <w:lang w:val="en-US" w:eastAsia="zh-CN"/>
              </w:rPr>
              <w:t>2、</w:t>
            </w:r>
            <w:r>
              <w:rPr>
                <w:rFonts w:hint="eastAsia"/>
                <w:color w:val="auto"/>
                <w:sz w:val="24"/>
                <w:szCs w:val="22"/>
                <w:highlight w:val="none"/>
                <w:lang w:val="en-US" w:eastAsia="zh-CN"/>
              </w:rPr>
              <w:t>响应人应按照谈判文件要求提供证明材料。若响应人提供了谈判文件未要求的证明材料，谈判小组将不予评审。</w:t>
            </w:r>
          </w:p>
        </w:tc>
      </w:tr>
    </w:tbl>
    <w:p w14:paraId="1801C756">
      <w:pPr>
        <w:spacing w:line="360" w:lineRule="auto"/>
        <w:ind w:firstLine="240" w:firstLineChars="100"/>
        <w:rPr>
          <w:rFonts w:hint="eastAsia" w:ascii="宋体" w:hAnsi="宋体" w:eastAsia="宋体" w:cs="Times New Roman"/>
          <w:color w:val="auto"/>
          <w:sz w:val="24"/>
          <w:highlight w:val="none"/>
          <w:lang w:val="en-US" w:eastAsia="zh-CN"/>
        </w:rPr>
      </w:pPr>
      <w:bookmarkStart w:id="53" w:name="_Toc431"/>
      <w:bookmarkStart w:id="54" w:name="_Toc28300"/>
      <w:bookmarkStart w:id="55" w:name="_Toc3977"/>
      <w:bookmarkStart w:id="56" w:name="_Toc27586"/>
      <w:bookmarkStart w:id="57" w:name="_Toc7241"/>
      <w:r>
        <w:rPr>
          <w:rFonts w:hint="eastAsia" w:ascii="宋体" w:hAnsi="宋体" w:eastAsia="宋体" w:cs="Times New Roman"/>
          <w:color w:val="auto"/>
          <w:sz w:val="24"/>
          <w:highlight w:val="none"/>
          <w:lang w:val="en-US" w:eastAsia="zh-CN"/>
        </w:rPr>
        <w:t>2.2异常低价响应审查</w:t>
      </w:r>
    </w:p>
    <w:tbl>
      <w:tblPr>
        <w:tblStyle w:val="40"/>
        <w:tblW w:w="56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260"/>
        <w:gridCol w:w="5380"/>
        <w:gridCol w:w="2260"/>
      </w:tblGrid>
      <w:tr w14:paraId="64ED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9659" w:type="dxa"/>
            <w:gridSpan w:val="4"/>
            <w:tcBorders>
              <w:bottom w:val="single" w:color="auto" w:sz="4" w:space="0"/>
            </w:tcBorders>
            <w:vAlign w:val="center"/>
          </w:tcPr>
          <w:p w14:paraId="0A55AF2A">
            <w:pPr>
              <w:spacing w:line="360" w:lineRule="auto"/>
              <w:jc w:val="center"/>
              <w:rPr>
                <w:rFonts w:ascii="宋体" w:hAnsi="宋体" w:eastAsia="宋体"/>
                <w:sz w:val="24"/>
                <w:highlight w:val="none"/>
              </w:rPr>
            </w:pPr>
            <w:r>
              <w:rPr>
                <w:rFonts w:hint="eastAsia" w:ascii="宋体" w:hAnsi="宋体" w:eastAsia="宋体" w:cs="宋体"/>
                <w:b/>
                <w:bCs/>
                <w:color w:val="auto"/>
                <w:sz w:val="24"/>
                <w:szCs w:val="24"/>
                <w:highlight w:val="none"/>
                <w:lang w:val="en-US" w:eastAsia="zh-CN"/>
              </w:rPr>
              <w:t>异常低价响应审查表</w:t>
            </w:r>
          </w:p>
        </w:tc>
      </w:tr>
      <w:tr w14:paraId="5725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bottom w:val="single" w:color="auto" w:sz="4" w:space="0"/>
            </w:tcBorders>
            <w:vAlign w:val="center"/>
          </w:tcPr>
          <w:p w14:paraId="24C66339">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1260" w:type="dxa"/>
            <w:tcBorders>
              <w:bottom w:val="single" w:color="auto" w:sz="4" w:space="0"/>
            </w:tcBorders>
            <w:vAlign w:val="center"/>
          </w:tcPr>
          <w:p w14:paraId="242D7536">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评审指标</w:t>
            </w:r>
          </w:p>
        </w:tc>
        <w:tc>
          <w:tcPr>
            <w:tcW w:w="5380" w:type="dxa"/>
            <w:tcBorders>
              <w:bottom w:val="single" w:color="auto" w:sz="4" w:space="0"/>
            </w:tcBorders>
            <w:vAlign w:val="center"/>
          </w:tcPr>
          <w:p w14:paraId="63EC831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评审标准</w:t>
            </w:r>
          </w:p>
        </w:tc>
        <w:tc>
          <w:tcPr>
            <w:tcW w:w="2260" w:type="dxa"/>
            <w:tcBorders>
              <w:bottom w:val="single" w:color="auto" w:sz="4" w:space="0"/>
            </w:tcBorders>
            <w:vAlign w:val="center"/>
          </w:tcPr>
          <w:p w14:paraId="39E809DA">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格式及材料要求</w:t>
            </w:r>
          </w:p>
        </w:tc>
      </w:tr>
      <w:tr w14:paraId="63D0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759" w:type="dxa"/>
            <w:tcBorders>
              <w:bottom w:val="single" w:color="auto" w:sz="4" w:space="0"/>
            </w:tcBorders>
            <w:vAlign w:val="center"/>
          </w:tcPr>
          <w:p w14:paraId="53262601">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260" w:type="dxa"/>
            <w:tcBorders>
              <w:bottom w:val="single" w:color="auto" w:sz="4" w:space="0"/>
            </w:tcBorders>
            <w:vAlign w:val="center"/>
          </w:tcPr>
          <w:p w14:paraId="4828CEF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异常低价响应审查</w:t>
            </w:r>
          </w:p>
        </w:tc>
        <w:tc>
          <w:tcPr>
            <w:tcW w:w="5380" w:type="dxa"/>
            <w:tcBorders>
              <w:bottom w:val="single" w:color="auto" w:sz="4" w:space="0"/>
            </w:tcBorders>
            <w:vAlign w:val="center"/>
          </w:tcPr>
          <w:p w14:paraId="14855D12">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（1）报价＜全部通过初审供应商响应报价平均值×50%；</w:t>
            </w:r>
          </w:p>
          <w:p w14:paraId="12D6E1A2">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（2）报价＜通过初审的次低报价供应商响应报价×50%；</w:t>
            </w:r>
          </w:p>
          <w:p w14:paraId="595C90C5">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（3）报价＜采购项目最高限价（如采购项目未设定最高限价的，以采购项目预算金额作为最高限价）×45%；</w:t>
            </w:r>
          </w:p>
          <w:p w14:paraId="6545F9B4">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（4）谈判小组基于专业判断，认为供应商报价过低，有可能影响产品质量或者不能诚信履约的其他情形。</w:t>
            </w:r>
          </w:p>
          <w:p w14:paraId="14FCFEF9">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提醒：</w:t>
            </w:r>
          </w:p>
          <w:p w14:paraId="0BE4D07D">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（1）上述第（1）项数值计算：涉及总价、单价的精确到“分”并四舍五入，涉及费率的精确到小数点后两位，第三位四舍五入（例：如平均值为123.456元，即为123.46元；如平均值为80.126%，即为80.13%）。</w:t>
            </w:r>
          </w:p>
          <w:p w14:paraId="407B687B">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（2）上述报价均为供应商最后报价。</w:t>
            </w:r>
          </w:p>
        </w:tc>
        <w:tc>
          <w:tcPr>
            <w:tcW w:w="2260" w:type="dxa"/>
            <w:vAlign w:val="center"/>
          </w:tcPr>
          <w:p w14:paraId="4F4E35CC">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供应商在评审现场合理的时间内对价格作出解释，提供项目具体成本测算等与报价合理性相关的书面说明及必要的证明材料，包括但不限于原材料成本、人工成本、制造费用等。</w:t>
            </w:r>
          </w:p>
        </w:tc>
      </w:tr>
    </w:tbl>
    <w:p w14:paraId="3D504B49">
      <w:pPr>
        <w:spacing w:before="108" w:beforeLines="34" w:beforeAutospacing="0" w:line="360" w:lineRule="auto"/>
        <w:rPr>
          <w:rFonts w:hint="eastAsia" w:ascii="宋体" w:hAnsi="宋体" w:eastAsia="宋体"/>
          <w:sz w:val="24"/>
          <w:highlight w:val="none"/>
          <w:lang w:val="en-US" w:eastAsia="zh-CN"/>
        </w:rPr>
      </w:pPr>
      <w:r>
        <w:rPr>
          <w:rFonts w:hint="eastAsia" w:ascii="宋体" w:hAnsi="宋体" w:eastAsia="宋体" w:cs="Times New Roman"/>
          <w:sz w:val="24"/>
          <w:highlight w:val="none"/>
          <w:lang w:val="en-US" w:eastAsia="zh-CN"/>
        </w:rPr>
        <w:t>注：</w:t>
      </w:r>
      <w:r>
        <w:rPr>
          <w:rFonts w:hint="eastAsia" w:ascii="宋体" w:hAnsi="宋体" w:eastAsia="宋体"/>
          <w:sz w:val="24"/>
          <w:highlight w:val="none"/>
        </w:rPr>
        <w:t>根据《关于推</w:t>
      </w:r>
      <w:r>
        <w:rPr>
          <w:rFonts w:hint="eastAsia" w:ascii="宋体" w:hAnsi="宋体" w:eastAsia="宋体"/>
          <w:sz w:val="24"/>
          <w:highlight w:val="none"/>
          <w:lang w:val="en-US" w:eastAsia="zh-CN"/>
        </w:rPr>
        <w:t>动</w:t>
      </w:r>
      <w:r>
        <w:rPr>
          <w:rFonts w:hint="eastAsia" w:ascii="宋体" w:hAnsi="宋体" w:eastAsia="宋体"/>
          <w:sz w:val="24"/>
          <w:highlight w:val="none"/>
        </w:rPr>
        <w:t>解决政府采购异常低价问题的通知》（财库〔2026〕2号），</w:t>
      </w:r>
      <w:r>
        <w:rPr>
          <w:rFonts w:hint="eastAsia" w:ascii="宋体" w:hAnsi="宋体" w:eastAsia="宋体"/>
          <w:sz w:val="24"/>
          <w:highlight w:val="none"/>
          <w:lang w:val="en-US" w:eastAsia="zh-CN"/>
        </w:rPr>
        <w:t>采购人可以结合具体项目实际情况，提高上述</w:t>
      </w:r>
      <w:r>
        <w:rPr>
          <w:rFonts w:hint="eastAsia" w:ascii="宋体" w:hAnsi="宋体" w:eastAsia="宋体" w:cs="Times New Roman"/>
          <w:sz w:val="24"/>
          <w:highlight w:val="none"/>
          <w:lang w:val="en-US" w:eastAsia="zh-CN"/>
        </w:rPr>
        <w:t>评审标准</w:t>
      </w:r>
      <w:r>
        <w:rPr>
          <w:rFonts w:hint="eastAsia" w:ascii="宋体" w:hAnsi="宋体" w:eastAsia="宋体"/>
          <w:sz w:val="24"/>
          <w:highlight w:val="none"/>
          <w:lang w:val="en-US" w:eastAsia="zh-CN"/>
        </w:rPr>
        <w:t>第（1）项至第（3）项中的数值标准，但是最高不得超过65%。</w:t>
      </w:r>
    </w:p>
    <w:p w14:paraId="153DDD6B">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highlight w:val="none"/>
        </w:rPr>
      </w:pPr>
      <w:r>
        <w:rPr>
          <w:rFonts w:hint="eastAsia" w:ascii="宋体" w:hAnsi="宋体" w:eastAsia="宋体"/>
          <w:sz w:val="24"/>
          <w:highlight w:val="none"/>
          <w:lang w:val="en-US" w:eastAsia="zh-CN"/>
        </w:rPr>
        <w:t>谈判</w:t>
      </w:r>
      <w:r>
        <w:rPr>
          <w:rFonts w:hint="eastAsia" w:ascii="宋体" w:hAnsi="宋体" w:eastAsia="宋体"/>
          <w:sz w:val="24"/>
          <w:highlight w:val="none"/>
        </w:rPr>
        <w:t>小组启动异常低价响应审查后，属于评审标准中第（1）项至第（4）项情形的，应当要求相关供应商在评审现场合理的时间内（不少于30分钟）对响应价格作出解释，提供项目具体成本测算等与报价合理性相关的书面说明及必要的证明材料，包括但不限于原材料成本、人工成本、制造费用等。其中，属于第</w:t>
      </w:r>
      <w:r>
        <w:rPr>
          <w:rFonts w:hint="eastAsia" w:ascii="宋体" w:hAnsi="宋体" w:eastAsia="宋体"/>
          <w:sz w:val="24"/>
          <w:highlight w:val="none"/>
          <w:lang w:eastAsia="zh-CN"/>
        </w:rPr>
        <w:t>（</w:t>
      </w:r>
      <w:r>
        <w:rPr>
          <w:rFonts w:hint="eastAsia" w:ascii="宋体" w:hAnsi="宋体" w:eastAsia="宋体"/>
          <w:sz w:val="24"/>
          <w:highlight w:val="none"/>
          <w:lang w:val="en-US" w:eastAsia="zh-CN"/>
        </w:rPr>
        <w:t>3</w:t>
      </w:r>
      <w:r>
        <w:rPr>
          <w:rFonts w:hint="eastAsia" w:ascii="宋体" w:hAnsi="宋体" w:eastAsia="宋体"/>
          <w:sz w:val="24"/>
          <w:highlight w:val="none"/>
          <w:lang w:eastAsia="zh-CN"/>
        </w:rPr>
        <w:t>）</w:t>
      </w:r>
      <w:r>
        <w:rPr>
          <w:rFonts w:hint="eastAsia" w:ascii="宋体" w:hAnsi="宋体" w:eastAsia="宋体"/>
          <w:sz w:val="24"/>
          <w:highlight w:val="none"/>
        </w:rPr>
        <w:t>项情形，供应商已随响应文件一并提交相关书面说明及必要的证明材料的，在评审现场可不再重复提交。</w:t>
      </w:r>
    </w:p>
    <w:p w14:paraId="295519EC">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highlight w:val="none"/>
        </w:rPr>
      </w:pPr>
      <w:r>
        <w:rPr>
          <w:rFonts w:hint="eastAsia" w:ascii="宋体" w:hAnsi="宋体" w:eastAsia="宋体"/>
          <w:sz w:val="24"/>
          <w:highlight w:val="none"/>
          <w:lang w:val="en-US" w:eastAsia="zh-CN"/>
        </w:rPr>
        <w:t>谈判</w:t>
      </w:r>
      <w:r>
        <w:rPr>
          <w:rFonts w:hint="eastAsia" w:ascii="宋体" w:hAnsi="宋体" w:eastAsia="宋体"/>
          <w:sz w:val="24"/>
          <w:highlight w:val="none"/>
        </w:rPr>
        <w:t>小组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w:t>
      </w:r>
      <w:r>
        <w:rPr>
          <w:rFonts w:hint="eastAsia" w:ascii="宋体" w:hAnsi="宋体" w:eastAsia="宋体"/>
          <w:sz w:val="24"/>
          <w:highlight w:val="none"/>
          <w:lang w:val="en-US" w:eastAsia="zh-CN"/>
        </w:rPr>
        <w:t>谈判</w:t>
      </w:r>
      <w:r>
        <w:rPr>
          <w:rFonts w:hint="eastAsia" w:ascii="宋体" w:hAnsi="宋体" w:eastAsia="宋体"/>
          <w:sz w:val="24"/>
          <w:highlight w:val="none"/>
        </w:rPr>
        <w:t xml:space="preserve">小组应当将其作为无效响应处理。 </w:t>
      </w:r>
    </w:p>
    <w:p w14:paraId="297EF2A5">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Arial"/>
          <w:kern w:val="2"/>
          <w:sz w:val="24"/>
          <w:highlight w:val="none"/>
          <w:lang w:val="en-US" w:eastAsia="zh-CN" w:bidi="ar-SA"/>
        </w:rPr>
        <w:t>谈判小组借助互联网等渠道查询相关信息的，应当严格遵守评审工作纪律，不得实施影响评审公正的行为。异常低价响应审查的启动原因、审查意见和审查结果应当在评审报告中记录，并随供应商提供的相关书面说明及证明材料，以及谈判小组有关互联网浏览、查询历史一并归档</w:t>
      </w:r>
      <w:r>
        <w:rPr>
          <w:rFonts w:hint="eastAsia" w:asciiTheme="minorEastAsia" w:hAnsiTheme="minorEastAsia" w:eastAsiaTheme="minorEastAsia"/>
          <w:color w:val="auto"/>
          <w:sz w:val="24"/>
          <w:highlight w:val="none"/>
        </w:rPr>
        <w:t>。</w:t>
      </w:r>
      <w:bookmarkEnd w:id="53"/>
      <w:bookmarkEnd w:id="54"/>
      <w:bookmarkEnd w:id="55"/>
      <w:bookmarkEnd w:id="56"/>
      <w:bookmarkEnd w:id="57"/>
    </w:p>
    <w:p w14:paraId="188F675A">
      <w:pPr>
        <w:rPr>
          <w:rFonts w:hint="eastAsia"/>
          <w:lang w:val="en-US" w:eastAsia="zh-CN"/>
        </w:rPr>
      </w:pPr>
    </w:p>
    <w:p w14:paraId="467D7D72">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en-US" w:eastAsia="zh-CN"/>
        </w:rPr>
      </w:pPr>
      <w:r>
        <w:rPr>
          <w:rFonts w:hint="eastAsia" w:ascii="宋体" w:hAnsi="宋体" w:eastAsia="宋体" w:cs="宋体"/>
          <w:b/>
          <w:bCs/>
          <w:color w:val="auto"/>
          <w:kern w:val="2"/>
          <w:sz w:val="36"/>
          <w:szCs w:val="36"/>
          <w:highlight w:val="none"/>
          <w:lang w:val="en-US" w:eastAsia="zh-CN"/>
        </w:rPr>
        <w:t>第五章  政府采购合同主要条款</w:t>
      </w:r>
    </w:p>
    <w:p w14:paraId="1C818252">
      <w:pPr>
        <w:pStyle w:val="2"/>
        <w:pageBreakBefore w:val="0"/>
        <w:kinsoku/>
        <w:wordWrap/>
        <w:overflowPunct/>
        <w:topLinePunct w:val="0"/>
        <w:bidi w:val="0"/>
        <w:spacing w:after="0" w:line="360" w:lineRule="auto"/>
        <w:jc w:val="center"/>
        <w:textAlignment w:val="auto"/>
        <w:rPr>
          <w:rFonts w:hint="eastAsia" w:ascii="宋体" w:hAnsi="宋体" w:eastAsia="宋体" w:cs="宋体"/>
          <w:b/>
          <w:bCs/>
          <w:spacing w:val="-20"/>
          <w:kern w:val="44"/>
          <w:sz w:val="24"/>
          <w:szCs w:val="24"/>
          <w:highlight w:val="none"/>
        </w:rPr>
      </w:pPr>
      <w:bookmarkStart w:id="58" w:name="_Toc8981"/>
      <w:bookmarkStart w:id="59" w:name="_Toc54941341"/>
      <w:bookmarkStart w:id="60" w:name="_Toc439316880"/>
      <w:bookmarkStart w:id="61" w:name="_Toc1812"/>
    </w:p>
    <w:p w14:paraId="1D8E6547">
      <w:pPr>
        <w:pStyle w:val="2"/>
        <w:pageBreakBefore w:val="0"/>
        <w:kinsoku/>
        <w:wordWrap/>
        <w:overflowPunct/>
        <w:topLinePunct w:val="0"/>
        <w:bidi w:val="0"/>
        <w:spacing w:after="0" w:line="360" w:lineRule="auto"/>
        <w:jc w:val="center"/>
        <w:textAlignment w:val="auto"/>
        <w:rPr>
          <w:rFonts w:hint="eastAsia" w:ascii="宋体" w:hAnsi="宋体" w:eastAsia="宋体" w:cs="宋体"/>
          <w:b/>
          <w:bCs/>
          <w:spacing w:val="-20"/>
          <w:kern w:val="44"/>
          <w:sz w:val="24"/>
          <w:szCs w:val="24"/>
          <w:highlight w:val="none"/>
        </w:rPr>
      </w:pPr>
    </w:p>
    <w:p w14:paraId="1B631675">
      <w:pPr>
        <w:pStyle w:val="2"/>
        <w:pageBreakBefore w:val="0"/>
        <w:kinsoku/>
        <w:wordWrap/>
        <w:overflowPunct/>
        <w:topLinePunct w:val="0"/>
        <w:bidi w:val="0"/>
        <w:spacing w:after="0" w:line="360" w:lineRule="auto"/>
        <w:jc w:val="center"/>
        <w:textAlignment w:val="auto"/>
        <w:rPr>
          <w:rFonts w:hint="eastAsia" w:ascii="宋体" w:hAnsi="宋体" w:eastAsia="宋体" w:cs="宋体"/>
          <w:b/>
          <w:bCs/>
          <w:spacing w:val="-20"/>
          <w:kern w:val="44"/>
          <w:sz w:val="24"/>
          <w:szCs w:val="24"/>
          <w:highlight w:val="none"/>
        </w:rPr>
      </w:pPr>
    </w:p>
    <w:p w14:paraId="11D7745B">
      <w:pPr>
        <w:pageBreakBefore w:val="0"/>
        <w:kinsoku/>
        <w:wordWrap/>
        <w:overflowPunct/>
        <w:topLinePunct w:val="0"/>
        <w:bidi w:val="0"/>
        <w:spacing w:line="360" w:lineRule="auto"/>
        <w:textAlignment w:val="auto"/>
        <w:rPr>
          <w:rFonts w:hint="eastAsia" w:ascii="宋体" w:hAnsi="宋体" w:eastAsia="宋体" w:cs="宋体"/>
          <w:b/>
          <w:bCs/>
          <w:spacing w:val="-20"/>
          <w:kern w:val="44"/>
          <w:sz w:val="24"/>
          <w:szCs w:val="24"/>
          <w:highlight w:val="none"/>
        </w:rPr>
      </w:pPr>
    </w:p>
    <w:p w14:paraId="2FCCE9B0">
      <w:pPr>
        <w:pStyle w:val="2"/>
        <w:rPr>
          <w:rFonts w:hint="eastAsia" w:ascii="宋体" w:hAnsi="宋体" w:eastAsia="宋体" w:cs="宋体"/>
          <w:b/>
          <w:bCs/>
          <w:spacing w:val="-20"/>
          <w:kern w:val="44"/>
          <w:sz w:val="24"/>
          <w:szCs w:val="24"/>
          <w:highlight w:val="none"/>
        </w:rPr>
      </w:pPr>
    </w:p>
    <w:p w14:paraId="2B08A30A">
      <w:pPr>
        <w:pStyle w:val="2"/>
        <w:rPr>
          <w:rFonts w:hint="eastAsia" w:ascii="宋体" w:hAnsi="宋体" w:eastAsia="宋体" w:cs="宋体"/>
          <w:b/>
          <w:bCs/>
          <w:spacing w:val="-20"/>
          <w:kern w:val="44"/>
          <w:sz w:val="24"/>
          <w:szCs w:val="24"/>
          <w:highlight w:val="none"/>
        </w:rPr>
      </w:pPr>
    </w:p>
    <w:p w14:paraId="2A5ABA68">
      <w:pPr>
        <w:pageBreakBefore w:val="0"/>
        <w:kinsoku/>
        <w:wordWrap/>
        <w:overflowPunct/>
        <w:topLinePunct w:val="0"/>
        <w:bidi w:val="0"/>
        <w:spacing w:line="360" w:lineRule="auto"/>
        <w:textAlignment w:val="auto"/>
        <w:rPr>
          <w:rFonts w:hint="eastAsia" w:ascii="宋体" w:hAnsi="宋体" w:eastAsia="宋体" w:cs="宋体"/>
          <w:b/>
          <w:bCs/>
          <w:spacing w:val="-20"/>
          <w:kern w:val="44"/>
          <w:sz w:val="24"/>
          <w:szCs w:val="24"/>
          <w:highlight w:val="none"/>
        </w:rPr>
      </w:pPr>
    </w:p>
    <w:p w14:paraId="33044915">
      <w:pPr>
        <w:pageBreakBefore w:val="0"/>
        <w:kinsoku/>
        <w:wordWrap/>
        <w:overflowPunct/>
        <w:topLinePunct w:val="0"/>
        <w:bidi w:val="0"/>
        <w:spacing w:line="360" w:lineRule="auto"/>
        <w:ind w:left="420" w:leftChars="200" w:firstLine="1680" w:firstLineChars="700"/>
        <w:textAlignment w:val="auto"/>
        <w:rPr>
          <w:rFonts w:hint="eastAsia" w:cs="Times New Roman" w:asciiTheme="minorEastAsia" w:hAnsiTheme="minorEastAsia" w:eastAsiaTheme="minorEastAsia"/>
          <w:i/>
          <w:iCs/>
          <w:color w:val="000000" w:themeColor="text1"/>
          <w:sz w:val="24"/>
          <w:szCs w:val="24"/>
          <w:highlight w:val="none"/>
          <w14:textFill>
            <w14:solidFill>
              <w14:schemeClr w14:val="tx1"/>
            </w14:solidFill>
          </w14:textFill>
        </w:rPr>
      </w:pPr>
      <w:r>
        <w:rPr>
          <w:rFonts w:hint="eastAsia" w:ascii="宋体" w:hAnsi="宋体" w:eastAsia="宋体" w:cs="宋体"/>
          <w:kern w:val="0"/>
          <w:sz w:val="24"/>
          <w:szCs w:val="24"/>
          <w:highlight w:val="none"/>
        </w:rPr>
        <w:t>项目名称：</w:t>
      </w:r>
      <w:r>
        <w:rPr>
          <w:rFonts w:hint="eastAsia" w:ascii="宋体" w:hAnsi="宋体" w:eastAsia="宋体" w:cs="宋体"/>
          <w:sz w:val="24"/>
          <w:szCs w:val="24"/>
          <w:highlight w:val="none"/>
          <w:u w:val="single"/>
        </w:rPr>
        <w:t xml:space="preserve">                             </w:t>
      </w:r>
    </w:p>
    <w:p w14:paraId="67058B72">
      <w:pPr>
        <w:pageBreakBefore w:val="0"/>
        <w:kinsoku/>
        <w:wordWrap/>
        <w:overflowPunct/>
        <w:topLinePunct w:val="0"/>
        <w:bidi w:val="0"/>
        <w:spacing w:line="360" w:lineRule="auto"/>
        <w:ind w:left="420" w:leftChars="200"/>
        <w:textAlignment w:val="auto"/>
        <w:rPr>
          <w:rFonts w:hint="eastAsia" w:ascii="宋体" w:hAnsi="宋体" w:eastAsia="宋体" w:cs="宋体"/>
          <w:sz w:val="24"/>
          <w:szCs w:val="24"/>
          <w:highlight w:val="none"/>
        </w:rPr>
      </w:pPr>
    </w:p>
    <w:p w14:paraId="4922425E">
      <w:pPr>
        <w:pageBreakBefore w:val="0"/>
        <w:kinsoku/>
        <w:wordWrap/>
        <w:overflowPunct/>
        <w:topLinePunct w:val="0"/>
        <w:bidi w:val="0"/>
        <w:spacing w:line="360" w:lineRule="auto"/>
        <w:ind w:left="420" w:leftChars="200" w:firstLine="1680" w:firstLineChars="700"/>
        <w:textAlignment w:val="auto"/>
        <w:rPr>
          <w:rFonts w:hint="eastAsia"/>
          <w:highlight w:val="none"/>
        </w:rPr>
      </w:pP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359F5713">
      <w:pPr>
        <w:pageBreakBefore w:val="0"/>
        <w:kinsoku/>
        <w:wordWrap/>
        <w:overflowPunct/>
        <w:topLinePunct w:val="0"/>
        <w:bidi w:val="0"/>
        <w:spacing w:line="360" w:lineRule="auto"/>
        <w:textAlignment w:val="auto"/>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p>
    <w:p w14:paraId="574FBDF7">
      <w:pPr>
        <w:pageBreakBefore w:val="0"/>
        <w:kinsoku/>
        <w:wordWrap/>
        <w:overflowPunct/>
        <w:topLinePunct w:val="0"/>
        <w:bidi w:val="0"/>
        <w:spacing w:line="360" w:lineRule="auto"/>
        <w:ind w:left="420" w:leftChars="200" w:firstLine="1680" w:firstLineChars="700"/>
        <w:textAlignment w:val="auto"/>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p>
    <w:p w14:paraId="49FE18B3">
      <w:pPr>
        <w:pageBreakBefore w:val="0"/>
        <w:kinsoku/>
        <w:wordWrap/>
        <w:overflowPunct/>
        <w:topLinePunct w:val="0"/>
        <w:bidi w:val="0"/>
        <w:spacing w:line="360" w:lineRule="auto"/>
        <w:ind w:left="420" w:leftChars="200" w:firstLine="1680" w:firstLineChars="700"/>
        <w:textAlignment w:val="auto"/>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p>
    <w:p w14:paraId="50DA0133">
      <w:pPr>
        <w:pageBreakBefore w:val="0"/>
        <w:kinsoku/>
        <w:wordWrap/>
        <w:overflowPunct/>
        <w:topLinePunct w:val="0"/>
        <w:bidi w:val="0"/>
        <w:spacing w:line="360" w:lineRule="auto"/>
        <w:ind w:left="420" w:leftChars="200" w:firstLine="1680" w:firstLineChars="700"/>
        <w:textAlignment w:val="auto"/>
        <w:rPr>
          <w:rFonts w:hint="eastAsia" w:ascii="宋体" w:hAnsi="宋体" w:eastAsia="宋体" w:cs="宋体"/>
          <w:sz w:val="24"/>
          <w:szCs w:val="24"/>
          <w:highlight w:val="non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甲方（采购人）</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p>
    <w:p w14:paraId="5DDDF5B1">
      <w:pPr>
        <w:pageBreakBefore w:val="0"/>
        <w:kinsoku/>
        <w:wordWrap/>
        <w:overflowPunct/>
        <w:topLinePunct w:val="0"/>
        <w:bidi w:val="0"/>
        <w:spacing w:line="360" w:lineRule="auto"/>
        <w:ind w:left="420" w:leftChars="200"/>
        <w:textAlignment w:val="auto"/>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p>
    <w:p w14:paraId="32534CF7">
      <w:pPr>
        <w:pageBreakBefore w:val="0"/>
        <w:kinsoku/>
        <w:wordWrap/>
        <w:overflowPunct/>
        <w:topLinePunct w:val="0"/>
        <w:bidi w:val="0"/>
        <w:spacing w:line="360" w:lineRule="auto"/>
        <w:ind w:left="420" w:leftChars="200" w:firstLine="1680" w:firstLineChars="700"/>
        <w:textAlignment w:val="auto"/>
        <w:rPr>
          <w:rFonts w:hint="eastAsia" w:ascii="宋体" w:hAnsi="宋体" w:eastAsia="宋体" w:cs="宋体"/>
          <w:sz w:val="24"/>
          <w:szCs w:val="24"/>
          <w:highlight w:val="none"/>
          <w:u w:val="singl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乙方（</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成交供应商</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p>
    <w:p w14:paraId="145BDCFA">
      <w:pPr>
        <w:pageBreakBefore w:val="0"/>
        <w:kinsoku/>
        <w:wordWrap/>
        <w:overflowPunct/>
        <w:topLinePunct w:val="0"/>
        <w:bidi w:val="0"/>
        <w:spacing w:line="360" w:lineRule="auto"/>
        <w:ind w:left="420" w:leftChars="200"/>
        <w:textAlignment w:val="auto"/>
        <w:rPr>
          <w:rFonts w:hint="eastAsia" w:ascii="宋体" w:hAnsi="宋体" w:eastAsia="宋体" w:cs="宋体"/>
          <w:sz w:val="24"/>
          <w:szCs w:val="24"/>
          <w:highlight w:val="none"/>
        </w:rPr>
      </w:pPr>
    </w:p>
    <w:p w14:paraId="6A0B34CB">
      <w:pPr>
        <w:pageBreakBefore w:val="0"/>
        <w:kinsoku/>
        <w:wordWrap/>
        <w:overflowPunct/>
        <w:topLinePunct w:val="0"/>
        <w:bidi w:val="0"/>
        <w:spacing w:line="360" w:lineRule="auto"/>
        <w:ind w:left="420" w:leftChars="200" w:firstLine="1680" w:firstLineChars="700"/>
        <w:textAlignment w:val="auto"/>
        <w:rPr>
          <w:rFonts w:hint="eastAsia" w:ascii="宋体" w:hAnsi="宋体" w:eastAsia="宋体" w:cs="宋体"/>
          <w:sz w:val="24"/>
          <w:szCs w:val="24"/>
          <w:highlight w:val="none"/>
        </w:rPr>
      </w:pPr>
    </w:p>
    <w:p w14:paraId="08B3F7FC">
      <w:pPr>
        <w:pageBreakBefore w:val="0"/>
        <w:kinsoku/>
        <w:wordWrap/>
        <w:overflowPunct/>
        <w:topLinePunct w:val="0"/>
        <w:bidi w:val="0"/>
        <w:spacing w:line="360" w:lineRule="auto"/>
        <w:ind w:left="420" w:leftChars="200" w:firstLine="1680" w:firstLineChars="700"/>
        <w:textAlignment w:val="auto"/>
        <w:rPr>
          <w:rFonts w:hint="eastAsia" w:ascii="宋体" w:hAnsi="宋体" w:eastAsia="宋体" w:cs="宋体"/>
          <w:sz w:val="24"/>
          <w:szCs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sz w:val="24"/>
          <w:szCs w:val="24"/>
          <w:highlight w:val="none"/>
        </w:rPr>
        <w:t>签订时间：</w:t>
      </w:r>
      <w:r>
        <w:rPr>
          <w:rFonts w:hint="eastAsia" w:ascii="宋体" w:hAnsi="宋体" w:eastAsia="宋体" w:cs="宋体"/>
          <w:sz w:val="24"/>
          <w:szCs w:val="24"/>
          <w:highlight w:val="none"/>
          <w:u w:val="single"/>
        </w:rPr>
        <w:t xml:space="preserve">                             </w:t>
      </w:r>
    </w:p>
    <w:p w14:paraId="5943E57E">
      <w:pPr>
        <w:pageBreakBefore w:val="0"/>
        <w:kinsoku/>
        <w:wordWrap/>
        <w:overflowPunct/>
        <w:topLinePunct w:val="0"/>
        <w:bidi w:val="0"/>
        <w:spacing w:line="360" w:lineRule="auto"/>
        <w:jc w:val="center"/>
        <w:textAlignment w:val="auto"/>
        <w:outlineLvl w:val="1"/>
        <w:rPr>
          <w:rFonts w:hint="eastAsia" w:cs="@仿宋_GB2312" w:asciiTheme="minorEastAsia" w:hAnsiTheme="minorEastAsia" w:eastAsiaTheme="minorEastAsia"/>
          <w:b/>
          <w:color w:val="000000" w:themeColor="text1"/>
          <w:sz w:val="24"/>
          <w:szCs w:val="20"/>
          <w:highlight w:val="none"/>
          <w14:textFill>
            <w14:solidFill>
              <w14:schemeClr w14:val="tx1"/>
            </w14:solidFill>
          </w14:textFill>
        </w:rPr>
      </w:pPr>
      <w:bookmarkStart w:id="62" w:name="_Toc22209"/>
      <w:r>
        <w:rPr>
          <w:rFonts w:hint="eastAsia" w:cs="@仿宋_GB2312" w:asciiTheme="minorEastAsia" w:hAnsiTheme="minorEastAsia" w:eastAsiaTheme="minorEastAsia"/>
          <w:b/>
          <w:color w:val="000000" w:themeColor="text1"/>
          <w:sz w:val="24"/>
          <w:szCs w:val="20"/>
          <w:highlight w:val="none"/>
          <w14:textFill>
            <w14:solidFill>
              <w14:schemeClr w14:val="tx1"/>
            </w14:solidFill>
          </w14:textFill>
        </w:rPr>
        <w:t>合同协议书</w:t>
      </w:r>
      <w:bookmarkEnd w:id="62"/>
    </w:p>
    <w:p w14:paraId="1F09430A">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4"/>
          <w:szCs w:val="24"/>
          <w:highlight w:val="none"/>
        </w:rPr>
      </w:pPr>
    </w:p>
    <w:p w14:paraId="616D2FBA">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甲方（全称）：</w:t>
      </w:r>
      <w:r>
        <w:rPr>
          <w:rFonts w:hint="eastAsia" w:ascii="宋体" w:hAnsi="宋体" w:eastAsia="宋体" w:cs="宋体"/>
          <w:sz w:val="24"/>
          <w:szCs w:val="24"/>
          <w:highlight w:val="none"/>
          <w:u w:val="single"/>
        </w:rPr>
        <w:t xml:space="preserve">                        </w:t>
      </w:r>
    </w:p>
    <w:p w14:paraId="54A675C4">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乙方（全称）：</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p>
    <w:p w14:paraId="3C0B2C16">
      <w:pPr>
        <w:pageBreakBefore w:val="0"/>
        <w:kinsoku/>
        <w:wordWrap/>
        <w:overflowPunct/>
        <w:topLinePunct w:val="0"/>
        <w:bidi w:val="0"/>
        <w:spacing w:beforeLines="0" w:line="360" w:lineRule="auto"/>
        <w:textAlignment w:val="auto"/>
        <w:rPr>
          <w:rFonts w:hint="eastAsia" w:ascii="宋体" w:hAnsi="宋体" w:eastAsia="宋体" w:cs="宋体"/>
          <w:sz w:val="24"/>
          <w:szCs w:val="24"/>
          <w:highlight w:val="none"/>
          <w:lang w:val="en-US" w:eastAsia="zh-CN"/>
        </w:rPr>
      </w:pPr>
    </w:p>
    <w:p w14:paraId="1A5F71D1">
      <w:pPr>
        <w:pStyle w:val="16"/>
        <w:pageBreakBefore w:val="0"/>
        <w:kinsoku/>
        <w:wordWrap/>
        <w:overflowPunct/>
        <w:topLinePunct w:val="0"/>
        <w:bidi w:val="0"/>
        <w:adjustRightInd w:val="0"/>
        <w:snapToGrid w:val="0"/>
        <w:spacing w:before="0" w:beforeLines="0" w:after="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依据《中华人民共和国民法典》</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《中华人民共和国政府采购法》等有关的法律法规，以及</w:t>
      </w:r>
      <w:r>
        <w:rPr>
          <w:rFonts w:hint="eastAsia" w:ascii="宋体" w:hAnsi="宋体" w:eastAsia="宋体" w:cs="宋体"/>
          <w:i w:val="0"/>
          <w:iCs w:val="0"/>
          <w:sz w:val="24"/>
          <w:szCs w:val="24"/>
          <w:highlight w:val="none"/>
          <w:u w:val="none"/>
          <w:lang w:eastAsia="zh-CN"/>
        </w:rPr>
        <w:t>本采购项目</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lang w:val="en-US" w:eastAsia="zh-CN"/>
        </w:rPr>
        <w:t>/谈判</w:t>
      </w:r>
      <w:r>
        <w:rPr>
          <w:rFonts w:hint="eastAsia" w:ascii="宋体" w:hAnsi="宋体" w:eastAsia="宋体" w:cs="宋体"/>
          <w:sz w:val="24"/>
          <w:szCs w:val="24"/>
          <w:highlight w:val="none"/>
          <w:lang w:eastAsia="zh-CN"/>
        </w:rPr>
        <w:t>文件等</w:t>
      </w:r>
      <w:r>
        <w:rPr>
          <w:rFonts w:hint="eastAsia" w:ascii="宋体" w:hAnsi="宋体" w:eastAsia="宋体" w:cs="宋体"/>
          <w:sz w:val="24"/>
          <w:szCs w:val="24"/>
          <w:highlight w:val="none"/>
        </w:rPr>
        <w:t>采购文件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乙方的《投标（响应）文件》及《中标（成交）通知书》，甲乙双方同意签订本合同。具体情况及要求如下：     </w:t>
      </w:r>
    </w:p>
    <w:p w14:paraId="1E98B72D">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lang w:val="en-US" w:eastAsia="zh-CN" w:bidi="ar-SA"/>
        </w:rPr>
        <w:t>1.</w:t>
      </w:r>
      <w:r>
        <w:rPr>
          <w:rFonts w:hint="eastAsia" w:ascii="宋体" w:hAnsi="宋体" w:eastAsia="宋体" w:cs="宋体"/>
          <w:b/>
          <w:sz w:val="24"/>
          <w:szCs w:val="24"/>
          <w:highlight w:val="none"/>
        </w:rPr>
        <w:t>项目信息</w:t>
      </w:r>
    </w:p>
    <w:p w14:paraId="6822A358">
      <w:pPr>
        <w:pStyle w:val="16"/>
        <w:pageBreakBefore w:val="0"/>
        <w:numPr>
          <w:ilvl w:val="0"/>
          <w:numId w:val="0"/>
        </w:numPr>
        <w:kinsoku/>
        <w:wordWrap/>
        <w:overflowPunct/>
        <w:topLinePunct w:val="0"/>
        <w:bidi w:val="0"/>
        <w:adjustRightInd w:val="0"/>
        <w:snapToGrid w:val="0"/>
        <w:spacing w:before="0" w:beforeLines="0" w:after="0" w:line="360" w:lineRule="auto"/>
        <w:ind w:left="0" w:leftChars="0" w:firstLine="480" w:firstLineChars="20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lang w:val="en-US" w:eastAsia="zh-CN" w:bidi="he-IL"/>
        </w:rPr>
        <w:t>（1）</w:t>
      </w:r>
      <w:r>
        <w:rPr>
          <w:rFonts w:hint="eastAsia" w:ascii="宋体" w:hAnsi="宋体" w:eastAsia="宋体" w:cs="宋体"/>
          <w:sz w:val="24"/>
          <w:szCs w:val="24"/>
          <w:highlight w:val="none"/>
        </w:rPr>
        <w:t>采购项目名称：</w:t>
      </w:r>
      <w:r>
        <w:rPr>
          <w:rFonts w:hint="eastAsia" w:ascii="宋体" w:hAnsi="宋体" w:eastAsia="宋体" w:cs="宋体"/>
          <w:sz w:val="24"/>
          <w:szCs w:val="24"/>
          <w:highlight w:val="none"/>
          <w:u w:val="single"/>
        </w:rPr>
        <w:t xml:space="preserve">                                          </w:t>
      </w:r>
    </w:p>
    <w:p w14:paraId="58BECF89">
      <w:pPr>
        <w:pStyle w:val="16"/>
        <w:pageBreakBefore w:val="0"/>
        <w:numPr>
          <w:ilvl w:val="-1"/>
          <w:numId w:val="0"/>
        </w:numPr>
        <w:tabs>
          <w:tab w:val="left" w:pos="999"/>
        </w:tabs>
        <w:kinsoku/>
        <w:wordWrap/>
        <w:overflowPunct/>
        <w:topLinePunct w:val="0"/>
        <w:bidi w:val="0"/>
        <w:adjustRightInd w:val="0"/>
        <w:snapToGrid w:val="0"/>
        <w:spacing w:before="0" w:beforeLines="0" w:after="0" w:line="360" w:lineRule="auto"/>
        <w:ind w:left="0" w:leftChars="0" w:firstLine="0" w:firstLineChars="0"/>
        <w:textAlignment w:val="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 xml:space="preserve">         采购项目编号：</w:t>
      </w:r>
      <w:r>
        <w:rPr>
          <w:rFonts w:hint="eastAsia" w:ascii="宋体" w:hAnsi="宋体" w:eastAsia="宋体" w:cs="宋体"/>
          <w:sz w:val="24"/>
          <w:szCs w:val="24"/>
          <w:highlight w:val="none"/>
          <w:u w:val="single"/>
        </w:rPr>
        <w:t xml:space="preserve">                                          </w:t>
      </w:r>
    </w:p>
    <w:p w14:paraId="683D4ED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）项目内容：</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 w:eastAsia="zh-CN"/>
        </w:rPr>
        <w:t xml:space="preserve">   </w:t>
      </w:r>
    </w:p>
    <w:p w14:paraId="28B8E56C">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lang w:val="en-US" w:eastAsia="zh-CN" w:bidi="ar-SA"/>
        </w:rPr>
      </w:pPr>
      <w:r>
        <w:rPr>
          <w:rFonts w:hint="eastAsia" w:ascii="宋体" w:hAnsi="宋体" w:eastAsia="宋体" w:cs="宋体"/>
          <w:b/>
          <w:sz w:val="24"/>
          <w:szCs w:val="24"/>
          <w:lang w:val="en-US" w:eastAsia="zh-CN" w:bidi="ar-SA"/>
        </w:rPr>
        <w:t>2.合同金额</w:t>
      </w:r>
    </w:p>
    <w:p w14:paraId="0E00B1A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（1）合同金额小写：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3EEB48CA">
      <w:pPr>
        <w:pageBreakBefore w:val="0"/>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15B66079">
      <w:pPr>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（注：固定单价合同应填写单价和最高限价）</w:t>
      </w:r>
    </w:p>
    <w:p w14:paraId="0C74EE47">
      <w:pPr>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合同定价方式</w:t>
      </w:r>
      <w:r>
        <w:rPr>
          <w:rFonts w:hint="eastAsia" w:ascii="宋体" w:hAnsi="宋体" w:eastAsia="宋体" w:cs="宋体"/>
          <w:sz w:val="24"/>
          <w:szCs w:val="24"/>
          <w:highlight w:val="none"/>
          <w:lang w:eastAsia="zh-CN"/>
        </w:rPr>
        <w:t>（采用组合定价方式的，可以勾选多项）</w:t>
      </w:r>
      <w:r>
        <w:rPr>
          <w:rFonts w:hint="eastAsia" w:ascii="宋体" w:hAnsi="宋体" w:eastAsia="宋体" w:cs="宋体"/>
          <w:sz w:val="24"/>
          <w:szCs w:val="24"/>
          <w:highlight w:val="none"/>
        </w:rPr>
        <w:t>：</w:t>
      </w:r>
    </w:p>
    <w:p w14:paraId="5457C78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iCs/>
          <w:sz w:val="24"/>
          <w:szCs w:val="24"/>
          <w:highlight w:val="none"/>
          <w:lang w:val="en-US" w:eastAsia="zh-CN"/>
        </w:rPr>
        <w:t xml:space="preserve">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固定总价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固定单价</w:t>
      </w:r>
      <w:r>
        <w:rPr>
          <w:rFonts w:hint="eastAsia" w:ascii="宋体" w:hAnsi="宋体" w:eastAsia="宋体" w:cs="宋体"/>
          <w:iCs/>
          <w:sz w:val="24"/>
          <w:szCs w:val="24"/>
          <w:highlight w:val="none"/>
          <w:lang w:val="en-US" w:eastAsia="zh-CN"/>
        </w:rPr>
        <w:t xml:space="preserve">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eastAsia="zh-CN"/>
        </w:rPr>
        <w:t>固定费率</w:t>
      </w:r>
      <w:r>
        <w:rPr>
          <w:rFonts w:hint="eastAsia" w:ascii="宋体" w:hAnsi="宋体" w:eastAsia="宋体" w:cs="宋体"/>
          <w:iCs/>
          <w:sz w:val="24"/>
          <w:szCs w:val="24"/>
          <w:highlight w:val="none"/>
        </w:rPr>
        <w:t xml:space="preserve">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成本补偿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绩效激励</w:t>
      </w:r>
      <w:r>
        <w:rPr>
          <w:rFonts w:hint="eastAsia" w:ascii="宋体" w:hAnsi="宋体" w:eastAsia="宋体" w:cs="宋体"/>
          <w:iCs/>
          <w:sz w:val="24"/>
          <w:szCs w:val="24"/>
          <w:highlight w:val="none"/>
          <w:lang w:val="en-US" w:eastAsia="zh-CN"/>
        </w:rPr>
        <w:t xml:space="preserve">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eastAsia="zh-CN"/>
        </w:rPr>
        <w:t>其他</w:t>
      </w:r>
      <w:r>
        <w:rPr>
          <w:rFonts w:hint="eastAsia" w:ascii="宋体" w:hAnsi="宋体" w:eastAsia="宋体" w:cs="宋体"/>
          <w:sz w:val="24"/>
          <w:szCs w:val="24"/>
          <w:highlight w:val="none"/>
          <w:u w:val="single"/>
        </w:rPr>
        <w:t xml:space="preserve">       </w:t>
      </w:r>
    </w:p>
    <w:p w14:paraId="21B03338">
      <w:pPr>
        <w:pStyle w:val="147"/>
        <w:pageBreakBefore w:val="0"/>
        <w:kinsoku/>
        <w:wordWrap/>
        <w:overflowPunct/>
        <w:topLinePunct w:val="0"/>
        <w:bidi w:val="0"/>
        <w:spacing w:beforeLines="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）付款方式（按项目实际勾选填写）：</w:t>
      </w:r>
    </w:p>
    <w:p w14:paraId="3626D7F7">
      <w:pPr>
        <w:pageBreakBefore w:val="0"/>
        <w:kinsoku/>
        <w:wordWrap/>
        <w:overflowPunct/>
        <w:topLinePunct w:val="0"/>
        <w:bidi w:val="0"/>
        <w:adjustRightInd w:val="0"/>
        <w:snapToGrid w:val="0"/>
        <w:spacing w:before="0" w:beforeLines="0" w:line="360" w:lineRule="auto"/>
        <w:ind w:firstLine="720" w:firstLineChars="30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全额付款：</w:t>
      </w:r>
      <w:r>
        <w:rPr>
          <w:rFonts w:hint="eastAsia" w:ascii="宋体" w:hAnsi="宋体" w:eastAsia="宋体" w:cs="宋体"/>
          <w:sz w:val="24"/>
          <w:szCs w:val="24"/>
          <w:highlight w:val="none"/>
          <w:u w:val="single"/>
        </w:rPr>
        <w:t xml:space="preserve">  （应</w:t>
      </w:r>
      <w:r>
        <w:rPr>
          <w:rFonts w:hint="eastAsia" w:ascii="宋体" w:hAnsi="宋体" w:eastAsia="宋体" w:cs="宋体"/>
          <w:sz w:val="24"/>
          <w:szCs w:val="24"/>
          <w:highlight w:val="none"/>
          <w:u w:val="single"/>
          <w:lang w:eastAsia="zh-CN"/>
        </w:rPr>
        <w:t>明确</w:t>
      </w:r>
      <w:r>
        <w:rPr>
          <w:rFonts w:hint="eastAsia" w:ascii="宋体" w:hAnsi="宋体" w:eastAsia="宋体" w:cs="宋体"/>
          <w:sz w:val="24"/>
          <w:szCs w:val="24"/>
          <w:highlight w:val="none"/>
          <w:u w:val="single"/>
        </w:rPr>
        <w:t>一次性支付合同款项</w:t>
      </w:r>
      <w:r>
        <w:rPr>
          <w:rFonts w:hint="eastAsia" w:ascii="宋体" w:hAnsi="宋体" w:eastAsia="宋体" w:cs="宋体"/>
          <w:sz w:val="24"/>
          <w:szCs w:val="24"/>
          <w:highlight w:val="none"/>
          <w:u w:val="single"/>
          <w:lang w:eastAsia="zh-CN"/>
        </w:rPr>
        <w:t>的条件</w:t>
      </w:r>
      <w:r>
        <w:rPr>
          <w:rFonts w:hint="eastAsia" w:ascii="宋体" w:hAnsi="宋体" w:eastAsia="宋体" w:cs="宋体"/>
          <w:sz w:val="24"/>
          <w:szCs w:val="24"/>
          <w:highlight w:val="none"/>
          <w:u w:val="single"/>
        </w:rPr>
        <w:t xml:space="preserve">）                    </w:t>
      </w:r>
    </w:p>
    <w:p w14:paraId="6D2635DF">
      <w:pPr>
        <w:pageBreakBefore w:val="0"/>
        <w:kinsoku/>
        <w:wordWrap/>
        <w:overflowPunct/>
        <w:topLinePunct w:val="0"/>
        <w:bidi w:val="0"/>
        <w:snapToGrid w:val="0"/>
        <w:spacing w:beforeLines="0"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分期付款：</w:t>
      </w:r>
      <w:r>
        <w:rPr>
          <w:rFonts w:hint="eastAsia" w:ascii="宋体" w:hAnsi="宋体" w:eastAsia="宋体" w:cs="宋体"/>
          <w:sz w:val="24"/>
          <w:szCs w:val="24"/>
          <w:highlight w:val="none"/>
          <w:u w:val="single"/>
        </w:rPr>
        <w:t xml:space="preserve">  （应明确分期支付合同款项的各期比例和支付条件</w:t>
      </w:r>
      <w:r>
        <w:rPr>
          <w:rFonts w:hint="eastAsia" w:ascii="宋体" w:hAnsi="宋体" w:eastAsia="宋体" w:cs="宋体"/>
          <w:sz w:val="24"/>
          <w:szCs w:val="24"/>
          <w:highlight w:val="none"/>
          <w:u w:val="single"/>
          <w:lang w:eastAsia="zh-CN"/>
        </w:rPr>
        <w:t>，各期支付条件应与分期履约验收情况挂钩</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lang w:eastAsia="zh-CN"/>
        </w:rPr>
        <w:t>其中涉及预付款的</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（应明确预付款的支付比例和支付条件） </w:t>
      </w:r>
    </w:p>
    <w:p w14:paraId="4A719BEE">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lang w:val="en-US" w:eastAsia="zh-CN" w:bidi="ar-SA"/>
        </w:rPr>
      </w:pPr>
      <w:r>
        <w:rPr>
          <w:rFonts w:hint="eastAsia" w:ascii="宋体" w:hAnsi="宋体" w:eastAsia="宋体" w:cs="宋体"/>
          <w:b/>
          <w:sz w:val="24"/>
          <w:szCs w:val="24"/>
          <w:lang w:val="en-US" w:eastAsia="zh-CN" w:bidi="ar-SA"/>
        </w:rPr>
        <w:t>3.合同履行</w:t>
      </w:r>
    </w:p>
    <w:p w14:paraId="28BF1DF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（1）起始日期：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日，完成日期：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0CCC266A">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履约</w:t>
      </w:r>
      <w:r>
        <w:rPr>
          <w:rFonts w:hint="eastAsia" w:ascii="宋体" w:hAnsi="宋体" w:eastAsia="宋体" w:cs="宋体"/>
          <w:sz w:val="24"/>
          <w:szCs w:val="24"/>
          <w:highlight w:val="none"/>
        </w:rPr>
        <w:t>地点</w:t>
      </w:r>
      <w:r>
        <w:rPr>
          <w:rFonts w:hint="eastAsia" w:ascii="宋体" w:hAnsi="宋体" w:eastAsia="宋体" w:cs="宋体"/>
          <w:b w:val="0"/>
          <w:bCs/>
          <w:sz w:val="24"/>
          <w:szCs w:val="24"/>
          <w:highlight w:val="none"/>
        </w:rPr>
        <w:t>：</w:t>
      </w:r>
      <w:r>
        <w:rPr>
          <w:rFonts w:hint="eastAsia" w:ascii="宋体" w:hAnsi="宋体" w:eastAsia="宋体" w:cs="宋体"/>
          <w:sz w:val="24"/>
          <w:szCs w:val="24"/>
          <w:highlight w:val="none"/>
          <w:u w:val="single"/>
        </w:rPr>
        <w:t xml:space="preserve">                             </w:t>
      </w:r>
    </w:p>
    <w:p w14:paraId="7BF283D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Cs/>
          <w:sz w:val="24"/>
          <w:szCs w:val="24"/>
          <w:highlight w:val="none"/>
        </w:rPr>
        <w:t>（3）履约担保：</w:t>
      </w:r>
      <w:r>
        <w:rPr>
          <w:rFonts w:hint="eastAsia" w:ascii="宋体" w:hAnsi="宋体" w:eastAsia="宋体" w:cs="宋体"/>
          <w:sz w:val="24"/>
          <w:szCs w:val="24"/>
          <w:highlight w:val="none"/>
          <w:lang w:val="en-US" w:eastAsia="zh-CN"/>
        </w:rPr>
        <w:t>是否收取履约保证金：</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lang w:eastAsia="zh-CN"/>
        </w:rPr>
        <w:t>是</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sym w:font="Wingdings" w:char="00FE"/>
      </w:r>
      <w:r>
        <w:rPr>
          <w:rFonts w:hint="eastAsia" w:ascii="宋体" w:hAnsi="宋体" w:eastAsia="宋体" w:cs="宋体"/>
          <w:sz w:val="24"/>
          <w:szCs w:val="24"/>
          <w:highlight w:val="none"/>
          <w:lang w:eastAsia="zh-CN"/>
        </w:rPr>
        <w:t>否</w:t>
      </w:r>
    </w:p>
    <w:p w14:paraId="689C04D4">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lang w:val="en-US" w:eastAsia="zh-CN" w:bidi="ar-SA"/>
        </w:rPr>
      </w:pPr>
      <w:r>
        <w:rPr>
          <w:rFonts w:hint="eastAsia" w:ascii="宋体" w:hAnsi="宋体" w:eastAsia="宋体" w:cs="宋体"/>
          <w:b/>
          <w:sz w:val="24"/>
          <w:szCs w:val="24"/>
          <w:lang w:val="en-US" w:eastAsia="zh-CN" w:bidi="ar-SA"/>
        </w:rPr>
        <w:t>4.合同验收</w:t>
      </w:r>
    </w:p>
    <w:p w14:paraId="3480CE54">
      <w:pPr>
        <w:pageBreakBefore w:val="0"/>
        <w:numPr>
          <w:ilvl w:val="0"/>
          <w:numId w:val="3"/>
        </w:numPr>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验收组织方式：</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 xml:space="preserve">自行组织 </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委托第三方组织</w:t>
      </w:r>
    </w:p>
    <w:p w14:paraId="093E188E">
      <w:pPr>
        <w:pageBreakBefore w:val="0"/>
        <w:numPr>
          <w:ilvl w:val="0"/>
          <w:numId w:val="0"/>
        </w:numPr>
        <w:kinsoku/>
        <w:wordWrap/>
        <w:overflowPunct/>
        <w:topLinePunct w:val="0"/>
        <w:bidi w:val="0"/>
        <w:adjustRightInd w:val="0"/>
        <w:snapToGrid w:val="0"/>
        <w:spacing w:before="0" w:beforeLines="0" w:line="360" w:lineRule="auto"/>
        <w:textAlignment w:val="auto"/>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验收主体：</w:t>
      </w:r>
      <w:r>
        <w:rPr>
          <w:rFonts w:hint="eastAsia" w:ascii="宋体" w:hAnsi="宋体" w:eastAsia="宋体" w:cs="宋体"/>
          <w:bCs/>
          <w:sz w:val="24"/>
          <w:szCs w:val="24"/>
          <w:highlight w:val="none"/>
          <w:u w:val="single"/>
        </w:rPr>
        <w:t xml:space="preserve">                  </w:t>
      </w:r>
    </w:p>
    <w:p w14:paraId="5536F458">
      <w:pPr>
        <w:pageBreakBefore w:val="0"/>
        <w:kinsoku/>
        <w:wordWrap/>
        <w:overflowPunct/>
        <w:topLinePunct w:val="0"/>
        <w:bidi w:val="0"/>
        <w:adjustRightInd w:val="0"/>
        <w:snapToGrid w:val="0"/>
        <w:spacing w:before="0" w:beforeLines="0" w:line="360" w:lineRule="auto"/>
        <w:ind w:firstLine="480" w:firstLineChars="200"/>
        <w:textAlignment w:val="auto"/>
        <w:rPr>
          <w:rFonts w:hint="default" w:ascii="宋体" w:hAnsi="宋体" w:eastAsia="宋体" w:cs="宋体"/>
          <w:bCs/>
          <w:sz w:val="24"/>
          <w:szCs w:val="24"/>
          <w:highlight w:val="none"/>
          <w:u w:val="single"/>
          <w:lang w:val="en-US"/>
        </w:rPr>
      </w:pPr>
      <w:r>
        <w:rPr>
          <w:rFonts w:hint="eastAsia" w:ascii="宋体" w:hAnsi="宋体" w:eastAsia="宋体" w:cs="宋体"/>
          <w:bCs/>
          <w:sz w:val="24"/>
          <w:szCs w:val="24"/>
          <w:highlight w:val="none"/>
        </w:rPr>
        <w:t>（2）履约验收时间：</w:t>
      </w:r>
      <w:r>
        <w:rPr>
          <w:rFonts w:hint="eastAsia" w:ascii="宋体" w:hAnsi="宋体" w:eastAsia="宋体" w:cs="宋体"/>
          <w:bCs/>
          <w:sz w:val="24"/>
          <w:szCs w:val="24"/>
          <w:highlight w:val="none"/>
          <w:u w:val="single"/>
          <w:lang w:val="en-US" w:eastAsia="zh-CN"/>
        </w:rPr>
        <w:t xml:space="preserve">                                         </w:t>
      </w:r>
    </w:p>
    <w:p w14:paraId="4F0B6C60">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rPr>
        <w:t>（3）履约验收方式：</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u w:val="single"/>
          <w:lang w:val="en-US" w:eastAsia="zh-CN"/>
        </w:rPr>
        <w:t xml:space="preserve">                                       </w:t>
      </w:r>
    </w:p>
    <w:p w14:paraId="24B23338">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（4）履约验收程序：</w:t>
      </w:r>
      <w:r>
        <w:rPr>
          <w:rFonts w:hint="eastAsia" w:ascii="宋体" w:hAnsi="宋体" w:eastAsia="宋体" w:cs="宋体"/>
          <w:bCs/>
          <w:sz w:val="24"/>
          <w:szCs w:val="24"/>
          <w:highlight w:val="none"/>
          <w:u w:val="single"/>
        </w:rPr>
        <w:t xml:space="preserve">                                         </w:t>
      </w:r>
    </w:p>
    <w:p w14:paraId="49FDA31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rPr>
        <w:t>（5）履约验收的内容：</w:t>
      </w:r>
      <w:r>
        <w:rPr>
          <w:rFonts w:hint="eastAsia" w:ascii="宋体" w:hAnsi="宋体" w:eastAsia="宋体" w:cs="宋体"/>
          <w:bCs/>
          <w:sz w:val="24"/>
          <w:szCs w:val="24"/>
          <w:highlight w:val="none"/>
          <w:u w:val="single"/>
        </w:rPr>
        <w:t xml:space="preserve">                                       </w:t>
      </w:r>
    </w:p>
    <w:p w14:paraId="484B46E6">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rPr>
        <w:t>（6）履约验收标准：</w:t>
      </w:r>
      <w:r>
        <w:rPr>
          <w:rFonts w:hint="eastAsia" w:ascii="宋体" w:hAnsi="宋体" w:eastAsia="宋体" w:cs="宋体"/>
          <w:bCs/>
          <w:sz w:val="24"/>
          <w:szCs w:val="24"/>
          <w:highlight w:val="none"/>
          <w:u w:val="single"/>
        </w:rPr>
        <w:t xml:space="preserve">                                         </w:t>
      </w:r>
    </w:p>
    <w:p w14:paraId="2E55878D">
      <w:pPr>
        <w:pStyle w:val="146"/>
        <w:pageBreakBefore w:val="0"/>
        <w:kinsoku/>
        <w:wordWrap/>
        <w:overflowPunct/>
        <w:topLinePunct w:val="0"/>
        <w:bidi w:val="0"/>
        <w:spacing w:beforeLines="0"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bCs/>
          <w:sz w:val="24"/>
          <w:szCs w:val="24"/>
          <w:highlight w:val="none"/>
          <w:u w:val="none"/>
          <w:lang w:eastAsia="zh-CN"/>
        </w:rPr>
        <w:t>（</w:t>
      </w:r>
      <w:r>
        <w:rPr>
          <w:rFonts w:hint="eastAsia" w:ascii="宋体" w:hAnsi="宋体" w:eastAsia="宋体" w:cs="宋体"/>
          <w:bCs/>
          <w:sz w:val="24"/>
          <w:szCs w:val="24"/>
          <w:highlight w:val="none"/>
          <w:u w:val="none"/>
          <w:lang w:val="en-US" w:eastAsia="zh-CN"/>
        </w:rPr>
        <w:t>7</w:t>
      </w:r>
      <w:r>
        <w:rPr>
          <w:rFonts w:hint="eastAsia" w:ascii="宋体" w:hAnsi="宋体" w:eastAsia="宋体" w:cs="宋体"/>
          <w:bCs/>
          <w:sz w:val="24"/>
          <w:szCs w:val="24"/>
          <w:highlight w:val="none"/>
          <w:u w:val="none"/>
          <w:lang w:eastAsia="zh-CN"/>
        </w:rPr>
        <w:t>）是否以采购活动中供应商提供的样品作为参考：</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 xml:space="preserve">是  </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否</w:t>
      </w:r>
    </w:p>
    <w:p w14:paraId="1E1ADB02">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lang w:val="en-US" w:eastAsia="zh-CN" w:bidi="ar-SA"/>
        </w:rPr>
        <w:t>5.</w:t>
      </w:r>
      <w:r>
        <w:rPr>
          <w:rFonts w:hint="eastAsia" w:ascii="宋体" w:hAnsi="宋体" w:eastAsia="宋体" w:cs="宋体"/>
          <w:b/>
          <w:sz w:val="24"/>
          <w:szCs w:val="24"/>
          <w:highlight w:val="none"/>
        </w:rPr>
        <w:t>组成合同的文件</w:t>
      </w:r>
    </w:p>
    <w:p w14:paraId="22765AF7">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本协议书与下列文件一起构成合同文件，如下述文件之间有任何抵触、矛盾或歧义，应按以下顺序解释：</w:t>
      </w:r>
    </w:p>
    <w:p w14:paraId="518016E9">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政府采购</w:t>
      </w:r>
      <w:r>
        <w:rPr>
          <w:rFonts w:hint="eastAsia" w:ascii="宋体" w:hAnsi="宋体" w:eastAsia="宋体" w:cs="宋体"/>
          <w:color w:val="auto"/>
          <w:sz w:val="24"/>
          <w:szCs w:val="24"/>
          <w:highlight w:val="none"/>
        </w:rPr>
        <w:t>合同协议书及其变更、补充</w:t>
      </w:r>
      <w:r>
        <w:rPr>
          <w:rFonts w:hint="eastAsia" w:ascii="宋体" w:hAnsi="宋体" w:eastAsia="宋体" w:cs="宋体"/>
          <w:color w:val="auto"/>
          <w:sz w:val="24"/>
          <w:szCs w:val="24"/>
          <w:highlight w:val="none"/>
          <w:lang w:eastAsia="zh-CN"/>
        </w:rPr>
        <w:t>协议</w:t>
      </w:r>
    </w:p>
    <w:p w14:paraId="2BB99E9C">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）政府采购合同专用条款</w:t>
      </w:r>
    </w:p>
    <w:p w14:paraId="552DD82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）政府采购合同通用条款</w:t>
      </w:r>
    </w:p>
    <w:p w14:paraId="1771AB4A">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p>
    <w:p w14:paraId="0DD54A39">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）投标（响应）文件</w:t>
      </w:r>
    </w:p>
    <w:p w14:paraId="09451CC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（6）采购文件</w:t>
      </w:r>
    </w:p>
    <w:p w14:paraId="30AD4F8E">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（7）有关技术文件，图纸</w:t>
      </w:r>
    </w:p>
    <w:p w14:paraId="3A49B6EA">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）国家法律、行政法规和规章制度规定或合同约定的作为合同组成部分的其他文件</w:t>
      </w:r>
    </w:p>
    <w:p w14:paraId="18256E5E">
      <w:pPr>
        <w:snapToGrid w:val="0"/>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6.违约责任</w:t>
      </w:r>
    </w:p>
    <w:p w14:paraId="6F07CD1C">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6.1除不可抗力外，如果乙方没有按照本合同约定的期限、地点和方式履行，那么甲方可要求乙方支付违约金，违约金按每迟延履行一日的应提供而未提供服务价格的</w:t>
      </w:r>
      <w:r>
        <w:rPr>
          <w:rFonts w:hint="eastAsia" w:ascii="宋体" w:hAnsi="宋体" w:cs="宋体"/>
          <w:sz w:val="24"/>
          <w:szCs w:val="24"/>
          <w:u w:val="single"/>
        </w:rPr>
        <w:t xml:space="preserve"> 0.</w:t>
      </w:r>
      <w:r>
        <w:rPr>
          <w:rFonts w:hint="eastAsia" w:ascii="宋体" w:hAnsi="宋体" w:cs="宋体"/>
          <w:sz w:val="24"/>
          <w:szCs w:val="24"/>
          <w:u w:val="single"/>
          <w:lang w:val="en-US" w:eastAsia="zh-CN"/>
        </w:rPr>
        <w:t>03</w:t>
      </w:r>
      <w:r>
        <w:rPr>
          <w:rFonts w:hint="eastAsia" w:ascii="宋体" w:hAnsi="宋体" w:cs="宋体"/>
          <w:sz w:val="24"/>
          <w:szCs w:val="24"/>
          <w:u w:val="single"/>
        </w:rPr>
        <w:t xml:space="preserve"> %</w:t>
      </w:r>
      <w:r>
        <w:rPr>
          <w:rFonts w:hint="eastAsia" w:ascii="宋体" w:hAnsi="宋体" w:cs="宋体"/>
          <w:sz w:val="24"/>
          <w:szCs w:val="24"/>
        </w:rPr>
        <w:t>计算，最高限额为本合同总价的</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30</w:t>
      </w:r>
      <w:r>
        <w:rPr>
          <w:rFonts w:hint="eastAsia" w:ascii="宋体" w:hAnsi="宋体" w:cs="宋体"/>
          <w:sz w:val="24"/>
          <w:szCs w:val="24"/>
          <w:u w:val="single"/>
        </w:rPr>
        <w:t xml:space="preserve"> %</w:t>
      </w:r>
      <w:r>
        <w:rPr>
          <w:rFonts w:hint="eastAsia" w:ascii="宋体" w:hAnsi="宋体" w:cs="宋体"/>
          <w:sz w:val="24"/>
          <w:szCs w:val="24"/>
        </w:rPr>
        <w:t>；迟延履行的违约金计算数额达到前述最高限额之日起，甲方有权在要求乙方支付违约金的同时，书面通知乙方解除本合同；</w:t>
      </w:r>
    </w:p>
    <w:p w14:paraId="19549785">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6.2除不可抗力外，如果甲方没有按照本合同约定的付款方式付款，那么乙方可要求甲方支付违约金，违约金按每迟延付款一日的应付而未付款的</w:t>
      </w:r>
      <w:r>
        <w:rPr>
          <w:rFonts w:hint="eastAsia" w:ascii="宋体" w:hAnsi="宋体" w:cs="宋体"/>
          <w:sz w:val="24"/>
          <w:szCs w:val="24"/>
          <w:u w:val="single"/>
        </w:rPr>
        <w:t xml:space="preserve"> 0.</w:t>
      </w:r>
      <w:r>
        <w:rPr>
          <w:rFonts w:hint="eastAsia" w:ascii="宋体" w:hAnsi="宋体" w:cs="宋体"/>
          <w:sz w:val="24"/>
          <w:szCs w:val="24"/>
          <w:u w:val="single"/>
          <w:lang w:val="en-US" w:eastAsia="zh-CN"/>
        </w:rPr>
        <w:t>03</w:t>
      </w:r>
      <w:r>
        <w:rPr>
          <w:rFonts w:hint="eastAsia" w:ascii="宋体" w:hAnsi="宋体" w:cs="宋体"/>
          <w:sz w:val="24"/>
          <w:szCs w:val="24"/>
          <w:u w:val="single"/>
        </w:rPr>
        <w:t xml:space="preserve"> %</w:t>
      </w:r>
      <w:r>
        <w:rPr>
          <w:rFonts w:hint="eastAsia" w:ascii="宋体" w:hAnsi="宋体" w:cs="宋体"/>
          <w:sz w:val="24"/>
          <w:szCs w:val="24"/>
        </w:rPr>
        <w:t>计算，最高限额为本合同总价的</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30</w:t>
      </w:r>
      <w:r>
        <w:rPr>
          <w:rFonts w:hint="eastAsia" w:ascii="宋体" w:hAnsi="宋体" w:cs="宋体"/>
          <w:sz w:val="24"/>
          <w:szCs w:val="24"/>
          <w:u w:val="single"/>
        </w:rPr>
        <w:t xml:space="preserve"> %</w:t>
      </w:r>
      <w:r>
        <w:rPr>
          <w:rFonts w:hint="eastAsia" w:ascii="宋体" w:hAnsi="宋体" w:cs="宋体"/>
          <w:sz w:val="24"/>
          <w:szCs w:val="24"/>
        </w:rPr>
        <w:t>；迟延付款的违约金计算数额达到前述最高限额之日起，乙方有权在要求甲方支付违约金的同时，书面通知甲方解除本合同；</w:t>
      </w:r>
    </w:p>
    <w:p w14:paraId="5D4595F7">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及要求违约方向守约方支付合同结算金额的30%的违约金；</w:t>
      </w:r>
    </w:p>
    <w:p w14:paraId="51971DF7">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D656286">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58187B2">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6.6因任何一方违约引发诉讼的，违约方应承担守约方为维护自身权益而产生的合理成本支出，包括但不限于律师费、诉讼费、保全费、差旅费、公证费、鉴定费等。</w:t>
      </w:r>
    </w:p>
    <w:p w14:paraId="753F8968">
      <w:pPr>
        <w:snapToGrid w:val="0"/>
        <w:spacing w:line="360" w:lineRule="auto"/>
        <w:ind w:firstLine="482" w:firstLineChars="200"/>
        <w:rPr>
          <w:rFonts w:hint="eastAsia" w:ascii="宋体" w:hAnsi="宋体" w:cs="宋体"/>
          <w:b/>
          <w:bCs/>
          <w:sz w:val="24"/>
          <w:szCs w:val="24"/>
        </w:rPr>
      </w:pPr>
      <w:bookmarkStart w:id="63" w:name="_Toc16021"/>
      <w:bookmarkStart w:id="64" w:name="_Toc15583"/>
      <w:bookmarkStart w:id="65" w:name="_Toc28375"/>
      <w:r>
        <w:rPr>
          <w:rFonts w:hint="eastAsia" w:ascii="宋体" w:hAnsi="宋体" w:cs="宋体"/>
          <w:b/>
          <w:bCs/>
          <w:sz w:val="24"/>
          <w:szCs w:val="24"/>
        </w:rPr>
        <w:t>7.合同争议的解决</w:t>
      </w:r>
      <w:bookmarkEnd w:id="63"/>
      <w:bookmarkEnd w:id="64"/>
      <w:bookmarkEnd w:id="65"/>
    </w:p>
    <w:p w14:paraId="61B45C1E">
      <w:pPr>
        <w:snapToGrid w:val="0"/>
        <w:spacing w:line="360" w:lineRule="auto"/>
        <w:ind w:firstLine="720" w:firstLineChars="300"/>
      </w:pPr>
      <w:r>
        <w:rPr>
          <w:rFonts w:hint="eastAsia" w:ascii="宋体" w:hAnsi="宋体" w:cs="宋体"/>
          <w:sz w:val="24"/>
          <w:szCs w:val="24"/>
        </w:rPr>
        <w:t>本合同如发生争议，买卖双方应当及时协商解决，协商不成时，按以下方式处理：向</w:t>
      </w:r>
      <w:r>
        <w:rPr>
          <w:rFonts w:hint="eastAsia" w:ascii="宋体" w:hAnsi="宋体" w:cs="宋体"/>
          <w:sz w:val="24"/>
          <w:szCs w:val="24"/>
          <w:u w:val="single"/>
        </w:rPr>
        <w:t xml:space="preserve">  桐城市 </w:t>
      </w:r>
      <w:r>
        <w:rPr>
          <w:rFonts w:hint="eastAsia" w:ascii="宋体" w:hAnsi="宋体" w:cs="宋体"/>
          <w:sz w:val="24"/>
          <w:szCs w:val="24"/>
        </w:rPr>
        <w:t>人民法院起诉。</w:t>
      </w:r>
    </w:p>
    <w:p w14:paraId="5F3EC4F6">
      <w:pPr>
        <w:snapToGrid w:val="0"/>
        <w:spacing w:line="360" w:lineRule="auto"/>
        <w:ind w:firstLine="482" w:firstLineChars="200"/>
        <w:rPr>
          <w:rFonts w:hint="eastAsia" w:ascii="宋体" w:hAnsi="宋体" w:cs="宋体"/>
          <w:b/>
          <w:sz w:val="24"/>
          <w:szCs w:val="24"/>
        </w:rPr>
      </w:pPr>
      <w:r>
        <w:rPr>
          <w:rFonts w:hint="eastAsia" w:ascii="宋体" w:hAnsi="宋体" w:cs="宋体"/>
          <w:b/>
          <w:sz w:val="24"/>
          <w:szCs w:val="24"/>
        </w:rPr>
        <w:t>8.合同生效</w:t>
      </w:r>
    </w:p>
    <w:p w14:paraId="0616F7F3">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本合同自</w:t>
      </w:r>
      <w:r>
        <w:rPr>
          <w:rFonts w:hint="eastAsia" w:ascii="宋体" w:hAnsi="宋体" w:cs="宋体"/>
          <w:sz w:val="24"/>
          <w:szCs w:val="24"/>
          <w:u w:val="single"/>
        </w:rPr>
        <w:t xml:space="preserve"> 签字盖章之日起 </w:t>
      </w:r>
      <w:r>
        <w:rPr>
          <w:rFonts w:hint="eastAsia" w:ascii="宋体" w:hAnsi="宋体" w:cs="宋体"/>
          <w:sz w:val="24"/>
          <w:szCs w:val="24"/>
        </w:rPr>
        <w:t>生效。</w:t>
      </w:r>
    </w:p>
    <w:p w14:paraId="3A32CBF1">
      <w:pPr>
        <w:snapToGrid w:val="0"/>
        <w:spacing w:line="360" w:lineRule="auto"/>
        <w:ind w:firstLine="482" w:firstLineChars="200"/>
        <w:rPr>
          <w:rFonts w:hint="eastAsia" w:ascii="宋体" w:hAnsi="宋体" w:cs="宋体"/>
          <w:b/>
          <w:sz w:val="24"/>
          <w:szCs w:val="24"/>
        </w:rPr>
      </w:pPr>
      <w:r>
        <w:rPr>
          <w:rFonts w:hint="eastAsia" w:ascii="宋体" w:hAnsi="宋体" w:cs="宋体"/>
          <w:b/>
          <w:sz w:val="24"/>
          <w:szCs w:val="24"/>
        </w:rPr>
        <w:t>9.合同份数</w:t>
      </w:r>
    </w:p>
    <w:p w14:paraId="49C6ABE6">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本合同一式</w:t>
      </w:r>
      <w:r>
        <w:rPr>
          <w:rFonts w:hint="eastAsia" w:ascii="宋体" w:hAnsi="宋体" w:cs="宋体"/>
          <w:sz w:val="24"/>
          <w:szCs w:val="24"/>
          <w:u w:val="single"/>
        </w:rPr>
        <w:t xml:space="preserve"> 叁 </w:t>
      </w:r>
      <w:r>
        <w:rPr>
          <w:rFonts w:hint="eastAsia" w:ascii="宋体" w:hAnsi="宋体" w:cs="宋体"/>
          <w:sz w:val="24"/>
          <w:szCs w:val="24"/>
        </w:rPr>
        <w:t>份，甲方执</w:t>
      </w:r>
      <w:r>
        <w:rPr>
          <w:rFonts w:hint="eastAsia" w:ascii="宋体" w:hAnsi="宋体" w:cs="宋体"/>
          <w:sz w:val="24"/>
          <w:szCs w:val="24"/>
          <w:u w:val="single"/>
        </w:rPr>
        <w:t xml:space="preserve"> 贰 </w:t>
      </w:r>
      <w:r>
        <w:rPr>
          <w:rFonts w:hint="eastAsia" w:ascii="宋体" w:hAnsi="宋体" w:cs="宋体"/>
          <w:sz w:val="24"/>
          <w:szCs w:val="24"/>
        </w:rPr>
        <w:t>份，乙方执</w:t>
      </w:r>
      <w:r>
        <w:rPr>
          <w:rFonts w:hint="eastAsia" w:ascii="宋体" w:hAnsi="宋体" w:cs="宋体"/>
          <w:sz w:val="24"/>
          <w:szCs w:val="24"/>
          <w:u w:val="single"/>
        </w:rPr>
        <w:t xml:space="preserve"> 壹 </w:t>
      </w:r>
      <w:r>
        <w:rPr>
          <w:rFonts w:hint="eastAsia" w:ascii="宋体" w:hAnsi="宋体" w:cs="宋体"/>
          <w:sz w:val="24"/>
          <w:szCs w:val="24"/>
        </w:rPr>
        <w:t>份，均具有同等法律效力。</w:t>
      </w:r>
    </w:p>
    <w:p w14:paraId="65BD7E1B">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合同订立时间：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319BACB3">
      <w:pPr>
        <w:snapToGrid w:val="0"/>
        <w:spacing w:line="360" w:lineRule="auto"/>
        <w:ind w:firstLine="480" w:firstLineChars="200"/>
        <w:rPr>
          <w:rFonts w:hint="eastAsia" w:ascii="宋体" w:hAnsi="宋体" w:cs="宋体"/>
          <w:sz w:val="24"/>
          <w:szCs w:val="24"/>
          <w:u w:val="single"/>
        </w:rPr>
      </w:pPr>
      <w:r>
        <w:rPr>
          <w:rFonts w:hint="eastAsia" w:ascii="宋体" w:hAnsi="宋体" w:cs="宋体"/>
          <w:sz w:val="24"/>
          <w:szCs w:val="24"/>
        </w:rPr>
        <w:t>合同订立地点：</w:t>
      </w:r>
      <w:r>
        <w:rPr>
          <w:rFonts w:hint="eastAsia" w:ascii="宋体" w:hAnsi="宋体" w:cs="宋体"/>
          <w:sz w:val="24"/>
          <w:szCs w:val="24"/>
          <w:u w:val="single"/>
        </w:rPr>
        <w:t xml:space="preserve"> 桐城师范高等专科学校 </w:t>
      </w:r>
    </w:p>
    <w:p w14:paraId="3C3D0F2B">
      <w:pPr>
        <w:pStyle w:val="2"/>
      </w:pPr>
    </w:p>
    <w:p w14:paraId="0066D489">
      <w:pPr>
        <w:pStyle w:val="2"/>
      </w:pPr>
    </w:p>
    <w:p w14:paraId="3D1A9681">
      <w:pPr>
        <w:pStyle w:val="2"/>
      </w:pPr>
    </w:p>
    <w:p w14:paraId="23790388">
      <w:pPr>
        <w:pStyle w:val="2"/>
      </w:pPr>
    </w:p>
    <w:p w14:paraId="66EA178F">
      <w:pPr>
        <w:pStyle w:val="2"/>
      </w:pPr>
    </w:p>
    <w:p w14:paraId="68943FBE">
      <w:pPr>
        <w:pStyle w:val="2"/>
      </w:pPr>
    </w:p>
    <w:p w14:paraId="7F7D50D4">
      <w:pPr>
        <w:pStyle w:val="2"/>
      </w:pPr>
    </w:p>
    <w:tbl>
      <w:tblPr>
        <w:tblStyle w:val="40"/>
        <w:tblW w:w="5080"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589"/>
        <w:gridCol w:w="1991"/>
        <w:gridCol w:w="2300"/>
        <w:gridCol w:w="2097"/>
      </w:tblGrid>
      <w:tr w14:paraId="770702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551" w:type="pct"/>
            <w:gridSpan w:val="2"/>
            <w:tcBorders>
              <w:bottom w:val="single" w:color="auto" w:sz="2" w:space="0"/>
              <w:right w:val="single" w:color="auto" w:sz="2" w:space="0"/>
            </w:tcBorders>
            <w:vAlign w:val="center"/>
          </w:tcPr>
          <w:p w14:paraId="0D7BAAAF">
            <w:pPr>
              <w:snapToGrid w:val="0"/>
              <w:spacing w:line="360" w:lineRule="auto"/>
              <w:jc w:val="center"/>
              <w:rPr>
                <w:rFonts w:hint="eastAsia" w:ascii="宋体" w:hAnsi="宋体" w:cs="宋体"/>
                <w:sz w:val="24"/>
                <w:szCs w:val="24"/>
              </w:rPr>
            </w:pPr>
            <w:r>
              <w:rPr>
                <w:rFonts w:hint="eastAsia" w:ascii="宋体" w:hAnsi="宋体" w:cs="宋体"/>
                <w:sz w:val="24"/>
                <w:szCs w:val="24"/>
              </w:rPr>
              <w:t>甲方（采购人、受采购人委托签订合同的单位或采购文件约定的合同甲方）</w:t>
            </w:r>
          </w:p>
        </w:tc>
        <w:tc>
          <w:tcPr>
            <w:tcW w:w="2448" w:type="pct"/>
            <w:gridSpan w:val="2"/>
            <w:tcBorders>
              <w:left w:val="single" w:color="auto" w:sz="2" w:space="0"/>
              <w:bottom w:val="single" w:color="auto" w:sz="2" w:space="0"/>
            </w:tcBorders>
            <w:vAlign w:val="center"/>
          </w:tcPr>
          <w:p w14:paraId="5C4FA8AE">
            <w:pPr>
              <w:snapToGrid w:val="0"/>
              <w:spacing w:line="360" w:lineRule="auto"/>
              <w:jc w:val="center"/>
              <w:rPr>
                <w:rFonts w:hint="eastAsia" w:ascii="宋体" w:hAnsi="宋体" w:cs="宋体"/>
                <w:sz w:val="24"/>
                <w:szCs w:val="24"/>
              </w:rPr>
            </w:pPr>
            <w:r>
              <w:rPr>
                <w:rFonts w:hint="eastAsia" w:ascii="宋体" w:hAnsi="宋体" w:cs="宋体"/>
                <w:sz w:val="24"/>
                <w:szCs w:val="24"/>
              </w:rPr>
              <w:t>乙方（供应商）</w:t>
            </w:r>
          </w:p>
        </w:tc>
      </w:tr>
      <w:tr w14:paraId="7DCDF0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62F36E5F">
            <w:pPr>
              <w:snapToGrid w:val="0"/>
              <w:spacing w:line="360" w:lineRule="auto"/>
              <w:jc w:val="center"/>
              <w:rPr>
                <w:rFonts w:hint="eastAsia" w:ascii="宋体" w:hAnsi="宋体" w:cs="宋体"/>
                <w:sz w:val="24"/>
                <w:szCs w:val="24"/>
              </w:rPr>
            </w:pPr>
            <w:r>
              <w:rPr>
                <w:rFonts w:hint="eastAsia" w:ascii="宋体" w:hAnsi="宋体" w:cs="宋体"/>
                <w:sz w:val="24"/>
                <w:szCs w:val="24"/>
              </w:rPr>
              <w:t>单位名称</w:t>
            </w:r>
          </w:p>
          <w:p w14:paraId="2FDE2D9F">
            <w:pPr>
              <w:snapToGrid w:val="0"/>
              <w:spacing w:line="360" w:lineRule="auto"/>
              <w:jc w:val="center"/>
              <w:rPr>
                <w:rFonts w:hint="eastAsia" w:ascii="宋体" w:hAnsi="宋体" w:cs="宋体"/>
                <w:sz w:val="24"/>
                <w:szCs w:val="24"/>
              </w:rPr>
            </w:pPr>
            <w:r>
              <w:rPr>
                <w:rFonts w:hint="eastAsia" w:ascii="宋体" w:hAnsi="宋体" w:cs="宋体"/>
                <w:sz w:val="24"/>
                <w:szCs w:val="24"/>
              </w:rPr>
              <w:t>（公章或合同章）</w:t>
            </w:r>
          </w:p>
        </w:tc>
        <w:tc>
          <w:tcPr>
            <w:tcW w:w="1109" w:type="pct"/>
            <w:tcBorders>
              <w:top w:val="single" w:color="auto" w:sz="2" w:space="0"/>
              <w:left w:val="single" w:color="auto" w:sz="2" w:space="0"/>
              <w:bottom w:val="single" w:color="auto" w:sz="2" w:space="0"/>
              <w:right w:val="single" w:color="auto" w:sz="2" w:space="0"/>
            </w:tcBorders>
            <w:vAlign w:val="center"/>
          </w:tcPr>
          <w:p w14:paraId="7988F0F1">
            <w:pPr>
              <w:snapToGrid w:val="0"/>
              <w:spacing w:line="360" w:lineRule="auto"/>
              <w:jc w:val="center"/>
              <w:rPr>
                <w:rFonts w:hint="eastAsia" w:ascii="宋体" w:hAnsi="宋体" w:cs="宋体"/>
                <w:sz w:val="24"/>
                <w:szCs w:val="24"/>
              </w:rPr>
            </w:pPr>
            <w:r>
              <w:rPr>
                <w:rFonts w:hint="eastAsia" w:ascii="宋体" w:hAnsi="宋体" w:cs="宋体"/>
                <w:sz w:val="24"/>
                <w:szCs w:val="24"/>
              </w:rPr>
              <w:t>桐城师范高等专科学校</w:t>
            </w:r>
          </w:p>
        </w:tc>
        <w:tc>
          <w:tcPr>
            <w:tcW w:w="1281" w:type="pct"/>
            <w:tcBorders>
              <w:top w:val="single" w:color="auto" w:sz="2" w:space="0"/>
              <w:left w:val="single" w:color="auto" w:sz="2" w:space="0"/>
              <w:bottom w:val="single" w:color="auto" w:sz="2" w:space="0"/>
              <w:right w:val="single" w:color="auto" w:sz="2" w:space="0"/>
            </w:tcBorders>
            <w:vAlign w:val="center"/>
          </w:tcPr>
          <w:p w14:paraId="159058FF">
            <w:pPr>
              <w:snapToGrid w:val="0"/>
              <w:spacing w:line="360" w:lineRule="auto"/>
              <w:jc w:val="center"/>
              <w:rPr>
                <w:rFonts w:hint="eastAsia" w:ascii="宋体" w:hAnsi="宋体" w:cs="宋体"/>
                <w:sz w:val="24"/>
                <w:szCs w:val="24"/>
              </w:rPr>
            </w:pPr>
            <w:r>
              <w:rPr>
                <w:rFonts w:hint="eastAsia" w:ascii="宋体" w:hAnsi="宋体" w:cs="宋体"/>
                <w:sz w:val="24"/>
                <w:szCs w:val="24"/>
              </w:rPr>
              <w:t>单位名称</w:t>
            </w:r>
          </w:p>
          <w:p w14:paraId="5DB2E376">
            <w:pPr>
              <w:snapToGrid w:val="0"/>
              <w:spacing w:line="360" w:lineRule="auto"/>
              <w:jc w:val="center"/>
              <w:rPr>
                <w:rFonts w:hint="eastAsia" w:ascii="宋体" w:hAnsi="宋体" w:cs="宋体"/>
                <w:sz w:val="24"/>
                <w:szCs w:val="24"/>
              </w:rPr>
            </w:pPr>
            <w:r>
              <w:rPr>
                <w:rFonts w:hint="eastAsia" w:ascii="宋体" w:hAnsi="宋体" w:cs="宋体"/>
                <w:sz w:val="24"/>
                <w:szCs w:val="24"/>
              </w:rPr>
              <w:t>（公章或合同章）</w:t>
            </w:r>
          </w:p>
        </w:tc>
        <w:tc>
          <w:tcPr>
            <w:tcW w:w="1166" w:type="pct"/>
            <w:tcBorders>
              <w:top w:val="single" w:color="auto" w:sz="2" w:space="0"/>
              <w:left w:val="single" w:color="auto" w:sz="2" w:space="0"/>
              <w:bottom w:val="single" w:color="auto" w:sz="2" w:space="0"/>
            </w:tcBorders>
            <w:vAlign w:val="center"/>
          </w:tcPr>
          <w:p w14:paraId="32CD01E1">
            <w:pPr>
              <w:snapToGrid w:val="0"/>
              <w:spacing w:line="360" w:lineRule="auto"/>
              <w:jc w:val="center"/>
              <w:rPr>
                <w:rFonts w:hint="eastAsia" w:ascii="宋体" w:hAnsi="宋体" w:cs="宋体"/>
                <w:spacing w:val="20"/>
                <w:sz w:val="24"/>
                <w:szCs w:val="24"/>
              </w:rPr>
            </w:pPr>
          </w:p>
        </w:tc>
      </w:tr>
      <w:tr w14:paraId="06D96A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vMerge w:val="restart"/>
            <w:tcBorders>
              <w:top w:val="single" w:color="auto" w:sz="2" w:space="0"/>
              <w:right w:val="single" w:color="auto" w:sz="2" w:space="0"/>
            </w:tcBorders>
            <w:vAlign w:val="center"/>
          </w:tcPr>
          <w:p w14:paraId="6096F1D1">
            <w:pPr>
              <w:snapToGrid w:val="0"/>
              <w:spacing w:line="360" w:lineRule="auto"/>
              <w:jc w:val="center"/>
              <w:rPr>
                <w:rFonts w:hint="eastAsia" w:ascii="宋体" w:hAnsi="宋体" w:cs="宋体"/>
                <w:sz w:val="24"/>
                <w:szCs w:val="24"/>
              </w:rPr>
            </w:pPr>
            <w:r>
              <w:rPr>
                <w:rFonts w:hint="eastAsia" w:ascii="宋体" w:hAnsi="宋体" w:cs="宋体"/>
                <w:sz w:val="24"/>
                <w:szCs w:val="24"/>
              </w:rPr>
              <w:t>法定代表人</w:t>
            </w:r>
          </w:p>
          <w:p w14:paraId="19C7B82B">
            <w:pPr>
              <w:snapToGrid w:val="0"/>
              <w:spacing w:line="360" w:lineRule="auto"/>
              <w:ind w:firstLine="115" w:firstLineChars="48"/>
              <w:jc w:val="center"/>
              <w:rPr>
                <w:rFonts w:hint="eastAsia" w:ascii="宋体" w:hAnsi="宋体" w:cs="宋体"/>
                <w:sz w:val="24"/>
                <w:szCs w:val="24"/>
              </w:rPr>
            </w:pPr>
            <w:r>
              <w:rPr>
                <w:rFonts w:hint="eastAsia" w:ascii="宋体" w:hAnsi="宋体" w:cs="宋体"/>
                <w:sz w:val="24"/>
                <w:szCs w:val="24"/>
              </w:rPr>
              <w:t>或其委托代理人</w:t>
            </w:r>
          </w:p>
          <w:p w14:paraId="1DF109E9">
            <w:pPr>
              <w:snapToGrid w:val="0"/>
              <w:spacing w:line="360" w:lineRule="auto"/>
              <w:ind w:firstLine="115" w:firstLineChars="48"/>
              <w:jc w:val="center"/>
              <w:rPr>
                <w:rFonts w:hint="eastAsia" w:ascii="宋体" w:hAnsi="宋体" w:cs="宋体"/>
                <w:sz w:val="24"/>
                <w:szCs w:val="24"/>
              </w:rPr>
            </w:pPr>
            <w:r>
              <w:rPr>
                <w:rFonts w:hint="eastAsia" w:ascii="宋体" w:hAnsi="宋体" w:cs="宋体"/>
                <w:sz w:val="24"/>
                <w:szCs w:val="24"/>
              </w:rPr>
              <w:t>（签章）</w:t>
            </w:r>
          </w:p>
        </w:tc>
        <w:tc>
          <w:tcPr>
            <w:tcW w:w="1109" w:type="pct"/>
            <w:vMerge w:val="restart"/>
            <w:tcBorders>
              <w:top w:val="single" w:color="auto" w:sz="2" w:space="0"/>
              <w:left w:val="single" w:color="auto" w:sz="2" w:space="0"/>
              <w:right w:val="single" w:color="auto" w:sz="2" w:space="0"/>
            </w:tcBorders>
            <w:vAlign w:val="center"/>
          </w:tcPr>
          <w:p w14:paraId="431603A4">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right w:val="single" w:color="auto" w:sz="2" w:space="0"/>
            </w:tcBorders>
            <w:vAlign w:val="center"/>
          </w:tcPr>
          <w:p w14:paraId="3E9675CE">
            <w:pPr>
              <w:snapToGrid w:val="0"/>
              <w:spacing w:line="360" w:lineRule="auto"/>
              <w:jc w:val="center"/>
              <w:rPr>
                <w:rFonts w:hint="eastAsia" w:ascii="宋体" w:hAnsi="宋体" w:cs="宋体"/>
                <w:sz w:val="24"/>
                <w:szCs w:val="24"/>
              </w:rPr>
            </w:pPr>
            <w:r>
              <w:rPr>
                <w:rFonts w:hint="eastAsia" w:ascii="宋体" w:hAnsi="宋体" w:cs="宋体"/>
                <w:sz w:val="24"/>
                <w:szCs w:val="24"/>
              </w:rPr>
              <w:t>法定代表人</w:t>
            </w:r>
          </w:p>
          <w:p w14:paraId="2D3247C3">
            <w:pPr>
              <w:snapToGrid w:val="0"/>
              <w:spacing w:line="360" w:lineRule="auto"/>
              <w:jc w:val="center"/>
              <w:rPr>
                <w:rFonts w:hint="eastAsia" w:ascii="宋体" w:hAnsi="宋体" w:cs="宋体"/>
                <w:sz w:val="24"/>
                <w:szCs w:val="24"/>
              </w:rPr>
            </w:pPr>
            <w:r>
              <w:rPr>
                <w:rFonts w:hint="eastAsia" w:ascii="宋体" w:hAnsi="宋体" w:cs="宋体"/>
                <w:sz w:val="24"/>
                <w:szCs w:val="24"/>
              </w:rPr>
              <w:t>或其委托代理人</w:t>
            </w:r>
          </w:p>
          <w:p w14:paraId="7CF7DB34">
            <w:pPr>
              <w:snapToGrid w:val="0"/>
              <w:spacing w:line="360" w:lineRule="auto"/>
              <w:jc w:val="center"/>
              <w:rPr>
                <w:rFonts w:hint="eastAsia" w:ascii="宋体" w:hAnsi="宋体" w:cs="宋体"/>
                <w:sz w:val="24"/>
                <w:szCs w:val="24"/>
              </w:rPr>
            </w:pPr>
            <w:r>
              <w:rPr>
                <w:rFonts w:hint="eastAsia" w:ascii="宋体" w:hAnsi="宋体" w:cs="宋体"/>
                <w:sz w:val="24"/>
                <w:szCs w:val="24"/>
              </w:rPr>
              <w:t>（签章）</w:t>
            </w:r>
          </w:p>
        </w:tc>
        <w:tc>
          <w:tcPr>
            <w:tcW w:w="1166" w:type="pct"/>
            <w:tcBorders>
              <w:top w:val="single" w:color="auto" w:sz="2" w:space="0"/>
              <w:left w:val="single" w:color="auto" w:sz="2" w:space="0"/>
              <w:bottom w:val="single" w:color="auto" w:sz="2" w:space="0"/>
            </w:tcBorders>
            <w:vAlign w:val="center"/>
          </w:tcPr>
          <w:p w14:paraId="4BA15226">
            <w:pPr>
              <w:snapToGrid w:val="0"/>
              <w:spacing w:line="360" w:lineRule="auto"/>
              <w:jc w:val="center"/>
              <w:rPr>
                <w:rFonts w:hint="eastAsia" w:ascii="宋体" w:hAnsi="宋体" w:cs="宋体"/>
                <w:sz w:val="24"/>
                <w:szCs w:val="24"/>
              </w:rPr>
            </w:pPr>
          </w:p>
        </w:tc>
      </w:tr>
      <w:tr w14:paraId="680F07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vMerge w:val="continue"/>
            <w:tcBorders>
              <w:bottom w:val="single" w:color="auto" w:sz="2" w:space="0"/>
              <w:right w:val="single" w:color="auto" w:sz="2" w:space="0"/>
            </w:tcBorders>
            <w:vAlign w:val="center"/>
          </w:tcPr>
          <w:p w14:paraId="5DCB092D">
            <w:pPr>
              <w:snapToGrid w:val="0"/>
              <w:spacing w:line="360" w:lineRule="auto"/>
              <w:jc w:val="center"/>
              <w:rPr>
                <w:rFonts w:hint="eastAsia" w:ascii="宋体" w:hAnsi="宋体" w:cs="宋体"/>
                <w:sz w:val="24"/>
                <w:szCs w:val="24"/>
              </w:rPr>
            </w:pPr>
          </w:p>
        </w:tc>
        <w:tc>
          <w:tcPr>
            <w:tcW w:w="1109" w:type="pct"/>
            <w:vMerge w:val="continue"/>
            <w:tcBorders>
              <w:left w:val="single" w:color="auto" w:sz="2" w:space="0"/>
              <w:bottom w:val="single" w:color="auto" w:sz="2" w:space="0"/>
              <w:right w:val="single" w:color="auto" w:sz="2" w:space="0"/>
            </w:tcBorders>
            <w:vAlign w:val="center"/>
          </w:tcPr>
          <w:p w14:paraId="512BF277">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1E01A762">
            <w:pPr>
              <w:snapToGrid w:val="0"/>
              <w:spacing w:line="360" w:lineRule="auto"/>
              <w:jc w:val="center"/>
              <w:rPr>
                <w:rFonts w:hint="eastAsia" w:ascii="宋体" w:hAnsi="宋体" w:cs="宋体"/>
                <w:sz w:val="24"/>
                <w:szCs w:val="24"/>
              </w:rPr>
            </w:pPr>
            <w:r>
              <w:rPr>
                <w:rFonts w:hint="eastAsia" w:ascii="宋体" w:hAnsi="宋体" w:cs="宋体"/>
                <w:sz w:val="24"/>
                <w:szCs w:val="24"/>
              </w:rPr>
              <w:t>拥有者性别</w:t>
            </w:r>
          </w:p>
        </w:tc>
        <w:tc>
          <w:tcPr>
            <w:tcW w:w="1166" w:type="pct"/>
            <w:tcBorders>
              <w:top w:val="single" w:color="auto" w:sz="2" w:space="0"/>
              <w:left w:val="single" w:color="auto" w:sz="2" w:space="0"/>
              <w:bottom w:val="single" w:color="auto" w:sz="2" w:space="0"/>
            </w:tcBorders>
            <w:vAlign w:val="center"/>
          </w:tcPr>
          <w:p w14:paraId="407F2083">
            <w:pPr>
              <w:snapToGrid w:val="0"/>
              <w:spacing w:line="360" w:lineRule="auto"/>
              <w:jc w:val="center"/>
              <w:rPr>
                <w:rFonts w:hint="eastAsia" w:ascii="宋体" w:hAnsi="宋体" w:cs="宋体"/>
                <w:spacing w:val="20"/>
                <w:sz w:val="24"/>
                <w:szCs w:val="24"/>
              </w:rPr>
            </w:pPr>
          </w:p>
        </w:tc>
      </w:tr>
      <w:tr w14:paraId="3A004E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23911FAF">
            <w:pPr>
              <w:snapToGrid w:val="0"/>
              <w:spacing w:line="360" w:lineRule="auto"/>
              <w:jc w:val="center"/>
              <w:rPr>
                <w:rFonts w:hint="eastAsia" w:ascii="宋体" w:hAnsi="宋体" w:cs="宋体"/>
                <w:sz w:val="24"/>
                <w:szCs w:val="24"/>
              </w:rPr>
            </w:pPr>
            <w:r>
              <w:rPr>
                <w:rFonts w:hint="eastAsia" w:ascii="宋体" w:hAnsi="宋体" w:cs="宋体"/>
                <w:sz w:val="24"/>
                <w:szCs w:val="24"/>
              </w:rPr>
              <w:t>住  所</w:t>
            </w:r>
          </w:p>
        </w:tc>
        <w:tc>
          <w:tcPr>
            <w:tcW w:w="1109" w:type="pct"/>
            <w:tcBorders>
              <w:top w:val="single" w:color="auto" w:sz="2" w:space="0"/>
              <w:left w:val="single" w:color="auto" w:sz="2" w:space="0"/>
              <w:bottom w:val="single" w:color="auto" w:sz="2" w:space="0"/>
              <w:right w:val="single" w:color="auto" w:sz="2" w:space="0"/>
            </w:tcBorders>
            <w:vAlign w:val="center"/>
          </w:tcPr>
          <w:p w14:paraId="117933E0">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71C7CDCC">
            <w:pPr>
              <w:snapToGrid w:val="0"/>
              <w:spacing w:line="360" w:lineRule="auto"/>
              <w:jc w:val="center"/>
              <w:rPr>
                <w:rFonts w:hint="eastAsia" w:ascii="宋体" w:hAnsi="宋体" w:cs="宋体"/>
                <w:sz w:val="24"/>
                <w:szCs w:val="24"/>
              </w:rPr>
            </w:pPr>
            <w:r>
              <w:rPr>
                <w:rFonts w:hint="eastAsia" w:ascii="宋体" w:hAnsi="宋体" w:cs="宋体"/>
                <w:sz w:val="24"/>
                <w:szCs w:val="24"/>
              </w:rPr>
              <w:t>住  所</w:t>
            </w:r>
          </w:p>
        </w:tc>
        <w:tc>
          <w:tcPr>
            <w:tcW w:w="1166" w:type="pct"/>
            <w:tcBorders>
              <w:top w:val="single" w:color="auto" w:sz="2" w:space="0"/>
              <w:left w:val="single" w:color="auto" w:sz="2" w:space="0"/>
              <w:bottom w:val="single" w:color="auto" w:sz="2" w:space="0"/>
            </w:tcBorders>
            <w:vAlign w:val="center"/>
          </w:tcPr>
          <w:p w14:paraId="192EF882">
            <w:pPr>
              <w:snapToGrid w:val="0"/>
              <w:spacing w:line="360" w:lineRule="auto"/>
              <w:jc w:val="center"/>
              <w:rPr>
                <w:rFonts w:hint="eastAsia" w:ascii="宋体" w:hAnsi="宋体" w:cs="宋体"/>
                <w:spacing w:val="20"/>
                <w:sz w:val="24"/>
                <w:szCs w:val="24"/>
              </w:rPr>
            </w:pPr>
          </w:p>
        </w:tc>
      </w:tr>
      <w:tr w14:paraId="4DD3BC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38C4AC21">
            <w:pPr>
              <w:snapToGrid w:val="0"/>
              <w:spacing w:line="360" w:lineRule="auto"/>
              <w:jc w:val="center"/>
              <w:rPr>
                <w:rFonts w:hint="eastAsia" w:ascii="宋体" w:hAnsi="宋体" w:cs="宋体"/>
                <w:sz w:val="24"/>
                <w:szCs w:val="24"/>
              </w:rPr>
            </w:pPr>
            <w:r>
              <w:rPr>
                <w:rFonts w:hint="eastAsia" w:ascii="宋体" w:hAnsi="宋体" w:cs="宋体"/>
                <w:sz w:val="24"/>
                <w:szCs w:val="24"/>
              </w:rPr>
              <w:t>联 系 人</w:t>
            </w:r>
          </w:p>
        </w:tc>
        <w:tc>
          <w:tcPr>
            <w:tcW w:w="1109" w:type="pct"/>
            <w:tcBorders>
              <w:top w:val="single" w:color="auto" w:sz="2" w:space="0"/>
              <w:left w:val="single" w:color="auto" w:sz="2" w:space="0"/>
              <w:bottom w:val="single" w:color="auto" w:sz="2" w:space="0"/>
              <w:right w:val="single" w:color="auto" w:sz="2" w:space="0"/>
            </w:tcBorders>
            <w:vAlign w:val="center"/>
          </w:tcPr>
          <w:p w14:paraId="6C0C5144">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2F969165">
            <w:pPr>
              <w:snapToGrid w:val="0"/>
              <w:spacing w:line="360" w:lineRule="auto"/>
              <w:jc w:val="center"/>
              <w:rPr>
                <w:rFonts w:hint="eastAsia" w:ascii="宋体" w:hAnsi="宋体" w:cs="宋体"/>
                <w:sz w:val="24"/>
                <w:szCs w:val="24"/>
              </w:rPr>
            </w:pPr>
            <w:r>
              <w:rPr>
                <w:rFonts w:hint="eastAsia" w:ascii="宋体" w:hAnsi="宋体" w:cs="宋体"/>
                <w:sz w:val="24"/>
                <w:szCs w:val="24"/>
              </w:rPr>
              <w:t>联 系 人</w:t>
            </w:r>
          </w:p>
        </w:tc>
        <w:tc>
          <w:tcPr>
            <w:tcW w:w="1166" w:type="pct"/>
            <w:tcBorders>
              <w:top w:val="single" w:color="auto" w:sz="2" w:space="0"/>
              <w:left w:val="single" w:color="auto" w:sz="2" w:space="0"/>
              <w:bottom w:val="single" w:color="auto" w:sz="2" w:space="0"/>
            </w:tcBorders>
            <w:vAlign w:val="center"/>
          </w:tcPr>
          <w:p w14:paraId="3E54948D">
            <w:pPr>
              <w:snapToGrid w:val="0"/>
              <w:spacing w:line="360" w:lineRule="auto"/>
              <w:jc w:val="center"/>
              <w:rPr>
                <w:rFonts w:hint="eastAsia" w:ascii="宋体" w:hAnsi="宋体" w:cs="宋体"/>
                <w:spacing w:val="20"/>
                <w:sz w:val="24"/>
                <w:szCs w:val="24"/>
              </w:rPr>
            </w:pPr>
          </w:p>
        </w:tc>
      </w:tr>
      <w:tr w14:paraId="60CBEB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4EEB3F45">
            <w:pPr>
              <w:snapToGrid w:val="0"/>
              <w:spacing w:line="360" w:lineRule="auto"/>
              <w:jc w:val="center"/>
              <w:rPr>
                <w:rFonts w:hint="eastAsia" w:ascii="宋体" w:hAnsi="宋体" w:cs="宋体"/>
                <w:sz w:val="24"/>
                <w:szCs w:val="24"/>
              </w:rPr>
            </w:pPr>
            <w:r>
              <w:rPr>
                <w:rFonts w:hint="eastAsia" w:ascii="宋体" w:hAnsi="宋体" w:cs="宋体"/>
                <w:sz w:val="24"/>
                <w:szCs w:val="24"/>
              </w:rPr>
              <w:t>联系电话</w:t>
            </w:r>
          </w:p>
        </w:tc>
        <w:tc>
          <w:tcPr>
            <w:tcW w:w="1109" w:type="pct"/>
            <w:tcBorders>
              <w:top w:val="single" w:color="auto" w:sz="2" w:space="0"/>
              <w:left w:val="single" w:color="auto" w:sz="2" w:space="0"/>
              <w:bottom w:val="single" w:color="auto" w:sz="2" w:space="0"/>
              <w:right w:val="single" w:color="auto" w:sz="2" w:space="0"/>
            </w:tcBorders>
            <w:vAlign w:val="center"/>
          </w:tcPr>
          <w:p w14:paraId="31E7127C">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08BCDF6A">
            <w:pPr>
              <w:snapToGrid w:val="0"/>
              <w:spacing w:line="360" w:lineRule="auto"/>
              <w:jc w:val="center"/>
              <w:rPr>
                <w:rFonts w:hint="eastAsia" w:ascii="宋体" w:hAnsi="宋体" w:cs="宋体"/>
                <w:sz w:val="24"/>
                <w:szCs w:val="24"/>
              </w:rPr>
            </w:pPr>
            <w:r>
              <w:rPr>
                <w:rFonts w:hint="eastAsia" w:ascii="宋体" w:hAnsi="宋体" w:cs="宋体"/>
                <w:sz w:val="24"/>
                <w:szCs w:val="24"/>
              </w:rPr>
              <w:t>联系电话</w:t>
            </w:r>
          </w:p>
        </w:tc>
        <w:tc>
          <w:tcPr>
            <w:tcW w:w="1166" w:type="pct"/>
            <w:tcBorders>
              <w:top w:val="single" w:color="auto" w:sz="2" w:space="0"/>
              <w:left w:val="single" w:color="auto" w:sz="2" w:space="0"/>
              <w:bottom w:val="single" w:color="auto" w:sz="2" w:space="0"/>
            </w:tcBorders>
            <w:vAlign w:val="center"/>
          </w:tcPr>
          <w:p w14:paraId="50D39A1B">
            <w:pPr>
              <w:snapToGrid w:val="0"/>
              <w:spacing w:line="360" w:lineRule="auto"/>
              <w:jc w:val="center"/>
              <w:rPr>
                <w:rFonts w:hint="eastAsia" w:ascii="宋体" w:hAnsi="宋体" w:cs="宋体"/>
                <w:spacing w:val="20"/>
                <w:sz w:val="24"/>
                <w:szCs w:val="24"/>
              </w:rPr>
            </w:pPr>
          </w:p>
        </w:tc>
      </w:tr>
      <w:tr w14:paraId="7DECFB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0A0DEB19">
            <w:pPr>
              <w:snapToGrid w:val="0"/>
              <w:spacing w:line="360" w:lineRule="auto"/>
              <w:jc w:val="center"/>
              <w:rPr>
                <w:rFonts w:hint="eastAsia" w:ascii="宋体" w:hAnsi="宋体" w:cs="宋体"/>
                <w:sz w:val="24"/>
                <w:szCs w:val="24"/>
              </w:rPr>
            </w:pPr>
            <w:r>
              <w:rPr>
                <w:rFonts w:hint="eastAsia" w:ascii="宋体" w:hAnsi="宋体" w:cs="宋体"/>
                <w:sz w:val="24"/>
                <w:szCs w:val="24"/>
              </w:rPr>
              <w:t>通信地址</w:t>
            </w:r>
          </w:p>
        </w:tc>
        <w:tc>
          <w:tcPr>
            <w:tcW w:w="1109" w:type="pct"/>
            <w:tcBorders>
              <w:top w:val="single" w:color="auto" w:sz="2" w:space="0"/>
              <w:left w:val="single" w:color="auto" w:sz="2" w:space="0"/>
              <w:bottom w:val="single" w:color="auto" w:sz="2" w:space="0"/>
              <w:right w:val="single" w:color="auto" w:sz="2" w:space="0"/>
            </w:tcBorders>
            <w:vAlign w:val="center"/>
          </w:tcPr>
          <w:p w14:paraId="5300CB90">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608E36F7">
            <w:pPr>
              <w:snapToGrid w:val="0"/>
              <w:spacing w:line="360" w:lineRule="auto"/>
              <w:jc w:val="center"/>
              <w:rPr>
                <w:rFonts w:hint="eastAsia" w:ascii="宋体" w:hAnsi="宋体" w:cs="宋体"/>
                <w:sz w:val="24"/>
                <w:szCs w:val="24"/>
              </w:rPr>
            </w:pPr>
            <w:r>
              <w:rPr>
                <w:rFonts w:hint="eastAsia" w:ascii="宋体" w:hAnsi="宋体" w:cs="宋体"/>
                <w:sz w:val="24"/>
                <w:szCs w:val="24"/>
              </w:rPr>
              <w:t>通信地址</w:t>
            </w:r>
          </w:p>
        </w:tc>
        <w:tc>
          <w:tcPr>
            <w:tcW w:w="1166" w:type="pct"/>
            <w:tcBorders>
              <w:top w:val="single" w:color="auto" w:sz="2" w:space="0"/>
              <w:left w:val="single" w:color="auto" w:sz="2" w:space="0"/>
              <w:bottom w:val="single" w:color="auto" w:sz="2" w:space="0"/>
            </w:tcBorders>
            <w:vAlign w:val="center"/>
          </w:tcPr>
          <w:p w14:paraId="4ADF91E6">
            <w:pPr>
              <w:snapToGrid w:val="0"/>
              <w:spacing w:line="360" w:lineRule="auto"/>
              <w:jc w:val="center"/>
              <w:rPr>
                <w:rFonts w:hint="eastAsia" w:ascii="宋体" w:hAnsi="宋体" w:cs="宋体"/>
                <w:spacing w:val="20"/>
                <w:sz w:val="24"/>
                <w:szCs w:val="24"/>
              </w:rPr>
            </w:pPr>
          </w:p>
        </w:tc>
      </w:tr>
      <w:tr w14:paraId="646077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076C9FEE">
            <w:pPr>
              <w:snapToGrid w:val="0"/>
              <w:spacing w:line="360" w:lineRule="auto"/>
              <w:jc w:val="center"/>
              <w:rPr>
                <w:rFonts w:hint="eastAsia" w:ascii="宋体" w:hAnsi="宋体" w:cs="宋体"/>
                <w:sz w:val="24"/>
                <w:szCs w:val="24"/>
              </w:rPr>
            </w:pPr>
            <w:r>
              <w:rPr>
                <w:rFonts w:hint="eastAsia" w:ascii="宋体" w:hAnsi="宋体" w:cs="宋体"/>
                <w:sz w:val="24"/>
                <w:szCs w:val="24"/>
              </w:rPr>
              <w:t>邮政编码</w:t>
            </w:r>
          </w:p>
        </w:tc>
        <w:tc>
          <w:tcPr>
            <w:tcW w:w="1109" w:type="pct"/>
            <w:tcBorders>
              <w:top w:val="single" w:color="auto" w:sz="2" w:space="0"/>
              <w:left w:val="single" w:color="auto" w:sz="2" w:space="0"/>
              <w:bottom w:val="single" w:color="auto" w:sz="2" w:space="0"/>
              <w:right w:val="single" w:color="auto" w:sz="2" w:space="0"/>
            </w:tcBorders>
            <w:vAlign w:val="center"/>
          </w:tcPr>
          <w:p w14:paraId="6D4011F3">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4DFD82B9">
            <w:pPr>
              <w:snapToGrid w:val="0"/>
              <w:spacing w:line="360" w:lineRule="auto"/>
              <w:jc w:val="center"/>
              <w:rPr>
                <w:rFonts w:hint="eastAsia" w:ascii="宋体" w:hAnsi="宋体" w:cs="宋体"/>
                <w:sz w:val="24"/>
                <w:szCs w:val="24"/>
              </w:rPr>
            </w:pPr>
            <w:r>
              <w:rPr>
                <w:rFonts w:hint="eastAsia" w:ascii="宋体" w:hAnsi="宋体" w:cs="宋体"/>
                <w:sz w:val="24"/>
                <w:szCs w:val="24"/>
              </w:rPr>
              <w:t>邮政编码</w:t>
            </w:r>
          </w:p>
        </w:tc>
        <w:tc>
          <w:tcPr>
            <w:tcW w:w="1166" w:type="pct"/>
            <w:tcBorders>
              <w:top w:val="single" w:color="auto" w:sz="2" w:space="0"/>
              <w:left w:val="single" w:color="auto" w:sz="2" w:space="0"/>
              <w:bottom w:val="single" w:color="auto" w:sz="2" w:space="0"/>
            </w:tcBorders>
            <w:vAlign w:val="center"/>
          </w:tcPr>
          <w:p w14:paraId="118CDF55">
            <w:pPr>
              <w:snapToGrid w:val="0"/>
              <w:spacing w:line="360" w:lineRule="auto"/>
              <w:jc w:val="center"/>
              <w:rPr>
                <w:rFonts w:hint="eastAsia" w:ascii="宋体" w:hAnsi="宋体" w:cs="宋体"/>
                <w:spacing w:val="20"/>
                <w:sz w:val="24"/>
                <w:szCs w:val="24"/>
              </w:rPr>
            </w:pPr>
          </w:p>
        </w:tc>
      </w:tr>
      <w:tr w14:paraId="302FF4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63D4549E">
            <w:pPr>
              <w:snapToGrid w:val="0"/>
              <w:spacing w:line="360" w:lineRule="auto"/>
              <w:jc w:val="center"/>
              <w:rPr>
                <w:rFonts w:hint="eastAsia" w:ascii="宋体" w:hAnsi="宋体" w:cs="宋体"/>
                <w:sz w:val="24"/>
                <w:szCs w:val="24"/>
              </w:rPr>
            </w:pPr>
            <w:r>
              <w:rPr>
                <w:rFonts w:hint="eastAsia" w:ascii="宋体" w:hAnsi="宋体" w:cs="宋体"/>
                <w:sz w:val="24"/>
                <w:szCs w:val="24"/>
              </w:rPr>
              <w:t>电子邮箱</w:t>
            </w:r>
          </w:p>
        </w:tc>
        <w:tc>
          <w:tcPr>
            <w:tcW w:w="1109" w:type="pct"/>
            <w:tcBorders>
              <w:top w:val="single" w:color="auto" w:sz="2" w:space="0"/>
              <w:left w:val="single" w:color="auto" w:sz="2" w:space="0"/>
              <w:bottom w:val="single" w:color="auto" w:sz="2" w:space="0"/>
              <w:right w:val="single" w:color="auto" w:sz="2" w:space="0"/>
            </w:tcBorders>
            <w:vAlign w:val="center"/>
          </w:tcPr>
          <w:p w14:paraId="63BF0E4F">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3394CF88">
            <w:pPr>
              <w:snapToGrid w:val="0"/>
              <w:spacing w:line="360" w:lineRule="auto"/>
              <w:jc w:val="center"/>
              <w:rPr>
                <w:rFonts w:hint="eastAsia" w:ascii="宋体" w:hAnsi="宋体" w:cs="宋体"/>
                <w:sz w:val="24"/>
                <w:szCs w:val="24"/>
              </w:rPr>
            </w:pPr>
            <w:r>
              <w:rPr>
                <w:rFonts w:hint="eastAsia" w:ascii="宋体" w:hAnsi="宋体" w:cs="宋体"/>
                <w:sz w:val="24"/>
                <w:szCs w:val="24"/>
              </w:rPr>
              <w:t>电子邮箱</w:t>
            </w:r>
          </w:p>
        </w:tc>
        <w:tc>
          <w:tcPr>
            <w:tcW w:w="1166" w:type="pct"/>
            <w:tcBorders>
              <w:top w:val="single" w:color="auto" w:sz="2" w:space="0"/>
              <w:left w:val="single" w:color="auto" w:sz="2" w:space="0"/>
              <w:bottom w:val="single" w:color="auto" w:sz="2" w:space="0"/>
            </w:tcBorders>
            <w:vAlign w:val="center"/>
          </w:tcPr>
          <w:p w14:paraId="6EEA5E48">
            <w:pPr>
              <w:snapToGrid w:val="0"/>
              <w:spacing w:line="360" w:lineRule="auto"/>
              <w:jc w:val="center"/>
              <w:rPr>
                <w:rFonts w:hint="eastAsia" w:ascii="宋体" w:hAnsi="宋体" w:cs="宋体"/>
                <w:spacing w:val="20"/>
                <w:sz w:val="24"/>
                <w:szCs w:val="24"/>
              </w:rPr>
            </w:pPr>
          </w:p>
        </w:tc>
      </w:tr>
      <w:tr w14:paraId="1362F2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3AB484B4">
            <w:pPr>
              <w:snapToGrid w:val="0"/>
              <w:spacing w:line="360" w:lineRule="auto"/>
              <w:jc w:val="center"/>
              <w:rPr>
                <w:rFonts w:hint="eastAsia" w:ascii="宋体" w:hAnsi="宋体" w:cs="宋体"/>
                <w:sz w:val="24"/>
                <w:szCs w:val="24"/>
              </w:rPr>
            </w:pPr>
            <w:r>
              <w:rPr>
                <w:rFonts w:hint="eastAsia" w:ascii="宋体" w:hAnsi="宋体" w:cs="宋体"/>
                <w:sz w:val="24"/>
                <w:szCs w:val="24"/>
              </w:rPr>
              <w:t>统一社会信用代码</w:t>
            </w:r>
          </w:p>
        </w:tc>
        <w:tc>
          <w:tcPr>
            <w:tcW w:w="1109" w:type="pct"/>
            <w:tcBorders>
              <w:top w:val="single" w:color="auto" w:sz="2" w:space="0"/>
              <w:left w:val="single" w:color="auto" w:sz="2" w:space="0"/>
              <w:bottom w:val="single" w:color="auto" w:sz="2" w:space="0"/>
              <w:right w:val="single" w:color="auto" w:sz="2" w:space="0"/>
            </w:tcBorders>
            <w:vAlign w:val="center"/>
          </w:tcPr>
          <w:p w14:paraId="3A53BF83">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39E6E16D">
            <w:pPr>
              <w:snapToGrid w:val="0"/>
              <w:spacing w:line="360" w:lineRule="auto"/>
              <w:jc w:val="center"/>
              <w:rPr>
                <w:rFonts w:hint="eastAsia" w:ascii="宋体" w:hAnsi="宋体" w:cs="宋体"/>
                <w:sz w:val="24"/>
                <w:szCs w:val="24"/>
              </w:rPr>
            </w:pPr>
            <w:r>
              <w:rPr>
                <w:rFonts w:hint="eastAsia" w:ascii="宋体" w:hAnsi="宋体" w:cs="宋体"/>
                <w:sz w:val="24"/>
                <w:szCs w:val="24"/>
              </w:rPr>
              <w:t>统一社会信用代码</w:t>
            </w:r>
          </w:p>
        </w:tc>
        <w:tc>
          <w:tcPr>
            <w:tcW w:w="1166" w:type="pct"/>
            <w:tcBorders>
              <w:top w:val="single" w:color="auto" w:sz="2" w:space="0"/>
              <w:left w:val="single" w:color="auto" w:sz="2" w:space="0"/>
              <w:bottom w:val="single" w:color="auto" w:sz="2" w:space="0"/>
            </w:tcBorders>
            <w:vAlign w:val="center"/>
          </w:tcPr>
          <w:p w14:paraId="6962EE75">
            <w:pPr>
              <w:snapToGrid w:val="0"/>
              <w:spacing w:line="360" w:lineRule="auto"/>
              <w:jc w:val="center"/>
              <w:rPr>
                <w:rFonts w:hint="eastAsia" w:ascii="宋体" w:hAnsi="宋体" w:cs="宋体"/>
                <w:spacing w:val="20"/>
                <w:sz w:val="24"/>
                <w:szCs w:val="24"/>
              </w:rPr>
            </w:pPr>
          </w:p>
        </w:tc>
      </w:tr>
      <w:tr w14:paraId="67F763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560C0BDC">
            <w:pPr>
              <w:snapToGrid w:val="0"/>
              <w:spacing w:line="360" w:lineRule="auto"/>
              <w:jc w:val="center"/>
              <w:rPr>
                <w:rFonts w:hint="eastAsia" w:ascii="宋体" w:hAnsi="宋体" w:cs="宋体"/>
                <w:sz w:val="24"/>
                <w:szCs w:val="24"/>
              </w:rPr>
            </w:pPr>
          </w:p>
        </w:tc>
        <w:tc>
          <w:tcPr>
            <w:tcW w:w="1109" w:type="pct"/>
            <w:tcBorders>
              <w:top w:val="single" w:color="auto" w:sz="2" w:space="0"/>
              <w:left w:val="single" w:color="auto" w:sz="2" w:space="0"/>
              <w:bottom w:val="single" w:color="auto" w:sz="2" w:space="0"/>
              <w:right w:val="single" w:color="auto" w:sz="2" w:space="0"/>
            </w:tcBorders>
            <w:vAlign w:val="center"/>
          </w:tcPr>
          <w:p w14:paraId="272FCF44">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702F1D18">
            <w:pPr>
              <w:snapToGrid w:val="0"/>
              <w:spacing w:line="360" w:lineRule="auto"/>
              <w:jc w:val="center"/>
              <w:rPr>
                <w:rFonts w:hint="eastAsia" w:ascii="宋体" w:hAnsi="宋体" w:cs="宋体"/>
                <w:sz w:val="24"/>
                <w:szCs w:val="24"/>
              </w:rPr>
            </w:pPr>
            <w:r>
              <w:rPr>
                <w:rFonts w:hint="eastAsia" w:ascii="宋体" w:hAnsi="宋体" w:cs="宋体"/>
                <w:sz w:val="24"/>
                <w:szCs w:val="24"/>
              </w:rPr>
              <w:t>开户名称</w:t>
            </w:r>
          </w:p>
        </w:tc>
        <w:tc>
          <w:tcPr>
            <w:tcW w:w="1166" w:type="pct"/>
            <w:tcBorders>
              <w:top w:val="single" w:color="auto" w:sz="2" w:space="0"/>
              <w:left w:val="single" w:color="auto" w:sz="2" w:space="0"/>
              <w:bottom w:val="single" w:color="auto" w:sz="2" w:space="0"/>
            </w:tcBorders>
            <w:vAlign w:val="center"/>
          </w:tcPr>
          <w:p w14:paraId="5A7C272A">
            <w:pPr>
              <w:snapToGrid w:val="0"/>
              <w:spacing w:line="360" w:lineRule="auto"/>
              <w:jc w:val="center"/>
              <w:rPr>
                <w:rFonts w:hint="eastAsia" w:ascii="宋体" w:hAnsi="宋体" w:cs="宋体"/>
                <w:spacing w:val="20"/>
                <w:sz w:val="24"/>
                <w:szCs w:val="24"/>
              </w:rPr>
            </w:pPr>
          </w:p>
        </w:tc>
      </w:tr>
      <w:tr w14:paraId="7D36A5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18AE3F64">
            <w:pPr>
              <w:snapToGrid w:val="0"/>
              <w:spacing w:line="360" w:lineRule="auto"/>
              <w:jc w:val="center"/>
              <w:rPr>
                <w:rFonts w:hint="eastAsia" w:ascii="宋体" w:hAnsi="宋体" w:cs="宋体"/>
                <w:sz w:val="24"/>
                <w:szCs w:val="24"/>
              </w:rPr>
            </w:pPr>
          </w:p>
        </w:tc>
        <w:tc>
          <w:tcPr>
            <w:tcW w:w="1109" w:type="pct"/>
            <w:tcBorders>
              <w:top w:val="single" w:color="auto" w:sz="2" w:space="0"/>
              <w:left w:val="single" w:color="auto" w:sz="2" w:space="0"/>
              <w:bottom w:val="single" w:color="auto" w:sz="2" w:space="0"/>
              <w:right w:val="single" w:color="auto" w:sz="2" w:space="0"/>
            </w:tcBorders>
            <w:vAlign w:val="center"/>
          </w:tcPr>
          <w:p w14:paraId="6FC29D4B">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18192868">
            <w:pPr>
              <w:snapToGrid w:val="0"/>
              <w:spacing w:line="360" w:lineRule="auto"/>
              <w:jc w:val="center"/>
              <w:rPr>
                <w:rFonts w:hint="eastAsia" w:ascii="宋体" w:hAnsi="宋体" w:cs="宋体"/>
                <w:sz w:val="24"/>
                <w:szCs w:val="24"/>
              </w:rPr>
            </w:pPr>
            <w:r>
              <w:rPr>
                <w:rFonts w:hint="eastAsia" w:ascii="宋体" w:hAnsi="宋体" w:cs="宋体"/>
                <w:sz w:val="24"/>
                <w:szCs w:val="24"/>
              </w:rPr>
              <w:t>开户银行</w:t>
            </w:r>
          </w:p>
        </w:tc>
        <w:tc>
          <w:tcPr>
            <w:tcW w:w="1166" w:type="pct"/>
            <w:tcBorders>
              <w:top w:val="single" w:color="auto" w:sz="2" w:space="0"/>
              <w:left w:val="single" w:color="auto" w:sz="2" w:space="0"/>
              <w:bottom w:val="single" w:color="auto" w:sz="2" w:space="0"/>
            </w:tcBorders>
            <w:vAlign w:val="center"/>
          </w:tcPr>
          <w:p w14:paraId="182FCF76">
            <w:pPr>
              <w:snapToGrid w:val="0"/>
              <w:spacing w:line="360" w:lineRule="auto"/>
              <w:jc w:val="center"/>
              <w:rPr>
                <w:rFonts w:hint="eastAsia" w:ascii="宋体" w:hAnsi="宋体" w:cs="宋体"/>
                <w:spacing w:val="20"/>
                <w:sz w:val="24"/>
                <w:szCs w:val="24"/>
              </w:rPr>
            </w:pPr>
          </w:p>
        </w:tc>
      </w:tr>
      <w:tr w14:paraId="2B2864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3481A652">
            <w:pPr>
              <w:snapToGrid w:val="0"/>
              <w:spacing w:line="360" w:lineRule="auto"/>
              <w:jc w:val="center"/>
              <w:rPr>
                <w:rFonts w:hint="eastAsia" w:ascii="宋体" w:hAnsi="宋体" w:cs="宋体"/>
                <w:sz w:val="24"/>
                <w:szCs w:val="24"/>
              </w:rPr>
            </w:pPr>
          </w:p>
        </w:tc>
        <w:tc>
          <w:tcPr>
            <w:tcW w:w="1109" w:type="pct"/>
            <w:tcBorders>
              <w:top w:val="single" w:color="auto" w:sz="2" w:space="0"/>
              <w:left w:val="single" w:color="auto" w:sz="2" w:space="0"/>
              <w:bottom w:val="single" w:color="auto" w:sz="2" w:space="0"/>
              <w:right w:val="single" w:color="auto" w:sz="2" w:space="0"/>
            </w:tcBorders>
            <w:vAlign w:val="center"/>
          </w:tcPr>
          <w:p w14:paraId="6CD65D18">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76BE6298">
            <w:pPr>
              <w:snapToGrid w:val="0"/>
              <w:spacing w:line="360" w:lineRule="auto"/>
              <w:jc w:val="center"/>
              <w:rPr>
                <w:rFonts w:hint="eastAsia" w:ascii="宋体" w:hAnsi="宋体" w:cs="宋体"/>
                <w:sz w:val="24"/>
                <w:szCs w:val="24"/>
              </w:rPr>
            </w:pPr>
            <w:r>
              <w:rPr>
                <w:rFonts w:hint="eastAsia" w:ascii="宋体" w:hAnsi="宋体" w:cs="宋体"/>
                <w:sz w:val="24"/>
                <w:szCs w:val="24"/>
              </w:rPr>
              <w:t>银行账号</w:t>
            </w:r>
          </w:p>
        </w:tc>
        <w:tc>
          <w:tcPr>
            <w:tcW w:w="1166" w:type="pct"/>
            <w:tcBorders>
              <w:top w:val="single" w:color="auto" w:sz="2" w:space="0"/>
              <w:left w:val="single" w:color="auto" w:sz="2" w:space="0"/>
              <w:bottom w:val="single" w:color="auto" w:sz="2" w:space="0"/>
            </w:tcBorders>
            <w:vAlign w:val="center"/>
          </w:tcPr>
          <w:p w14:paraId="00D94B3F">
            <w:pPr>
              <w:snapToGrid w:val="0"/>
              <w:spacing w:line="360" w:lineRule="auto"/>
              <w:jc w:val="center"/>
              <w:rPr>
                <w:rFonts w:hint="eastAsia" w:ascii="宋体" w:hAnsi="宋体" w:cs="宋体"/>
                <w:spacing w:val="20"/>
                <w:sz w:val="24"/>
                <w:szCs w:val="24"/>
              </w:rPr>
            </w:pPr>
          </w:p>
        </w:tc>
      </w:tr>
      <w:tr w14:paraId="28963C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000" w:type="pct"/>
            <w:gridSpan w:val="4"/>
            <w:tcBorders>
              <w:top w:val="single" w:color="auto" w:sz="2" w:space="0"/>
            </w:tcBorders>
            <w:vAlign w:val="center"/>
          </w:tcPr>
          <w:p w14:paraId="479B36E8">
            <w:pPr>
              <w:pStyle w:val="16"/>
              <w:snapToGrid w:val="0"/>
              <w:spacing w:before="156" w:beforeLines="50" w:line="360" w:lineRule="auto"/>
              <w:ind w:left="3276" w:hanging="3276"/>
              <w:rPr>
                <w:rFonts w:hint="eastAsia" w:ascii="宋体" w:hAnsi="宋体" w:cs="宋体"/>
                <w:spacing w:val="20"/>
                <w:sz w:val="24"/>
                <w:szCs w:val="24"/>
              </w:rPr>
            </w:pPr>
            <w:r>
              <w:rPr>
                <w:rFonts w:hint="eastAsia" w:ascii="宋体" w:hAnsi="宋体" w:cs="宋体"/>
                <w:sz w:val="24"/>
                <w:szCs w:val="24"/>
              </w:rPr>
              <w:t>注：涉及联合体或其他合同主体的信息应按上表格式加列。</w:t>
            </w:r>
          </w:p>
        </w:tc>
      </w:tr>
    </w:tbl>
    <w:p w14:paraId="5AE37D29">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zh-CN" w:eastAsia="zh-CN"/>
        </w:rPr>
      </w:pPr>
    </w:p>
    <w:p w14:paraId="5BF66737">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zh-CN" w:eastAsia="zh-CN"/>
        </w:rPr>
      </w:pPr>
    </w:p>
    <w:p w14:paraId="04978B25">
      <w:pPr>
        <w:pStyle w:val="3"/>
        <w:tabs>
          <w:tab w:val="left" w:pos="1440"/>
          <w:tab w:val="left" w:pos="5670"/>
        </w:tabs>
        <w:spacing w:before="0" w:beforeAutospacing="0" w:after="0" w:afterAutospacing="0" w:line="480" w:lineRule="exact"/>
        <w:ind w:firstLine="0" w:firstLineChars="0"/>
        <w:jc w:val="both"/>
        <w:rPr>
          <w:rFonts w:hint="eastAsia" w:ascii="宋体" w:hAnsi="宋体" w:eastAsia="宋体" w:cs="宋体"/>
          <w:b/>
          <w:bCs/>
          <w:color w:val="auto"/>
          <w:kern w:val="2"/>
          <w:sz w:val="36"/>
          <w:szCs w:val="36"/>
          <w:highlight w:val="none"/>
          <w:lang w:val="zh-CN" w:eastAsia="zh-CN"/>
        </w:rPr>
      </w:pPr>
    </w:p>
    <w:p w14:paraId="263B4917">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zh-CN" w:eastAsia="zh-CN"/>
        </w:rPr>
      </w:pPr>
    </w:p>
    <w:p w14:paraId="3F5CA7C5">
      <w:pPr>
        <w:rPr>
          <w:rFonts w:hint="eastAsia" w:ascii="宋体" w:hAnsi="宋体" w:eastAsia="宋体" w:cs="宋体"/>
          <w:b/>
          <w:bCs/>
          <w:color w:val="auto"/>
          <w:kern w:val="2"/>
          <w:sz w:val="36"/>
          <w:szCs w:val="36"/>
          <w:highlight w:val="none"/>
          <w:lang w:val="zh-CN" w:eastAsia="zh-CN"/>
        </w:rPr>
      </w:pPr>
    </w:p>
    <w:p w14:paraId="0FCE5964">
      <w:pPr>
        <w:pStyle w:val="5"/>
        <w:rPr>
          <w:rFonts w:hint="eastAsia"/>
          <w:lang w:val="zh-CN" w:eastAsia="zh-CN"/>
        </w:rPr>
      </w:pPr>
    </w:p>
    <w:p w14:paraId="0032BF50">
      <w:pPr>
        <w:rPr>
          <w:rFonts w:hint="eastAsia"/>
          <w:lang w:val="zh-CN" w:eastAsia="zh-CN"/>
        </w:rPr>
      </w:pPr>
    </w:p>
    <w:bookmarkEnd w:id="58"/>
    <w:bookmarkEnd w:id="59"/>
    <w:bookmarkEnd w:id="60"/>
    <w:bookmarkEnd w:id="61"/>
    <w:p w14:paraId="1874D6E5">
      <w:pPr>
        <w:pStyle w:val="3"/>
        <w:tabs>
          <w:tab w:val="left" w:pos="1440"/>
          <w:tab w:val="left" w:pos="5670"/>
        </w:tabs>
        <w:spacing w:before="62" w:beforeLines="20" w:after="62" w:afterLines="20" w:line="480" w:lineRule="exact"/>
        <w:ind w:firstLine="0" w:firstLineChars="0"/>
        <w:jc w:val="center"/>
        <w:rPr>
          <w:rFonts w:ascii="Arial" w:hAnsi="Arial"/>
          <w:color w:val="auto"/>
          <w:kern w:val="2"/>
          <w:sz w:val="36"/>
          <w:szCs w:val="36"/>
          <w:highlight w:val="none"/>
        </w:rPr>
      </w:pPr>
      <w:r>
        <w:rPr>
          <w:rFonts w:hint="eastAsia" w:ascii="Arial" w:hAnsi="Arial"/>
          <w:color w:val="auto"/>
          <w:kern w:val="2"/>
          <w:sz w:val="36"/>
          <w:szCs w:val="36"/>
          <w:highlight w:val="none"/>
          <w:lang w:val="zh-CN"/>
        </w:rPr>
        <w:t>第</w:t>
      </w:r>
      <w:r>
        <w:rPr>
          <w:rFonts w:hint="eastAsia" w:ascii="Arial" w:hAnsi="Arial"/>
          <w:color w:val="auto"/>
          <w:kern w:val="2"/>
          <w:sz w:val="36"/>
          <w:szCs w:val="36"/>
          <w:highlight w:val="none"/>
          <w:lang w:val="en-US" w:eastAsia="zh-CN"/>
        </w:rPr>
        <w:t>六</w:t>
      </w:r>
      <w:r>
        <w:rPr>
          <w:rFonts w:hint="eastAsia" w:ascii="Arial" w:hAnsi="Arial"/>
          <w:color w:val="auto"/>
          <w:kern w:val="2"/>
          <w:sz w:val="36"/>
          <w:szCs w:val="36"/>
          <w:highlight w:val="none"/>
          <w:lang w:val="zh-CN"/>
        </w:rPr>
        <w:t>章</w:t>
      </w:r>
      <w:r>
        <w:rPr>
          <w:rFonts w:ascii="Arial" w:hAnsi="Arial"/>
          <w:color w:val="auto"/>
          <w:kern w:val="2"/>
          <w:sz w:val="36"/>
          <w:szCs w:val="36"/>
          <w:highlight w:val="none"/>
          <w:lang w:val="zh-CN"/>
        </w:rPr>
        <w:t xml:space="preserve">  </w:t>
      </w:r>
      <w:bookmarkStart w:id="66" w:name="_Toc417656001"/>
      <w:r>
        <w:rPr>
          <w:rFonts w:hint="eastAsia" w:ascii="Arial" w:hAnsi="Arial"/>
          <w:color w:val="auto"/>
          <w:kern w:val="2"/>
          <w:sz w:val="36"/>
          <w:szCs w:val="36"/>
          <w:highlight w:val="none"/>
        </w:rPr>
        <w:t>响应文件格式</w:t>
      </w:r>
      <w:bookmarkEnd w:id="66"/>
    </w:p>
    <w:p w14:paraId="5C7DFD15">
      <w:pPr>
        <w:spacing w:line="360" w:lineRule="auto"/>
        <w:jc w:val="center"/>
        <w:rPr>
          <w:rFonts w:ascii="仿宋" w:hAnsi="仿宋" w:eastAsia="仿宋"/>
          <w:b/>
          <w:color w:val="auto"/>
          <w:spacing w:val="20"/>
          <w:sz w:val="36"/>
          <w:szCs w:val="36"/>
          <w:highlight w:val="none"/>
          <w:u w:val="single"/>
        </w:rPr>
      </w:pPr>
    </w:p>
    <w:p w14:paraId="396E7173">
      <w:pPr>
        <w:spacing w:line="360" w:lineRule="auto"/>
        <w:jc w:val="center"/>
        <w:rPr>
          <w:rFonts w:hint="eastAsia" w:ascii="仿宋" w:hAnsi="仿宋" w:eastAsia="仿宋"/>
          <w:b/>
          <w:color w:val="auto"/>
          <w:spacing w:val="20"/>
          <w:sz w:val="36"/>
          <w:szCs w:val="36"/>
          <w:highlight w:val="none"/>
          <w:lang w:eastAsia="zh-CN"/>
        </w:rPr>
      </w:pPr>
      <w:r>
        <w:rPr>
          <w:rFonts w:ascii="仿宋" w:hAnsi="仿宋" w:eastAsia="仿宋"/>
          <w:b/>
          <w:color w:val="auto"/>
          <w:spacing w:val="20"/>
          <w:sz w:val="36"/>
          <w:szCs w:val="36"/>
          <w:highlight w:val="none"/>
          <w:u w:val="single"/>
        </w:rPr>
        <w:t xml:space="preserve">                              </w:t>
      </w:r>
      <w:r>
        <w:rPr>
          <w:rFonts w:hint="eastAsia" w:ascii="仿宋" w:hAnsi="仿宋" w:eastAsia="仿宋"/>
          <w:b/>
          <w:color w:val="auto"/>
          <w:spacing w:val="20"/>
          <w:sz w:val="36"/>
          <w:szCs w:val="36"/>
          <w:highlight w:val="none"/>
        </w:rPr>
        <w:t>项目</w:t>
      </w:r>
    </w:p>
    <w:p w14:paraId="2C26202F">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响</w:t>
      </w:r>
    </w:p>
    <w:p w14:paraId="0CF2D04E">
      <w:pPr>
        <w:spacing w:line="480" w:lineRule="auto"/>
        <w:jc w:val="center"/>
        <w:rPr>
          <w:rFonts w:ascii="宋体"/>
          <w:b/>
          <w:color w:val="auto"/>
          <w:sz w:val="72"/>
          <w:szCs w:val="72"/>
          <w:highlight w:val="none"/>
        </w:rPr>
      </w:pPr>
    </w:p>
    <w:p w14:paraId="61807914">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应</w:t>
      </w:r>
    </w:p>
    <w:p w14:paraId="4EA9083C">
      <w:pPr>
        <w:spacing w:line="480" w:lineRule="auto"/>
        <w:jc w:val="center"/>
        <w:rPr>
          <w:rFonts w:ascii="宋体"/>
          <w:b/>
          <w:color w:val="auto"/>
          <w:sz w:val="72"/>
          <w:szCs w:val="72"/>
          <w:highlight w:val="none"/>
        </w:rPr>
      </w:pPr>
    </w:p>
    <w:p w14:paraId="798E3F93">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文</w:t>
      </w:r>
    </w:p>
    <w:p w14:paraId="7DEECC14">
      <w:pPr>
        <w:spacing w:line="480" w:lineRule="auto"/>
        <w:jc w:val="center"/>
        <w:rPr>
          <w:rFonts w:ascii="宋体"/>
          <w:b/>
          <w:color w:val="auto"/>
          <w:sz w:val="72"/>
          <w:szCs w:val="72"/>
          <w:highlight w:val="none"/>
        </w:rPr>
      </w:pPr>
    </w:p>
    <w:p w14:paraId="5C3458A4">
      <w:pPr>
        <w:spacing w:line="480" w:lineRule="auto"/>
        <w:jc w:val="center"/>
        <w:rPr>
          <w:rFonts w:ascii="宋体"/>
          <w:b/>
          <w:color w:val="auto"/>
          <w:sz w:val="72"/>
          <w:szCs w:val="72"/>
          <w:highlight w:val="none"/>
        </w:rPr>
      </w:pPr>
      <w:r>
        <w:rPr>
          <w:rFonts w:hint="eastAsia" w:ascii="宋体" w:hAnsi="宋体"/>
          <w:b/>
          <w:color w:val="auto"/>
          <w:sz w:val="72"/>
          <w:szCs w:val="72"/>
          <w:highlight w:val="none"/>
        </w:rPr>
        <w:t>件</w:t>
      </w:r>
    </w:p>
    <w:p w14:paraId="3489A180">
      <w:pPr>
        <w:pStyle w:val="58"/>
        <w:ind w:left="0" w:leftChars="0" w:firstLine="0" w:firstLineChars="0"/>
        <w:rPr>
          <w:rFonts w:ascii="宋体"/>
          <w:color w:val="auto"/>
          <w:sz w:val="24"/>
          <w:highlight w:val="none"/>
        </w:rPr>
      </w:pPr>
    </w:p>
    <w:p w14:paraId="57069B46">
      <w:pPr>
        <w:spacing w:line="360" w:lineRule="auto"/>
        <w:rPr>
          <w:rFonts w:ascii="宋体"/>
          <w:color w:val="auto"/>
          <w:sz w:val="24"/>
          <w:highlight w:val="none"/>
        </w:rPr>
      </w:pPr>
    </w:p>
    <w:p w14:paraId="2673D75A">
      <w:pPr>
        <w:tabs>
          <w:tab w:val="left" w:pos="2410"/>
        </w:tabs>
        <w:autoSpaceDE w:val="0"/>
        <w:autoSpaceDN w:val="0"/>
        <w:adjustRightInd w:val="0"/>
        <w:snapToGrid w:val="0"/>
        <w:spacing w:line="360" w:lineRule="auto"/>
        <w:ind w:firstLine="643" w:firstLineChars="200"/>
        <w:jc w:val="both"/>
        <w:outlineLvl w:val="9"/>
        <w:rPr>
          <w:rFonts w:hint="default" w:ascii="宋体" w:hAnsi="宋体" w:eastAsia="宋体"/>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302AD0D2">
      <w:pPr>
        <w:tabs>
          <w:tab w:val="left" w:pos="2410"/>
        </w:tabs>
        <w:autoSpaceDE w:val="0"/>
        <w:autoSpaceDN w:val="0"/>
        <w:adjustRightInd w:val="0"/>
        <w:snapToGrid w:val="0"/>
        <w:spacing w:line="360" w:lineRule="auto"/>
        <w:ind w:firstLine="643" w:firstLineChars="200"/>
        <w:jc w:val="both"/>
        <w:outlineLvl w:val="9"/>
        <w:rPr>
          <w:rFonts w:hint="eastAsia"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2406B8E0">
      <w:pPr>
        <w:tabs>
          <w:tab w:val="left" w:pos="2410"/>
        </w:tabs>
        <w:autoSpaceDE w:val="0"/>
        <w:autoSpaceDN w:val="0"/>
        <w:adjustRightInd w:val="0"/>
        <w:snapToGrid w:val="0"/>
        <w:spacing w:line="360" w:lineRule="auto"/>
        <w:ind w:firstLine="643" w:firstLineChars="2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供</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应</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商：</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32F9DA3D">
      <w:pPr>
        <w:spacing w:after="156" w:afterLines="50" w:line="500" w:lineRule="exact"/>
        <w:jc w:val="center"/>
        <w:outlineLvl w:val="1"/>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bookmarkStart w:id="67" w:name="_Toc12150"/>
      <w:bookmarkStart w:id="68" w:name="_Toc12430"/>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rPr>
        <w:t>日</w:t>
      </w:r>
      <w:bookmarkEnd w:id="67"/>
      <w:bookmarkEnd w:id="68"/>
    </w:p>
    <w:p w14:paraId="0857E145">
      <w:pPr>
        <w:spacing w:line="480" w:lineRule="exact"/>
        <w:jc w:val="center"/>
        <w:rPr>
          <w:rFonts w:ascii="宋体" w:hAnsi="宋体"/>
          <w:b/>
          <w:color w:val="auto"/>
          <w:sz w:val="30"/>
          <w:szCs w:val="30"/>
          <w:highlight w:val="none"/>
        </w:rPr>
      </w:pPr>
    </w:p>
    <w:p w14:paraId="7879491F">
      <w:pPr>
        <w:spacing w:line="480" w:lineRule="exact"/>
        <w:rPr>
          <w:rFonts w:ascii="黑体" w:eastAsia="黑体"/>
          <w:b/>
          <w:bCs/>
          <w:color w:val="auto"/>
          <w:szCs w:val="21"/>
          <w:highlight w:val="none"/>
        </w:rPr>
      </w:pPr>
    </w:p>
    <w:p w14:paraId="0981710E">
      <w:pPr>
        <w:rPr>
          <w:color w:val="auto"/>
          <w:highlight w:val="none"/>
        </w:rPr>
      </w:pPr>
    </w:p>
    <w:p w14:paraId="174FF10F">
      <w:pPr>
        <w:spacing w:line="360" w:lineRule="auto"/>
        <w:jc w:val="center"/>
        <w:outlineLvl w:val="1"/>
        <w:rPr>
          <w:rFonts w:asciiTheme="minorEastAsia" w:hAnsiTheme="minorEastAsia" w:eastAsiaTheme="minorEastAsia"/>
          <w:b/>
          <w:color w:val="auto"/>
          <w:sz w:val="24"/>
          <w:highlight w:val="none"/>
        </w:rPr>
      </w:pPr>
      <w:bookmarkStart w:id="69" w:name="_Toc461053086"/>
      <w:bookmarkStart w:id="70" w:name="_Toc461056631"/>
      <w:bookmarkStart w:id="71" w:name="_Toc23658"/>
      <w:bookmarkStart w:id="72" w:name="_Toc27513"/>
      <w:bookmarkStart w:id="73" w:name="_Toc520983587"/>
      <w:r>
        <w:rPr>
          <w:rFonts w:hint="eastAsia" w:asciiTheme="minorEastAsia" w:hAnsiTheme="minorEastAsia" w:eastAsiaTheme="minorEastAsia"/>
          <w:b/>
          <w:color w:val="auto"/>
          <w:sz w:val="24"/>
          <w:highlight w:val="none"/>
        </w:rPr>
        <w:t>一</w:t>
      </w:r>
      <w:bookmarkEnd w:id="69"/>
      <w:bookmarkEnd w:id="70"/>
      <w:r>
        <w:rPr>
          <w:rFonts w:hint="eastAsia" w:asciiTheme="minorEastAsia" w:hAnsiTheme="minorEastAsia" w:eastAsiaTheme="minorEastAsia"/>
          <w:b/>
          <w:color w:val="auto"/>
          <w:sz w:val="24"/>
          <w:highlight w:val="none"/>
        </w:rPr>
        <w:t>、报价表格式</w:t>
      </w:r>
      <w:bookmarkEnd w:id="71"/>
      <w:bookmarkEnd w:id="72"/>
      <w:bookmarkEnd w:id="73"/>
    </w:p>
    <w:p w14:paraId="51F788D9">
      <w:pPr>
        <w:spacing w:before="156" w:beforeLines="50" w:after="156" w:afterLines="50" w:line="360" w:lineRule="auto"/>
        <w:jc w:val="left"/>
        <w:outlineLvl w:val="2"/>
        <w:rPr>
          <w:rFonts w:ascii="宋体" w:hAnsi="宋体" w:eastAsia="宋体"/>
          <w:b/>
          <w:color w:val="auto"/>
          <w:sz w:val="24"/>
          <w:szCs w:val="28"/>
          <w:highlight w:val="none"/>
        </w:rPr>
      </w:pPr>
      <w:r>
        <w:rPr>
          <w:rFonts w:hint="eastAsia" w:ascii="宋体" w:hAnsi="宋体" w:eastAsia="宋体"/>
          <w:b/>
          <w:color w:val="auto"/>
          <w:sz w:val="24"/>
          <w:szCs w:val="28"/>
          <w:highlight w:val="none"/>
        </w:rPr>
        <w:t>1-1 报价表</w:t>
      </w:r>
    </w:p>
    <w:p w14:paraId="1A1A22D3">
      <w:pPr>
        <w:snapToGrid w:val="0"/>
        <w:spacing w:line="360" w:lineRule="auto"/>
        <w:jc w:val="left"/>
        <w:rPr>
          <w:rFonts w:hint="default" w:ascii="宋体" w:hAnsi="宋体" w:eastAsia="宋体"/>
          <w:b/>
          <w:color w:val="auto"/>
          <w:sz w:val="24"/>
          <w:szCs w:val="28"/>
          <w:highlight w:val="none"/>
          <w:lang w:val="en-US" w:eastAsia="zh-CN"/>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lang w:val="en-US" w:eastAsia="zh-CN"/>
        </w:rPr>
        <w:t xml:space="preserve">               </w:t>
      </w:r>
    </w:p>
    <w:p w14:paraId="5CC2772F">
      <w:pPr>
        <w:snapToGrid w:val="0"/>
        <w:spacing w:after="156" w:afterLines="50" w:line="360" w:lineRule="auto"/>
        <w:jc w:val="left"/>
        <w:rPr>
          <w:rFonts w:hint="default" w:ascii="宋体" w:hAnsi="宋体" w:eastAsia="宋体"/>
          <w:b/>
          <w:bCs/>
          <w:color w:val="auto"/>
          <w:sz w:val="24"/>
          <w:szCs w:val="28"/>
          <w:highlight w:val="none"/>
          <w:u w:val="single"/>
          <w:lang w:val="en-US" w:eastAsia="zh-CN"/>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lang w:val="en-US" w:eastAsia="zh-CN"/>
        </w:rPr>
        <w:t xml:space="preserve">               </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6286"/>
      </w:tblGrid>
      <w:tr w14:paraId="7D6C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4916E1B1">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7" w:type="pct"/>
            <w:tcBorders>
              <w:left w:val="single" w:color="auto" w:sz="4" w:space="0"/>
            </w:tcBorders>
          </w:tcPr>
          <w:p w14:paraId="69C984D9">
            <w:pPr>
              <w:spacing w:line="360" w:lineRule="auto"/>
              <w:rPr>
                <w:rFonts w:ascii="宋体" w:hAnsi="宋体" w:eastAsia="宋体"/>
                <w:b/>
                <w:color w:val="auto"/>
                <w:sz w:val="24"/>
                <w:highlight w:val="none"/>
              </w:rPr>
            </w:pPr>
          </w:p>
        </w:tc>
      </w:tr>
      <w:tr w14:paraId="7378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3FBAB695">
            <w:pPr>
              <w:spacing w:line="360" w:lineRule="exact"/>
              <w:jc w:val="center"/>
              <w:rPr>
                <w:rFonts w:ascii="宋体" w:hAnsi="宋体" w:eastAsia="宋体"/>
                <w:b/>
                <w:color w:val="auto"/>
                <w:sz w:val="24"/>
                <w:highlight w:val="none"/>
              </w:rPr>
            </w:pPr>
            <w:r>
              <w:rPr>
                <w:rFonts w:hint="eastAsia" w:ascii="宋体" w:hAnsi="宋体" w:eastAsia="宋体"/>
                <w:b/>
                <w:color w:val="auto"/>
                <w:sz w:val="24"/>
                <w:highlight w:val="none"/>
              </w:rPr>
              <w:t>谈判范围</w:t>
            </w:r>
          </w:p>
        </w:tc>
        <w:tc>
          <w:tcPr>
            <w:tcW w:w="3557" w:type="pct"/>
            <w:tcBorders>
              <w:left w:val="single" w:color="auto" w:sz="4" w:space="0"/>
            </w:tcBorders>
            <w:vAlign w:val="center"/>
          </w:tcPr>
          <w:p w14:paraId="25425C20">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全部</w:t>
            </w:r>
          </w:p>
        </w:tc>
      </w:tr>
      <w:tr w14:paraId="586D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12A48054">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报价</w:t>
            </w:r>
          </w:p>
          <w:p w14:paraId="4C122AED">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7" w:type="pct"/>
            <w:vAlign w:val="center"/>
          </w:tcPr>
          <w:p w14:paraId="7F8815B0">
            <w:pPr>
              <w:snapToGrid w:val="0"/>
              <w:spacing w:line="360" w:lineRule="auto"/>
              <w:jc w:val="left"/>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大写：</w:t>
            </w:r>
            <w:r>
              <w:rPr>
                <w:rFonts w:hint="eastAsia" w:ascii="宋体" w:hAnsi="宋体" w:eastAsia="宋体" w:cs="宋体"/>
                <w:bCs/>
                <w:color w:val="auto"/>
                <w:szCs w:val="21"/>
                <w:highlight w:val="none"/>
                <w:u w:val="single"/>
              </w:rPr>
              <w:t xml:space="preserve">                     </w:t>
            </w:r>
          </w:p>
          <w:p w14:paraId="677B0388">
            <w:pPr>
              <w:snapToGrid w:val="0"/>
              <w:spacing w:line="360" w:lineRule="auto"/>
              <w:rPr>
                <w:rFonts w:ascii="宋体" w:hAnsi="宋体" w:eastAsia="宋体"/>
                <w:b/>
                <w:color w:val="auto"/>
                <w:sz w:val="24"/>
                <w:highlight w:val="none"/>
              </w:rPr>
            </w:pPr>
            <w:r>
              <w:rPr>
                <w:rFonts w:hint="eastAsia" w:ascii="宋体" w:hAnsi="宋体" w:eastAsia="宋体" w:cs="宋体"/>
                <w:bCs/>
                <w:color w:val="auto"/>
                <w:szCs w:val="21"/>
                <w:highlight w:val="none"/>
              </w:rPr>
              <w:t>小写：</w:t>
            </w:r>
            <w:r>
              <w:rPr>
                <w:rFonts w:hint="eastAsia" w:ascii="宋体" w:hAnsi="宋体" w:eastAsia="宋体" w:cs="宋体"/>
                <w:bCs/>
                <w:color w:val="auto"/>
                <w:szCs w:val="21"/>
                <w:highlight w:val="none"/>
                <w:u w:val="single"/>
              </w:rPr>
              <w:t xml:space="preserve">                     </w:t>
            </w:r>
          </w:p>
        </w:tc>
      </w:tr>
      <w:tr w14:paraId="15EF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443" w:type="pct"/>
            <w:vAlign w:val="center"/>
          </w:tcPr>
          <w:p w14:paraId="7A15C328">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7" w:type="pct"/>
          </w:tcPr>
          <w:p w14:paraId="7AA541A1">
            <w:pPr>
              <w:spacing w:line="360" w:lineRule="auto"/>
              <w:rPr>
                <w:rFonts w:ascii="宋体" w:hAnsi="宋体" w:eastAsia="宋体"/>
                <w:b/>
                <w:color w:val="auto"/>
                <w:sz w:val="24"/>
                <w:highlight w:val="none"/>
              </w:rPr>
            </w:pPr>
          </w:p>
        </w:tc>
      </w:tr>
    </w:tbl>
    <w:p w14:paraId="3D3AAF7C">
      <w:pPr>
        <w:spacing w:line="440" w:lineRule="exact"/>
        <w:ind w:firstLine="5280" w:firstLineChars="22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u w:val="single"/>
        </w:rPr>
        <w:t xml:space="preserve">    </w:t>
      </w:r>
    </w:p>
    <w:p w14:paraId="5278782F">
      <w:pPr>
        <w:spacing w:line="440" w:lineRule="exact"/>
        <w:ind w:firstLine="5280" w:firstLineChars="22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u w:val="single"/>
        </w:rPr>
        <w:t xml:space="preserve">     </w:t>
      </w:r>
    </w:p>
    <w:p w14:paraId="01560D85">
      <w:pPr>
        <w:adjustRightInd w:val="0"/>
        <w:snapToGrid w:val="0"/>
        <w:spacing w:line="360" w:lineRule="auto"/>
        <w:rPr>
          <w:rFonts w:ascii="宋体" w:hAnsi="宋体" w:eastAsia="宋体"/>
          <w:b/>
          <w:bCs/>
          <w:color w:val="auto"/>
          <w:sz w:val="24"/>
          <w:szCs w:val="28"/>
          <w:highlight w:val="none"/>
        </w:rPr>
      </w:pPr>
    </w:p>
    <w:p w14:paraId="4ED10F1E">
      <w:pPr>
        <w:adjustRightInd w:val="0"/>
        <w:snapToGrid w:val="0"/>
        <w:spacing w:line="360" w:lineRule="auto"/>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注：</w:t>
      </w:r>
    </w:p>
    <w:p w14:paraId="271C2E6A">
      <w:pPr>
        <w:adjustRightInd w:val="0"/>
        <w:snapToGrid w:val="0"/>
        <w:spacing w:line="360" w:lineRule="auto"/>
        <w:ind w:firstLine="482" w:firstLineChars="200"/>
        <w:rPr>
          <w:rFonts w:ascii="宋体" w:hAnsi="宋体" w:eastAsia="宋体"/>
          <w:color w:val="auto"/>
          <w:sz w:val="24"/>
          <w:highlight w:val="none"/>
        </w:rPr>
      </w:pPr>
      <w:r>
        <w:rPr>
          <w:rFonts w:hint="eastAsia" w:ascii="宋体" w:hAnsi="宋体" w:eastAsia="宋体"/>
          <w:b/>
          <w:bCs/>
          <w:color w:val="auto"/>
          <w:sz w:val="24"/>
          <w:szCs w:val="28"/>
          <w:highlight w:val="none"/>
        </w:rPr>
        <w:t>1.本表内容根据谈判文件要求包括了货物及其配套的设计、采购、制造、检测、试验、运输、保险、仓储、税费以及现场落地、安装及安装耗损、调试、培训、技术服务（包括技术资料、图纸的提供）质保期内的售后服务保障等所有费用。</w:t>
      </w:r>
    </w:p>
    <w:p w14:paraId="1FD272EB">
      <w:pPr>
        <w:adjustRightInd w:val="0"/>
        <w:snapToGrid w:val="0"/>
        <w:spacing w:line="360" w:lineRule="auto"/>
        <w:ind w:firstLine="482" w:firstLineChars="200"/>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2.特殊事项在备注中注明。</w:t>
      </w:r>
    </w:p>
    <w:p w14:paraId="471E4D0C">
      <w:pPr>
        <w:adjustRightInd w:val="0"/>
        <w:snapToGrid w:val="0"/>
        <w:spacing w:line="360" w:lineRule="auto"/>
        <w:ind w:firstLine="482" w:firstLineChars="200"/>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3.表中大写</w:t>
      </w:r>
      <w:r>
        <w:rPr>
          <w:rFonts w:hint="eastAsia" w:ascii="宋体" w:hAnsi="宋体" w:eastAsia="宋体"/>
          <w:b/>
          <w:bCs/>
          <w:color w:val="auto"/>
          <w:sz w:val="24"/>
          <w:szCs w:val="28"/>
          <w:highlight w:val="none"/>
          <w:lang w:val="en-US" w:eastAsia="zh-CN"/>
        </w:rPr>
        <w:t>费率</w:t>
      </w:r>
      <w:r>
        <w:rPr>
          <w:rFonts w:hint="eastAsia" w:ascii="宋体" w:hAnsi="宋体" w:eastAsia="宋体"/>
          <w:b/>
          <w:bCs/>
          <w:color w:val="auto"/>
          <w:sz w:val="24"/>
          <w:szCs w:val="28"/>
          <w:highlight w:val="none"/>
        </w:rPr>
        <w:t>与小写</w:t>
      </w:r>
      <w:r>
        <w:rPr>
          <w:rFonts w:hint="eastAsia" w:ascii="宋体" w:hAnsi="宋体" w:eastAsia="宋体"/>
          <w:b/>
          <w:bCs/>
          <w:color w:val="auto"/>
          <w:sz w:val="24"/>
          <w:szCs w:val="28"/>
          <w:highlight w:val="none"/>
          <w:lang w:val="en-US" w:eastAsia="zh-CN"/>
        </w:rPr>
        <w:t>费率</w:t>
      </w:r>
      <w:r>
        <w:rPr>
          <w:rFonts w:hint="eastAsia" w:ascii="宋体" w:hAnsi="宋体" w:eastAsia="宋体"/>
          <w:b/>
          <w:bCs/>
          <w:color w:val="auto"/>
          <w:sz w:val="24"/>
          <w:szCs w:val="28"/>
          <w:highlight w:val="none"/>
        </w:rPr>
        <w:t>不一致的，以大写</w:t>
      </w:r>
      <w:r>
        <w:rPr>
          <w:rFonts w:hint="eastAsia" w:ascii="宋体" w:hAnsi="宋体" w:eastAsia="宋体"/>
          <w:b/>
          <w:bCs/>
          <w:color w:val="auto"/>
          <w:sz w:val="24"/>
          <w:szCs w:val="28"/>
          <w:highlight w:val="none"/>
          <w:lang w:val="en-US" w:eastAsia="zh-CN"/>
        </w:rPr>
        <w:t>费率</w:t>
      </w:r>
      <w:r>
        <w:rPr>
          <w:rFonts w:hint="eastAsia" w:ascii="宋体" w:hAnsi="宋体" w:eastAsia="宋体"/>
          <w:b/>
          <w:bCs/>
          <w:color w:val="auto"/>
          <w:sz w:val="24"/>
          <w:szCs w:val="28"/>
          <w:highlight w:val="none"/>
        </w:rPr>
        <w:t>为准。</w:t>
      </w:r>
    </w:p>
    <w:p w14:paraId="3206C6C5">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5DA14137">
      <w:pPr>
        <w:spacing w:before="156" w:beforeLines="50" w:after="156" w:afterLines="50" w:line="360" w:lineRule="auto"/>
        <w:jc w:val="left"/>
        <w:outlineLvl w:val="2"/>
        <w:rPr>
          <w:rFonts w:ascii="宋体" w:hAnsi="宋体" w:eastAsia="宋体"/>
          <w:b/>
          <w:color w:val="auto"/>
          <w:sz w:val="24"/>
          <w:szCs w:val="28"/>
          <w:highlight w:val="none"/>
        </w:rPr>
      </w:pPr>
      <w:r>
        <w:rPr>
          <w:rFonts w:hint="eastAsia" w:ascii="宋体" w:hAnsi="宋体" w:eastAsia="宋体"/>
          <w:b/>
          <w:color w:val="auto"/>
          <w:sz w:val="24"/>
          <w:szCs w:val="28"/>
          <w:highlight w:val="none"/>
        </w:rPr>
        <w:t>1-2 分项报价明细表</w:t>
      </w:r>
    </w:p>
    <w:tbl>
      <w:tblPr>
        <w:tblStyle w:val="40"/>
        <w:tblW w:w="53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869"/>
        <w:gridCol w:w="1647"/>
        <w:gridCol w:w="1647"/>
        <w:gridCol w:w="975"/>
        <w:gridCol w:w="971"/>
        <w:gridCol w:w="1511"/>
      </w:tblGrid>
      <w:tr w14:paraId="5F06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9" w:hRule="atLeast"/>
          <w:jc w:val="center"/>
        </w:trPr>
        <w:tc>
          <w:tcPr>
            <w:tcW w:w="470" w:type="pct"/>
            <w:noWrap w:val="0"/>
            <w:vAlign w:val="center"/>
          </w:tcPr>
          <w:p w14:paraId="71471830">
            <w:pPr>
              <w:pStyle w:val="145"/>
              <w:widowControl w:val="0"/>
              <w:spacing w:before="0" w:beforeAutospacing="0" w:after="0" w:afterAutospacing="0"/>
              <w:rPr>
                <w:rFonts w:ascii="宋体" w:hAnsi="宋体" w:eastAsia="宋体"/>
                <w:bCs w:val="0"/>
                <w:kern w:val="2"/>
                <w:sz w:val="24"/>
                <w:szCs w:val="20"/>
                <w:highlight w:val="none"/>
              </w:rPr>
            </w:pPr>
            <w:bookmarkStart w:id="74" w:name="_Toc461056632"/>
            <w:bookmarkStart w:id="75" w:name="_Toc461053087"/>
            <w:bookmarkStart w:id="76" w:name="_Toc520983588"/>
            <w:r>
              <w:rPr>
                <w:rFonts w:hint="eastAsia" w:ascii="宋体" w:hAnsi="宋体" w:eastAsia="宋体"/>
                <w:bCs w:val="0"/>
                <w:kern w:val="2"/>
                <w:sz w:val="24"/>
                <w:szCs w:val="20"/>
                <w:highlight w:val="none"/>
              </w:rPr>
              <w:t>序号</w:t>
            </w:r>
          </w:p>
        </w:tc>
        <w:tc>
          <w:tcPr>
            <w:tcW w:w="982" w:type="pct"/>
            <w:noWrap w:val="0"/>
            <w:vAlign w:val="center"/>
          </w:tcPr>
          <w:p w14:paraId="204DC221">
            <w:pPr>
              <w:jc w:val="center"/>
              <w:rPr>
                <w:rFonts w:ascii="宋体" w:hAnsi="宋体" w:eastAsia="宋体"/>
                <w:b/>
                <w:sz w:val="24"/>
                <w:highlight w:val="none"/>
              </w:rPr>
            </w:pPr>
            <w:r>
              <w:rPr>
                <w:rFonts w:hint="eastAsia" w:ascii="宋体" w:hAnsi="宋体" w:eastAsia="宋体"/>
                <w:b/>
                <w:sz w:val="24"/>
                <w:highlight w:val="none"/>
              </w:rPr>
              <w:t>货物名称</w:t>
            </w:r>
          </w:p>
        </w:tc>
        <w:tc>
          <w:tcPr>
            <w:tcW w:w="865" w:type="pct"/>
            <w:noWrap w:val="0"/>
            <w:vAlign w:val="center"/>
          </w:tcPr>
          <w:p w14:paraId="2BF393EC">
            <w:pPr>
              <w:jc w:val="center"/>
              <w:rPr>
                <w:rFonts w:hint="eastAsia" w:ascii="宋体" w:hAnsi="宋体" w:eastAsia="宋体"/>
                <w:b/>
                <w:sz w:val="24"/>
                <w:highlight w:val="none"/>
              </w:rPr>
            </w:pPr>
            <w:r>
              <w:rPr>
                <w:rFonts w:hint="eastAsia" w:ascii="宋体" w:hAnsi="宋体" w:eastAsia="宋体"/>
                <w:b/>
                <w:sz w:val="24"/>
                <w:highlight w:val="none"/>
              </w:rPr>
              <w:t>品牌、</w:t>
            </w:r>
          </w:p>
          <w:p w14:paraId="01315287">
            <w:pPr>
              <w:jc w:val="center"/>
              <w:rPr>
                <w:rFonts w:ascii="宋体" w:hAnsi="宋体" w:eastAsia="宋体"/>
                <w:b/>
                <w:sz w:val="24"/>
                <w:highlight w:val="none"/>
              </w:rPr>
            </w:pPr>
            <w:r>
              <w:rPr>
                <w:rFonts w:hint="eastAsia" w:ascii="宋体" w:hAnsi="宋体" w:eastAsia="宋体"/>
                <w:b/>
                <w:sz w:val="24"/>
                <w:highlight w:val="none"/>
              </w:rPr>
              <w:t>型号规格</w:t>
            </w:r>
          </w:p>
        </w:tc>
        <w:tc>
          <w:tcPr>
            <w:tcW w:w="865" w:type="pct"/>
            <w:noWrap w:val="0"/>
            <w:vAlign w:val="center"/>
          </w:tcPr>
          <w:p w14:paraId="5C660A03">
            <w:pPr>
              <w:jc w:val="center"/>
              <w:rPr>
                <w:rFonts w:ascii="宋体" w:hAnsi="宋体" w:eastAsia="宋体"/>
                <w:b/>
                <w:sz w:val="24"/>
                <w:highlight w:val="none"/>
              </w:rPr>
            </w:pPr>
            <w:r>
              <w:rPr>
                <w:rFonts w:hint="eastAsia" w:ascii="宋体" w:hAnsi="宋体" w:eastAsia="宋体"/>
                <w:b/>
                <w:sz w:val="24"/>
                <w:highlight w:val="none"/>
              </w:rPr>
              <w:t>原产地及</w:t>
            </w:r>
          </w:p>
          <w:p w14:paraId="0422D5ED">
            <w:pPr>
              <w:jc w:val="center"/>
              <w:rPr>
                <w:rFonts w:ascii="宋体" w:hAnsi="宋体" w:eastAsia="宋体"/>
                <w:b/>
                <w:sz w:val="24"/>
                <w:highlight w:val="none"/>
              </w:rPr>
            </w:pPr>
            <w:r>
              <w:rPr>
                <w:rFonts w:hint="eastAsia" w:ascii="宋体" w:hAnsi="宋体" w:eastAsia="宋体"/>
                <w:b/>
                <w:sz w:val="24"/>
                <w:highlight w:val="none"/>
              </w:rPr>
              <w:t>生产厂商</w:t>
            </w:r>
          </w:p>
        </w:tc>
        <w:tc>
          <w:tcPr>
            <w:tcW w:w="512" w:type="pct"/>
            <w:noWrap w:val="0"/>
            <w:vAlign w:val="center"/>
          </w:tcPr>
          <w:p w14:paraId="2CB1E19C">
            <w:pPr>
              <w:jc w:val="center"/>
              <w:rPr>
                <w:rFonts w:ascii="宋体" w:hAnsi="宋体" w:eastAsia="宋体"/>
                <w:b/>
                <w:sz w:val="24"/>
                <w:highlight w:val="none"/>
              </w:rPr>
            </w:pPr>
            <w:r>
              <w:rPr>
                <w:rFonts w:hint="eastAsia" w:ascii="宋体" w:hAnsi="宋体" w:eastAsia="宋体"/>
                <w:b/>
                <w:sz w:val="24"/>
                <w:highlight w:val="none"/>
              </w:rPr>
              <w:t>单位</w:t>
            </w:r>
          </w:p>
        </w:tc>
        <w:tc>
          <w:tcPr>
            <w:tcW w:w="510" w:type="pct"/>
            <w:noWrap w:val="0"/>
            <w:vAlign w:val="center"/>
          </w:tcPr>
          <w:p w14:paraId="303A1E1B">
            <w:pPr>
              <w:jc w:val="center"/>
              <w:rPr>
                <w:rFonts w:hint="eastAsia" w:ascii="宋体" w:hAnsi="宋体" w:eastAsia="宋体"/>
                <w:b/>
                <w:sz w:val="24"/>
                <w:highlight w:val="none"/>
                <w:lang w:eastAsia="zh-CN"/>
              </w:rPr>
            </w:pPr>
            <w:r>
              <w:rPr>
                <w:rFonts w:hint="eastAsia" w:ascii="宋体" w:hAnsi="宋体" w:eastAsia="宋体"/>
                <w:b/>
                <w:sz w:val="24"/>
                <w:highlight w:val="none"/>
                <w:lang w:val="en-US" w:eastAsia="zh-CN"/>
              </w:rPr>
              <w:t>单价</w:t>
            </w:r>
          </w:p>
        </w:tc>
        <w:tc>
          <w:tcPr>
            <w:tcW w:w="793" w:type="pct"/>
            <w:noWrap w:val="0"/>
            <w:vAlign w:val="center"/>
          </w:tcPr>
          <w:p w14:paraId="3E18B2C7">
            <w:pPr>
              <w:jc w:val="center"/>
              <w:rPr>
                <w:rFonts w:hint="default" w:ascii="宋体" w:hAnsi="宋体" w:eastAsia="宋体"/>
                <w:b/>
                <w:sz w:val="24"/>
                <w:highlight w:val="none"/>
                <w:lang w:val="en-US" w:eastAsia="zh-CN"/>
              </w:rPr>
            </w:pPr>
            <w:r>
              <w:rPr>
                <w:rFonts w:hint="eastAsia" w:ascii="宋体" w:hAnsi="宋体" w:eastAsia="宋体"/>
                <w:b/>
                <w:sz w:val="24"/>
                <w:highlight w:val="none"/>
                <w:lang w:val="en-US" w:eastAsia="zh-CN"/>
              </w:rPr>
              <w:t>成交费率</w:t>
            </w:r>
          </w:p>
        </w:tc>
      </w:tr>
      <w:tr w14:paraId="6AC5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4" w:hRule="atLeast"/>
          <w:jc w:val="center"/>
        </w:trPr>
        <w:tc>
          <w:tcPr>
            <w:tcW w:w="470" w:type="pct"/>
            <w:tcBorders>
              <w:bottom w:val="single" w:color="auto" w:sz="4" w:space="0"/>
            </w:tcBorders>
            <w:noWrap w:val="0"/>
            <w:vAlign w:val="center"/>
          </w:tcPr>
          <w:p w14:paraId="72E47BF1">
            <w:pPr>
              <w:jc w:val="center"/>
              <w:rPr>
                <w:rFonts w:ascii="宋体" w:hAnsi="宋体" w:eastAsia="宋体"/>
                <w:sz w:val="24"/>
                <w:highlight w:val="none"/>
              </w:rPr>
            </w:pPr>
            <w:r>
              <w:rPr>
                <w:rFonts w:hint="eastAsia" w:ascii="宋体" w:hAnsi="宋体" w:eastAsia="宋体"/>
                <w:sz w:val="24"/>
                <w:highlight w:val="none"/>
              </w:rPr>
              <w:t>1</w:t>
            </w:r>
          </w:p>
        </w:tc>
        <w:tc>
          <w:tcPr>
            <w:tcW w:w="982" w:type="pct"/>
            <w:noWrap w:val="0"/>
            <w:vAlign w:val="center"/>
          </w:tcPr>
          <w:p w14:paraId="22481D96">
            <w:pPr>
              <w:jc w:val="center"/>
              <w:rPr>
                <w:rFonts w:ascii="宋体" w:hAnsi="宋体" w:eastAsia="宋体"/>
                <w:sz w:val="24"/>
                <w:highlight w:val="none"/>
              </w:rPr>
            </w:pPr>
            <w:r>
              <w:rPr>
                <w:rFonts w:hint="eastAsia"/>
                <w:sz w:val="24"/>
                <w:szCs w:val="24"/>
              </w:rPr>
              <w:t>金刚纱防盗窗</w:t>
            </w:r>
          </w:p>
        </w:tc>
        <w:tc>
          <w:tcPr>
            <w:tcW w:w="865" w:type="pct"/>
            <w:noWrap w:val="0"/>
            <w:vAlign w:val="center"/>
          </w:tcPr>
          <w:p w14:paraId="382C01B8">
            <w:pPr>
              <w:jc w:val="center"/>
              <w:rPr>
                <w:rFonts w:ascii="宋体" w:hAnsi="宋体" w:eastAsia="宋体"/>
                <w:sz w:val="24"/>
                <w:highlight w:val="none"/>
              </w:rPr>
            </w:pPr>
          </w:p>
        </w:tc>
        <w:tc>
          <w:tcPr>
            <w:tcW w:w="865" w:type="pct"/>
            <w:noWrap w:val="0"/>
            <w:vAlign w:val="center"/>
          </w:tcPr>
          <w:p w14:paraId="79C378F5">
            <w:pPr>
              <w:jc w:val="center"/>
              <w:rPr>
                <w:rFonts w:ascii="宋体" w:hAnsi="宋体" w:eastAsia="宋体"/>
                <w:sz w:val="24"/>
                <w:highlight w:val="none"/>
              </w:rPr>
            </w:pPr>
          </w:p>
        </w:tc>
        <w:tc>
          <w:tcPr>
            <w:tcW w:w="512" w:type="pct"/>
            <w:noWrap w:val="0"/>
            <w:vAlign w:val="center"/>
          </w:tcPr>
          <w:p w14:paraId="07B7F083">
            <w:pPr>
              <w:jc w:val="center"/>
              <w:rPr>
                <w:rFonts w:hint="eastAsia" w:ascii="宋体" w:hAnsi="宋体" w:eastAsia="宋体"/>
                <w:sz w:val="24"/>
                <w:highlight w:val="none"/>
                <w:lang w:val="en-US" w:eastAsia="zh-CN"/>
              </w:rPr>
            </w:pPr>
            <w:r>
              <w:rPr>
                <w:rFonts w:hint="eastAsia" w:ascii="宋体" w:hAnsi="宋体" w:eastAsia="宋体"/>
                <w:sz w:val="24"/>
                <w:highlight w:val="none"/>
                <w:lang w:val="en-US" w:eastAsia="zh-CN"/>
              </w:rPr>
              <w:t>平方米</w:t>
            </w:r>
          </w:p>
        </w:tc>
        <w:tc>
          <w:tcPr>
            <w:tcW w:w="510" w:type="pct"/>
            <w:noWrap w:val="0"/>
            <w:vAlign w:val="center"/>
          </w:tcPr>
          <w:p w14:paraId="16E9F997">
            <w:pPr>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100</w:t>
            </w:r>
          </w:p>
        </w:tc>
        <w:tc>
          <w:tcPr>
            <w:tcW w:w="793" w:type="pct"/>
            <w:noWrap w:val="0"/>
            <w:vAlign w:val="center"/>
          </w:tcPr>
          <w:p w14:paraId="27694736">
            <w:pPr>
              <w:jc w:val="center"/>
              <w:rPr>
                <w:rFonts w:ascii="宋体" w:hAnsi="宋体" w:eastAsia="宋体"/>
                <w:sz w:val="24"/>
                <w:highlight w:val="none"/>
              </w:rPr>
            </w:pPr>
          </w:p>
        </w:tc>
      </w:tr>
      <w:tr w14:paraId="4905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470" w:type="pct"/>
            <w:noWrap w:val="0"/>
            <w:vAlign w:val="center"/>
          </w:tcPr>
          <w:p w14:paraId="659D5766">
            <w:pPr>
              <w:jc w:val="center"/>
              <w:rPr>
                <w:rFonts w:ascii="宋体" w:hAnsi="宋体" w:eastAsia="宋体"/>
                <w:sz w:val="24"/>
                <w:highlight w:val="none"/>
              </w:rPr>
            </w:pPr>
            <w:r>
              <w:rPr>
                <w:rFonts w:hint="eastAsia" w:ascii="宋体" w:hAnsi="宋体" w:eastAsia="宋体"/>
                <w:sz w:val="24"/>
                <w:highlight w:val="none"/>
              </w:rPr>
              <w:t>2</w:t>
            </w:r>
          </w:p>
        </w:tc>
        <w:tc>
          <w:tcPr>
            <w:tcW w:w="982" w:type="pct"/>
            <w:noWrap w:val="0"/>
            <w:vAlign w:val="center"/>
          </w:tcPr>
          <w:p w14:paraId="376FE10E">
            <w:pPr>
              <w:jc w:val="center"/>
              <w:rPr>
                <w:rFonts w:ascii="宋体" w:hAnsi="宋体" w:eastAsia="宋体"/>
                <w:sz w:val="24"/>
                <w:highlight w:val="none"/>
              </w:rPr>
            </w:pPr>
            <w:r>
              <w:rPr>
                <w:rFonts w:hint="eastAsia"/>
                <w:sz w:val="24"/>
                <w:szCs w:val="24"/>
              </w:rPr>
              <w:t>室外晾晒架</w:t>
            </w:r>
          </w:p>
        </w:tc>
        <w:tc>
          <w:tcPr>
            <w:tcW w:w="865" w:type="pct"/>
            <w:noWrap w:val="0"/>
            <w:vAlign w:val="center"/>
          </w:tcPr>
          <w:p w14:paraId="2A70DDA8">
            <w:pPr>
              <w:jc w:val="center"/>
              <w:rPr>
                <w:rFonts w:ascii="宋体" w:hAnsi="宋体" w:eastAsia="宋体"/>
                <w:sz w:val="24"/>
                <w:highlight w:val="none"/>
              </w:rPr>
            </w:pPr>
          </w:p>
        </w:tc>
        <w:tc>
          <w:tcPr>
            <w:tcW w:w="865" w:type="pct"/>
            <w:noWrap w:val="0"/>
            <w:vAlign w:val="center"/>
          </w:tcPr>
          <w:p w14:paraId="14E3A40C">
            <w:pPr>
              <w:jc w:val="center"/>
              <w:rPr>
                <w:rFonts w:ascii="宋体" w:hAnsi="宋体" w:eastAsia="宋体"/>
                <w:sz w:val="24"/>
                <w:highlight w:val="none"/>
              </w:rPr>
            </w:pPr>
          </w:p>
        </w:tc>
        <w:tc>
          <w:tcPr>
            <w:tcW w:w="512" w:type="pct"/>
            <w:noWrap w:val="0"/>
            <w:vAlign w:val="center"/>
          </w:tcPr>
          <w:p w14:paraId="662EEA2C">
            <w:pPr>
              <w:jc w:val="center"/>
              <w:rPr>
                <w:rFonts w:hint="eastAsia" w:ascii="宋体" w:hAnsi="宋体" w:eastAsia="宋体"/>
                <w:sz w:val="24"/>
                <w:highlight w:val="none"/>
                <w:lang w:val="en-US" w:eastAsia="zh-CN"/>
              </w:rPr>
            </w:pPr>
            <w:r>
              <w:rPr>
                <w:rFonts w:hint="eastAsia" w:ascii="宋体" w:hAnsi="宋体" w:eastAsia="宋体"/>
                <w:sz w:val="24"/>
                <w:highlight w:val="none"/>
                <w:lang w:val="en-US" w:eastAsia="zh-CN"/>
              </w:rPr>
              <w:t>套</w:t>
            </w:r>
          </w:p>
        </w:tc>
        <w:tc>
          <w:tcPr>
            <w:tcW w:w="510" w:type="pct"/>
            <w:noWrap w:val="0"/>
            <w:vAlign w:val="center"/>
          </w:tcPr>
          <w:p w14:paraId="4AF187AB">
            <w:pPr>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600</w:t>
            </w:r>
          </w:p>
        </w:tc>
        <w:tc>
          <w:tcPr>
            <w:tcW w:w="793" w:type="pct"/>
            <w:noWrap w:val="0"/>
            <w:vAlign w:val="center"/>
          </w:tcPr>
          <w:p w14:paraId="70676390">
            <w:pPr>
              <w:jc w:val="center"/>
              <w:rPr>
                <w:rFonts w:ascii="宋体" w:hAnsi="宋体" w:eastAsia="宋体"/>
                <w:sz w:val="24"/>
                <w:highlight w:val="none"/>
              </w:rPr>
            </w:pPr>
          </w:p>
        </w:tc>
      </w:tr>
    </w:tbl>
    <w:p w14:paraId="4CEF2AEB">
      <w:pPr>
        <w:pStyle w:val="134"/>
        <w:jc w:val="both"/>
        <w:rPr>
          <w:rFonts w:hint="eastAsia" w:ascii="宋体" w:hAnsi="宋体" w:eastAsia="宋体"/>
          <w:b/>
          <w:bCs/>
          <w:highlight w:val="none"/>
          <w:lang w:val="en-US" w:eastAsia="zh-CN"/>
        </w:rPr>
      </w:pPr>
    </w:p>
    <w:p w14:paraId="7E451B21">
      <w:pPr>
        <w:pStyle w:val="134"/>
        <w:ind w:left="-108"/>
        <w:jc w:val="both"/>
        <w:rPr>
          <w:rFonts w:hint="eastAsia" w:ascii="宋体" w:hAnsi="宋体" w:eastAsia="宋体"/>
          <w:b/>
          <w:bCs/>
          <w:highlight w:val="none"/>
          <w:lang w:val="en-US" w:eastAsia="zh-CN"/>
        </w:rPr>
      </w:pPr>
    </w:p>
    <w:p w14:paraId="0983D8E1">
      <w:pPr>
        <w:pStyle w:val="134"/>
        <w:ind w:left="-108"/>
        <w:jc w:val="both"/>
        <w:rPr>
          <w:rFonts w:hint="eastAsia" w:ascii="宋体" w:hAnsi="宋体" w:eastAsia="宋体"/>
          <w:b/>
          <w:bCs/>
          <w:highlight w:val="none"/>
          <w:lang w:val="en-US" w:eastAsia="zh-CN"/>
        </w:rPr>
      </w:pPr>
    </w:p>
    <w:p w14:paraId="339BEB0B">
      <w:pPr>
        <w:pStyle w:val="134"/>
        <w:ind w:left="-108"/>
        <w:jc w:val="both"/>
        <w:rPr>
          <w:rFonts w:hint="eastAsia" w:ascii="宋体" w:hAnsi="宋体" w:eastAsia="宋体"/>
          <w:b/>
          <w:bCs/>
          <w:highlight w:val="none"/>
          <w:lang w:val="en-US" w:eastAsia="zh-CN"/>
        </w:rPr>
      </w:pPr>
    </w:p>
    <w:p w14:paraId="0BC3D30D">
      <w:pPr>
        <w:pStyle w:val="134"/>
        <w:ind w:left="-108"/>
        <w:jc w:val="both"/>
        <w:rPr>
          <w:rFonts w:hint="eastAsia" w:ascii="宋体" w:hAnsi="宋体" w:eastAsia="宋体"/>
          <w:b/>
          <w:bCs/>
          <w:highlight w:val="none"/>
          <w:lang w:val="en-US" w:eastAsia="zh-CN"/>
        </w:rPr>
      </w:pPr>
    </w:p>
    <w:p w14:paraId="40B8F7B9">
      <w:pPr>
        <w:pStyle w:val="134"/>
        <w:ind w:left="-108"/>
        <w:jc w:val="both"/>
        <w:rPr>
          <w:rFonts w:hint="eastAsia" w:ascii="宋体" w:hAnsi="宋体" w:eastAsia="宋体"/>
          <w:b/>
          <w:bCs/>
          <w:highlight w:val="none"/>
          <w:lang w:val="en-US" w:eastAsia="zh-CN"/>
        </w:rPr>
      </w:pPr>
    </w:p>
    <w:p w14:paraId="3A7769AA">
      <w:pPr>
        <w:pStyle w:val="134"/>
        <w:ind w:left="-108"/>
        <w:jc w:val="both"/>
        <w:rPr>
          <w:rFonts w:hint="eastAsia" w:ascii="宋体" w:hAnsi="宋体" w:eastAsia="宋体"/>
          <w:b/>
          <w:bCs/>
          <w:highlight w:val="none"/>
          <w:lang w:val="en-US" w:eastAsia="zh-CN"/>
        </w:rPr>
      </w:pPr>
    </w:p>
    <w:p w14:paraId="46FC0C87">
      <w:pPr>
        <w:pStyle w:val="134"/>
        <w:ind w:left="-108"/>
        <w:jc w:val="both"/>
        <w:rPr>
          <w:rFonts w:hint="eastAsia" w:ascii="宋体" w:hAnsi="宋体" w:eastAsia="宋体"/>
          <w:b/>
          <w:bCs/>
          <w:highlight w:val="none"/>
          <w:lang w:val="en-US" w:eastAsia="zh-CN"/>
        </w:rPr>
      </w:pPr>
    </w:p>
    <w:p w14:paraId="75F2055F">
      <w:pPr>
        <w:pStyle w:val="134"/>
        <w:ind w:left="-108"/>
        <w:jc w:val="both"/>
        <w:rPr>
          <w:rFonts w:hint="eastAsia" w:ascii="宋体" w:hAnsi="宋体" w:eastAsia="宋体"/>
          <w:b/>
          <w:bCs/>
          <w:highlight w:val="none"/>
          <w:lang w:val="en-US" w:eastAsia="zh-CN"/>
        </w:rPr>
      </w:pPr>
    </w:p>
    <w:p w14:paraId="14D8DA06">
      <w:pPr>
        <w:pStyle w:val="134"/>
        <w:ind w:left="-108"/>
        <w:jc w:val="both"/>
        <w:rPr>
          <w:rFonts w:hint="eastAsia" w:ascii="宋体" w:hAnsi="宋体" w:eastAsia="宋体"/>
          <w:b/>
          <w:bCs/>
          <w:highlight w:val="none"/>
          <w:lang w:val="en-US" w:eastAsia="zh-CN"/>
        </w:rPr>
      </w:pPr>
    </w:p>
    <w:p w14:paraId="3500ECB7">
      <w:pPr>
        <w:pStyle w:val="134"/>
        <w:ind w:left="-108"/>
        <w:jc w:val="both"/>
        <w:rPr>
          <w:rFonts w:hint="eastAsia" w:ascii="宋体" w:hAnsi="宋体" w:eastAsia="宋体"/>
          <w:b/>
          <w:bCs/>
          <w:highlight w:val="none"/>
          <w:lang w:val="en-US" w:eastAsia="zh-CN"/>
        </w:rPr>
      </w:pPr>
    </w:p>
    <w:p w14:paraId="6B313E7C">
      <w:pPr>
        <w:pStyle w:val="134"/>
        <w:ind w:left="-108"/>
        <w:jc w:val="both"/>
        <w:rPr>
          <w:rFonts w:hint="eastAsia" w:ascii="宋体" w:hAnsi="宋体" w:eastAsia="宋体"/>
          <w:b/>
          <w:bCs/>
          <w:highlight w:val="none"/>
          <w:lang w:val="en-US" w:eastAsia="zh-CN"/>
        </w:rPr>
      </w:pPr>
    </w:p>
    <w:p w14:paraId="446C7928">
      <w:pPr>
        <w:pStyle w:val="134"/>
        <w:ind w:left="-108"/>
        <w:jc w:val="both"/>
        <w:rPr>
          <w:rFonts w:hint="eastAsia" w:ascii="宋体" w:hAnsi="宋体" w:eastAsia="宋体"/>
          <w:b/>
          <w:bCs/>
          <w:highlight w:val="none"/>
          <w:lang w:val="en-US" w:eastAsia="zh-CN"/>
        </w:rPr>
      </w:pPr>
    </w:p>
    <w:p w14:paraId="52E5FCF9">
      <w:pPr>
        <w:pStyle w:val="134"/>
        <w:ind w:left="-108"/>
        <w:jc w:val="both"/>
        <w:rPr>
          <w:rFonts w:hint="eastAsia" w:ascii="宋体" w:hAnsi="宋体" w:eastAsia="宋体"/>
          <w:b/>
          <w:bCs/>
          <w:highlight w:val="none"/>
          <w:lang w:val="en-US" w:eastAsia="zh-CN"/>
        </w:rPr>
      </w:pPr>
    </w:p>
    <w:p w14:paraId="1F3097ED">
      <w:pPr>
        <w:pStyle w:val="134"/>
        <w:ind w:left="-108"/>
        <w:jc w:val="both"/>
        <w:rPr>
          <w:rFonts w:hint="eastAsia" w:ascii="宋体" w:hAnsi="宋体" w:eastAsia="宋体"/>
          <w:b/>
          <w:bCs/>
          <w:highlight w:val="none"/>
          <w:lang w:val="en-US" w:eastAsia="zh-CN"/>
        </w:rPr>
      </w:pPr>
    </w:p>
    <w:p w14:paraId="6E8C49C4">
      <w:pPr>
        <w:pStyle w:val="134"/>
        <w:ind w:left="-108"/>
        <w:jc w:val="both"/>
        <w:rPr>
          <w:rFonts w:hint="eastAsia" w:ascii="宋体" w:hAnsi="宋体" w:eastAsia="宋体"/>
          <w:b/>
          <w:bCs/>
          <w:highlight w:val="none"/>
          <w:lang w:val="en-US" w:eastAsia="zh-CN"/>
        </w:rPr>
      </w:pPr>
    </w:p>
    <w:p w14:paraId="4FE80073">
      <w:pPr>
        <w:pStyle w:val="134"/>
        <w:ind w:left="-108"/>
        <w:jc w:val="both"/>
        <w:rPr>
          <w:rFonts w:hint="eastAsia" w:ascii="宋体" w:hAnsi="宋体" w:eastAsia="宋体"/>
          <w:b/>
          <w:bCs/>
          <w:highlight w:val="none"/>
          <w:lang w:val="en-US" w:eastAsia="zh-CN"/>
        </w:rPr>
      </w:pPr>
    </w:p>
    <w:p w14:paraId="7D0AADE5">
      <w:pPr>
        <w:pStyle w:val="134"/>
        <w:ind w:left="-108"/>
        <w:jc w:val="both"/>
        <w:rPr>
          <w:rFonts w:hint="eastAsia" w:ascii="宋体" w:hAnsi="宋体" w:eastAsia="宋体"/>
          <w:b/>
          <w:bCs/>
          <w:highlight w:val="none"/>
          <w:lang w:val="en-US" w:eastAsia="zh-CN"/>
        </w:rPr>
      </w:pPr>
    </w:p>
    <w:p w14:paraId="1F727B82">
      <w:pPr>
        <w:pStyle w:val="134"/>
        <w:ind w:left="-108"/>
        <w:jc w:val="both"/>
        <w:rPr>
          <w:rFonts w:hint="eastAsia" w:ascii="宋体" w:hAnsi="宋体" w:eastAsia="宋体"/>
          <w:b/>
          <w:bCs/>
          <w:highlight w:val="none"/>
          <w:lang w:val="en-US" w:eastAsia="zh-CN"/>
        </w:rPr>
      </w:pPr>
    </w:p>
    <w:p w14:paraId="0444571E">
      <w:pPr>
        <w:pStyle w:val="134"/>
        <w:ind w:left="-108"/>
        <w:jc w:val="both"/>
        <w:rPr>
          <w:rFonts w:hint="eastAsia" w:ascii="宋体" w:hAnsi="宋体" w:eastAsia="宋体"/>
          <w:b/>
          <w:bCs/>
          <w:highlight w:val="none"/>
          <w:lang w:val="en-US" w:eastAsia="zh-CN"/>
        </w:rPr>
      </w:pPr>
    </w:p>
    <w:p w14:paraId="12C8FCE3">
      <w:pPr>
        <w:pStyle w:val="134"/>
        <w:ind w:left="-108"/>
        <w:jc w:val="both"/>
        <w:rPr>
          <w:rFonts w:hint="eastAsia" w:ascii="宋体" w:hAnsi="宋体" w:eastAsia="宋体"/>
          <w:b/>
          <w:bCs/>
          <w:highlight w:val="none"/>
          <w:lang w:val="en-US" w:eastAsia="zh-CN"/>
        </w:rPr>
      </w:pPr>
    </w:p>
    <w:p w14:paraId="54B26985">
      <w:pPr>
        <w:pStyle w:val="134"/>
        <w:ind w:left="-108"/>
        <w:jc w:val="both"/>
        <w:rPr>
          <w:rFonts w:hint="eastAsia" w:ascii="宋体" w:hAnsi="宋体" w:eastAsia="宋体"/>
          <w:b/>
          <w:bCs/>
          <w:highlight w:val="none"/>
          <w:lang w:val="en-US" w:eastAsia="zh-CN"/>
        </w:rPr>
      </w:pPr>
    </w:p>
    <w:p w14:paraId="4B94BAB4">
      <w:pPr>
        <w:pStyle w:val="134"/>
        <w:ind w:left="-108"/>
        <w:jc w:val="both"/>
        <w:rPr>
          <w:rFonts w:hint="eastAsia" w:ascii="宋体" w:hAnsi="宋体" w:eastAsia="宋体"/>
          <w:b/>
          <w:bCs/>
          <w:highlight w:val="none"/>
          <w:lang w:val="en-US" w:eastAsia="zh-CN"/>
        </w:rPr>
      </w:pPr>
    </w:p>
    <w:p w14:paraId="55C1C02A">
      <w:pPr>
        <w:pStyle w:val="134"/>
        <w:ind w:left="-108"/>
        <w:jc w:val="both"/>
        <w:rPr>
          <w:rFonts w:hint="eastAsia" w:ascii="宋体" w:hAnsi="宋体" w:eastAsia="宋体"/>
          <w:b/>
          <w:bCs/>
          <w:highlight w:val="none"/>
          <w:lang w:val="en-US" w:eastAsia="zh-CN"/>
        </w:rPr>
      </w:pPr>
    </w:p>
    <w:p w14:paraId="32DBB4F0">
      <w:pPr>
        <w:pStyle w:val="134"/>
        <w:ind w:left="-108"/>
        <w:jc w:val="both"/>
        <w:rPr>
          <w:rFonts w:hint="eastAsia" w:ascii="宋体" w:hAnsi="宋体" w:eastAsia="宋体"/>
          <w:b/>
          <w:bCs/>
          <w:highlight w:val="none"/>
          <w:lang w:val="en-US" w:eastAsia="zh-CN"/>
        </w:rPr>
      </w:pPr>
    </w:p>
    <w:p w14:paraId="1208D99C">
      <w:pPr>
        <w:pStyle w:val="134"/>
        <w:ind w:left="-108"/>
        <w:jc w:val="both"/>
        <w:rPr>
          <w:rFonts w:hint="eastAsia" w:ascii="宋体" w:hAnsi="宋体" w:eastAsia="宋体"/>
          <w:b/>
          <w:bCs/>
          <w:highlight w:val="none"/>
          <w:lang w:val="en-US" w:eastAsia="zh-CN"/>
        </w:rPr>
      </w:pPr>
    </w:p>
    <w:p w14:paraId="58225CD8">
      <w:pPr>
        <w:pStyle w:val="134"/>
        <w:ind w:left="-108"/>
        <w:jc w:val="both"/>
        <w:rPr>
          <w:rFonts w:hint="eastAsia" w:ascii="宋体" w:hAnsi="宋体" w:eastAsia="宋体"/>
          <w:b/>
          <w:bCs/>
          <w:highlight w:val="none"/>
          <w:lang w:val="en-US" w:eastAsia="zh-CN"/>
        </w:rPr>
      </w:pPr>
    </w:p>
    <w:p w14:paraId="3F3EEAEE">
      <w:pPr>
        <w:pStyle w:val="134"/>
        <w:ind w:left="-108"/>
        <w:jc w:val="both"/>
        <w:rPr>
          <w:rFonts w:hint="eastAsia" w:ascii="宋体" w:hAnsi="宋体" w:eastAsia="宋体"/>
          <w:b/>
          <w:bCs/>
          <w:highlight w:val="none"/>
          <w:lang w:val="en-US" w:eastAsia="zh-CN"/>
        </w:rPr>
      </w:pPr>
    </w:p>
    <w:p w14:paraId="392D826A">
      <w:pPr>
        <w:pStyle w:val="134"/>
        <w:ind w:left="-108"/>
        <w:jc w:val="both"/>
        <w:rPr>
          <w:rFonts w:hint="eastAsia" w:ascii="宋体" w:hAnsi="宋体" w:eastAsia="宋体"/>
          <w:b/>
          <w:bCs/>
          <w:highlight w:val="none"/>
          <w:lang w:val="en-US" w:eastAsia="zh-CN"/>
        </w:rPr>
      </w:pPr>
    </w:p>
    <w:p w14:paraId="58B8CCEC">
      <w:pPr>
        <w:pStyle w:val="134"/>
        <w:ind w:left="-108"/>
        <w:jc w:val="both"/>
        <w:rPr>
          <w:rFonts w:hint="eastAsia" w:ascii="宋体" w:hAnsi="宋体" w:eastAsia="宋体"/>
          <w:b/>
          <w:bCs/>
          <w:highlight w:val="none"/>
          <w:lang w:val="en-US" w:eastAsia="zh-CN"/>
        </w:rPr>
      </w:pPr>
    </w:p>
    <w:p w14:paraId="7858EBBC">
      <w:pPr>
        <w:pStyle w:val="134"/>
        <w:ind w:left="-108"/>
        <w:jc w:val="both"/>
        <w:rPr>
          <w:rFonts w:hint="eastAsia" w:ascii="宋体" w:hAnsi="宋体" w:eastAsia="宋体"/>
          <w:b/>
          <w:bCs/>
          <w:highlight w:val="none"/>
          <w:lang w:val="en-US" w:eastAsia="zh-CN"/>
        </w:rPr>
      </w:pPr>
    </w:p>
    <w:p w14:paraId="559EB15D">
      <w:pPr>
        <w:pStyle w:val="134"/>
        <w:ind w:left="-108"/>
        <w:jc w:val="both"/>
        <w:rPr>
          <w:rFonts w:hint="eastAsia" w:ascii="宋体" w:hAnsi="宋体" w:eastAsia="宋体"/>
          <w:b/>
          <w:bCs/>
          <w:highlight w:val="none"/>
          <w:lang w:val="en-US" w:eastAsia="zh-CN"/>
        </w:rPr>
      </w:pPr>
    </w:p>
    <w:p w14:paraId="466F6E01">
      <w:pPr>
        <w:pStyle w:val="134"/>
        <w:jc w:val="both"/>
        <w:rPr>
          <w:rFonts w:hint="eastAsia" w:ascii="宋体" w:hAnsi="宋体" w:eastAsia="宋体"/>
          <w:b/>
          <w:bCs/>
          <w:highlight w:val="none"/>
          <w:lang w:val="en-US" w:eastAsia="zh-CN"/>
        </w:rPr>
      </w:pPr>
    </w:p>
    <w:p w14:paraId="134B4F9A">
      <w:pPr>
        <w:spacing w:line="360" w:lineRule="auto"/>
        <w:jc w:val="center"/>
        <w:outlineLvl w:val="1"/>
        <w:rPr>
          <w:rFonts w:asciiTheme="minorEastAsia" w:hAnsiTheme="minorEastAsia" w:eastAsiaTheme="minorEastAsia"/>
          <w:b/>
          <w:color w:val="auto"/>
          <w:sz w:val="24"/>
          <w:highlight w:val="none"/>
        </w:rPr>
      </w:pPr>
      <w:bookmarkStart w:id="77" w:name="_Toc13918"/>
      <w:bookmarkStart w:id="78" w:name="_Toc127"/>
      <w:r>
        <w:rPr>
          <w:rFonts w:hint="eastAsia" w:asciiTheme="minorEastAsia" w:hAnsiTheme="minorEastAsia" w:eastAsiaTheme="minorEastAsia"/>
          <w:b/>
          <w:color w:val="auto"/>
          <w:sz w:val="24"/>
          <w:highlight w:val="none"/>
        </w:rPr>
        <w:t>二</w:t>
      </w:r>
      <w:bookmarkEnd w:id="74"/>
      <w:bookmarkEnd w:id="75"/>
      <w:r>
        <w:rPr>
          <w:rFonts w:hint="eastAsia" w:asciiTheme="minorEastAsia" w:hAnsiTheme="minorEastAsia" w:eastAsiaTheme="minorEastAsia"/>
          <w:b/>
          <w:color w:val="auto"/>
          <w:sz w:val="24"/>
          <w:highlight w:val="none"/>
        </w:rPr>
        <w:t>、最后承诺报价表</w:t>
      </w:r>
      <w:bookmarkEnd w:id="76"/>
      <w:bookmarkEnd w:id="77"/>
      <w:bookmarkEnd w:id="78"/>
    </w:p>
    <w:p w14:paraId="34BE593C">
      <w:pPr>
        <w:spacing w:before="156" w:beforeLines="50" w:after="156" w:afterLines="50" w:line="360" w:lineRule="auto"/>
        <w:ind w:firstLine="236" w:firstLineChars="98"/>
        <w:jc w:val="center"/>
        <w:rPr>
          <w:rFonts w:ascii="宋体" w:hAnsi="宋体" w:eastAsia="宋体"/>
          <w:b/>
          <w:color w:val="auto"/>
          <w:sz w:val="24"/>
          <w:szCs w:val="28"/>
          <w:highlight w:val="none"/>
        </w:rPr>
      </w:pPr>
      <w:r>
        <w:rPr>
          <w:rFonts w:hint="eastAsia" w:ascii="宋体" w:hAnsi="宋体" w:eastAsia="宋体"/>
          <w:b/>
          <w:color w:val="auto"/>
          <w:sz w:val="24"/>
          <w:szCs w:val="28"/>
          <w:highlight w:val="none"/>
        </w:rPr>
        <w:t>（第</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rPr>
        <w:t>次报价书）</w:t>
      </w:r>
    </w:p>
    <w:p w14:paraId="14846676">
      <w:pPr>
        <w:snapToGrid w:val="0"/>
        <w:spacing w:line="360" w:lineRule="auto"/>
        <w:jc w:val="left"/>
        <w:rPr>
          <w:rFonts w:hint="default" w:ascii="宋体" w:hAnsi="宋体" w:eastAsia="宋体"/>
          <w:b/>
          <w:color w:val="auto"/>
          <w:sz w:val="24"/>
          <w:szCs w:val="28"/>
          <w:highlight w:val="none"/>
          <w:lang w:val="en-US" w:eastAsia="zh-CN"/>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lang w:val="en-US" w:eastAsia="zh-CN"/>
        </w:rPr>
        <w:t xml:space="preserve">             </w:t>
      </w:r>
    </w:p>
    <w:p w14:paraId="456AE360">
      <w:pPr>
        <w:snapToGrid w:val="0"/>
        <w:spacing w:after="156" w:afterLines="50" w:line="360" w:lineRule="auto"/>
        <w:jc w:val="left"/>
        <w:rPr>
          <w:rFonts w:hint="default" w:ascii="宋体" w:hAnsi="宋体" w:eastAsia="宋体"/>
          <w:b/>
          <w:bCs/>
          <w:color w:val="auto"/>
          <w:sz w:val="24"/>
          <w:szCs w:val="28"/>
          <w:highlight w:val="none"/>
          <w:lang w:val="en-US" w:eastAsia="zh-CN"/>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lang w:val="en-US" w:eastAsia="zh-CN"/>
        </w:rPr>
        <w:t xml:space="preserve">             </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6286"/>
      </w:tblGrid>
      <w:tr w14:paraId="4C9A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67F6F68D">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6" w:type="pct"/>
            <w:tcBorders>
              <w:left w:val="single" w:color="auto" w:sz="4" w:space="0"/>
            </w:tcBorders>
          </w:tcPr>
          <w:p w14:paraId="144FF570">
            <w:pPr>
              <w:spacing w:line="360" w:lineRule="auto"/>
              <w:rPr>
                <w:rFonts w:ascii="宋体" w:hAnsi="宋体" w:eastAsia="宋体"/>
                <w:b/>
                <w:color w:val="auto"/>
                <w:sz w:val="24"/>
                <w:highlight w:val="none"/>
              </w:rPr>
            </w:pPr>
          </w:p>
        </w:tc>
      </w:tr>
      <w:tr w14:paraId="7CE4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660E032A">
            <w:pPr>
              <w:spacing w:line="360" w:lineRule="exact"/>
              <w:jc w:val="center"/>
              <w:rPr>
                <w:rFonts w:ascii="宋体" w:hAnsi="宋体" w:eastAsia="宋体"/>
                <w:b/>
                <w:color w:val="auto"/>
                <w:sz w:val="24"/>
                <w:highlight w:val="none"/>
              </w:rPr>
            </w:pPr>
            <w:r>
              <w:rPr>
                <w:rFonts w:hint="eastAsia" w:ascii="宋体" w:hAnsi="宋体" w:eastAsia="宋体"/>
                <w:b/>
                <w:bCs/>
                <w:color w:val="auto"/>
                <w:sz w:val="24"/>
                <w:szCs w:val="28"/>
                <w:highlight w:val="none"/>
              </w:rPr>
              <w:t>谈判</w:t>
            </w:r>
            <w:r>
              <w:rPr>
                <w:rFonts w:hint="eastAsia" w:ascii="宋体" w:hAnsi="宋体" w:eastAsia="宋体"/>
                <w:b/>
                <w:color w:val="auto"/>
                <w:sz w:val="24"/>
                <w:highlight w:val="none"/>
              </w:rPr>
              <w:t>范围</w:t>
            </w:r>
          </w:p>
        </w:tc>
        <w:tc>
          <w:tcPr>
            <w:tcW w:w="3556" w:type="pct"/>
            <w:tcBorders>
              <w:left w:val="single" w:color="auto" w:sz="4" w:space="0"/>
            </w:tcBorders>
            <w:vAlign w:val="center"/>
          </w:tcPr>
          <w:p w14:paraId="58CDB097">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全部</w:t>
            </w:r>
          </w:p>
        </w:tc>
      </w:tr>
      <w:tr w14:paraId="7C5F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5B98DC41">
            <w:pPr>
              <w:spacing w:line="360" w:lineRule="auto"/>
              <w:jc w:val="center"/>
              <w:rPr>
                <w:rFonts w:ascii="宋体" w:hAnsi="宋体" w:eastAsia="宋体"/>
                <w:b/>
                <w:color w:val="auto"/>
                <w:sz w:val="24"/>
                <w:highlight w:val="none"/>
              </w:rPr>
            </w:pPr>
            <w:r>
              <w:rPr>
                <w:rFonts w:hint="eastAsia" w:ascii="宋体" w:hAnsi="宋体" w:eastAsia="宋体"/>
                <w:b/>
                <w:bCs/>
                <w:color w:val="auto"/>
                <w:sz w:val="24"/>
                <w:szCs w:val="28"/>
                <w:highlight w:val="none"/>
              </w:rPr>
              <w:t>最后报价</w:t>
            </w:r>
          </w:p>
          <w:p w14:paraId="081E013A">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6" w:type="pct"/>
            <w:vAlign w:val="center"/>
          </w:tcPr>
          <w:p w14:paraId="03A7120E">
            <w:pPr>
              <w:snapToGrid w:val="0"/>
              <w:spacing w:line="360" w:lineRule="auto"/>
              <w:jc w:val="left"/>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大写：</w:t>
            </w:r>
            <w:r>
              <w:rPr>
                <w:rFonts w:hint="eastAsia" w:ascii="宋体" w:hAnsi="宋体" w:eastAsia="宋体" w:cs="宋体"/>
                <w:bCs/>
                <w:color w:val="auto"/>
                <w:szCs w:val="21"/>
                <w:highlight w:val="none"/>
                <w:u w:val="single"/>
              </w:rPr>
              <w:t xml:space="preserve">                     </w:t>
            </w:r>
          </w:p>
          <w:p w14:paraId="71EEB197">
            <w:pPr>
              <w:snapToGrid w:val="0"/>
              <w:spacing w:line="360" w:lineRule="auto"/>
              <w:rPr>
                <w:rFonts w:ascii="宋体" w:hAnsi="宋体" w:eastAsia="宋体"/>
                <w:b/>
                <w:color w:val="auto"/>
                <w:sz w:val="24"/>
                <w:highlight w:val="none"/>
              </w:rPr>
            </w:pPr>
            <w:r>
              <w:rPr>
                <w:rFonts w:hint="eastAsia" w:ascii="宋体" w:hAnsi="宋体" w:eastAsia="宋体" w:cs="宋体"/>
                <w:bCs/>
                <w:color w:val="auto"/>
                <w:szCs w:val="21"/>
                <w:highlight w:val="none"/>
              </w:rPr>
              <w:t>小写：</w:t>
            </w:r>
            <w:r>
              <w:rPr>
                <w:rFonts w:hint="eastAsia" w:ascii="宋体" w:hAnsi="宋体" w:eastAsia="宋体" w:cs="宋体"/>
                <w:bCs/>
                <w:color w:val="auto"/>
                <w:szCs w:val="21"/>
                <w:highlight w:val="none"/>
                <w:u w:val="single"/>
              </w:rPr>
              <w:t xml:space="preserve">                     </w:t>
            </w:r>
          </w:p>
        </w:tc>
      </w:tr>
      <w:tr w14:paraId="5CE2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443" w:type="pct"/>
            <w:vAlign w:val="center"/>
          </w:tcPr>
          <w:p w14:paraId="20D215F1">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6" w:type="pct"/>
          </w:tcPr>
          <w:p w14:paraId="7AC90B24">
            <w:pPr>
              <w:spacing w:line="360" w:lineRule="auto"/>
              <w:rPr>
                <w:rFonts w:ascii="宋体" w:hAnsi="宋体" w:eastAsia="宋体"/>
                <w:b/>
                <w:color w:val="auto"/>
                <w:sz w:val="24"/>
                <w:highlight w:val="none"/>
              </w:rPr>
            </w:pPr>
          </w:p>
        </w:tc>
      </w:tr>
    </w:tbl>
    <w:p w14:paraId="1D213B27">
      <w:pPr>
        <w:spacing w:line="360" w:lineRule="auto"/>
        <w:ind w:firstLine="1680" w:firstLineChars="700"/>
        <w:jc w:val="left"/>
        <w:rPr>
          <w:rFonts w:hint="eastAsia" w:ascii="宋体" w:hAnsi="宋体" w:eastAsia="宋体"/>
          <w:color w:val="auto"/>
          <w:sz w:val="24"/>
          <w:highlight w:val="none"/>
        </w:rPr>
      </w:pPr>
      <w:r>
        <w:rPr>
          <w:rFonts w:hint="eastAsia" w:ascii="宋体" w:hAnsi="宋体" w:eastAsia="宋体"/>
          <w:color w:val="auto"/>
          <w:sz w:val="24"/>
          <w:highlight w:val="none"/>
        </w:rPr>
        <w:t xml:space="preserve">                     </w:t>
      </w:r>
    </w:p>
    <w:p w14:paraId="39F6FA75">
      <w:pPr>
        <w:spacing w:line="360" w:lineRule="auto"/>
        <w:ind w:firstLine="4320" w:firstLineChars="1800"/>
        <w:jc w:val="left"/>
        <w:rPr>
          <w:rFonts w:ascii="宋体" w:hAnsi="宋体" w:eastAsia="宋体"/>
          <w:color w:val="auto"/>
          <w:sz w:val="24"/>
          <w:highlight w:val="none"/>
        </w:rPr>
      </w:pPr>
      <w:r>
        <w:rPr>
          <w:rFonts w:hint="eastAsia" w:ascii="宋体" w:hAnsi="宋体" w:eastAsia="宋体"/>
          <w:color w:val="auto"/>
          <w:sz w:val="24"/>
          <w:highlight w:val="none"/>
        </w:rPr>
        <w:t>供应商公章或授权代表签字：</w:t>
      </w:r>
    </w:p>
    <w:p w14:paraId="68C1EE00">
      <w:pPr>
        <w:spacing w:line="360" w:lineRule="auto"/>
        <w:ind w:firstLine="4440" w:firstLineChars="1850"/>
        <w:jc w:val="left"/>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hint="eastAsia" w:ascii="宋体" w:hAnsi="宋体" w:eastAsia="宋体"/>
          <w:color w:val="auto"/>
          <w:sz w:val="24"/>
          <w:highlight w:val="none"/>
          <w:u w:val="single"/>
        </w:rPr>
        <w:t xml:space="preserve">          </w:t>
      </w:r>
    </w:p>
    <w:p w14:paraId="6B5ACC65">
      <w:pPr>
        <w:spacing w:line="360" w:lineRule="auto"/>
        <w:ind w:firstLine="4200" w:firstLineChars="1750"/>
        <w:jc w:val="left"/>
        <w:rPr>
          <w:rFonts w:ascii="宋体" w:hAnsi="宋体" w:eastAsia="宋体"/>
          <w:color w:val="auto"/>
          <w:sz w:val="24"/>
          <w:highlight w:val="none"/>
        </w:rPr>
      </w:pPr>
    </w:p>
    <w:p w14:paraId="51BE6AEB">
      <w:pPr>
        <w:spacing w:line="360" w:lineRule="auto"/>
        <w:rPr>
          <w:rFonts w:hint="eastAsia" w:eastAsia="宋体" w:asciiTheme="minorEastAsia" w:hAnsiTheme="minorEastAsia"/>
          <w:color w:val="auto"/>
          <w:sz w:val="24"/>
          <w:highlight w:val="none"/>
          <w:lang w:eastAsia="zh-CN"/>
        </w:rPr>
      </w:pPr>
      <w:r>
        <w:rPr>
          <w:rFonts w:hint="eastAsia" w:asciiTheme="minorEastAsia" w:hAnsiTheme="minorEastAsia" w:eastAsiaTheme="minorEastAsia"/>
          <w:b/>
          <w:color w:val="auto"/>
          <w:sz w:val="24"/>
          <w:highlight w:val="none"/>
        </w:rPr>
        <w:t>注：1.</w:t>
      </w:r>
      <w:r>
        <w:rPr>
          <w:rFonts w:hint="eastAsia" w:ascii="宋体" w:hAnsi="宋体" w:eastAsia="宋体"/>
          <w:b/>
          <w:bCs/>
          <w:color w:val="auto"/>
          <w:sz w:val="24"/>
          <w:highlight w:val="none"/>
        </w:rPr>
        <w:t>由供应商在接到报价通知后依据谈判情况填写,并在规定时间内提交</w:t>
      </w:r>
      <w:r>
        <w:rPr>
          <w:rFonts w:hint="eastAsia" w:ascii="宋体" w:hAnsi="宋体" w:eastAsia="宋体"/>
          <w:b/>
          <w:bCs/>
          <w:color w:val="auto"/>
          <w:sz w:val="24"/>
          <w:highlight w:val="none"/>
          <w:lang w:eastAsia="zh-CN"/>
        </w:rPr>
        <w:t>；</w:t>
      </w:r>
    </w:p>
    <w:p w14:paraId="23F51445">
      <w:pPr>
        <w:numPr>
          <w:ilvl w:val="0"/>
          <w:numId w:val="0"/>
        </w:numPr>
        <w:spacing w:line="360" w:lineRule="auto"/>
        <w:ind w:firstLine="482"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lang w:val="en-US" w:eastAsia="zh-CN"/>
        </w:rPr>
        <w:t>2.</w:t>
      </w:r>
      <w:r>
        <w:rPr>
          <w:rFonts w:hint="eastAsia" w:asciiTheme="minorEastAsia" w:hAnsiTheme="minorEastAsia" w:eastAsiaTheme="minorEastAsia"/>
          <w:b/>
          <w:bCs/>
          <w:color w:val="auto"/>
          <w:sz w:val="24"/>
          <w:highlight w:val="none"/>
        </w:rPr>
        <w:t>表中大写</w:t>
      </w:r>
      <w:r>
        <w:rPr>
          <w:rFonts w:hint="eastAsia" w:asciiTheme="minorEastAsia" w:hAnsiTheme="minorEastAsia" w:eastAsiaTheme="minorEastAsia"/>
          <w:b/>
          <w:bCs/>
          <w:color w:val="auto"/>
          <w:sz w:val="24"/>
          <w:highlight w:val="none"/>
          <w:lang w:val="en-US" w:eastAsia="zh-CN"/>
        </w:rPr>
        <w:t>费率</w:t>
      </w:r>
      <w:r>
        <w:rPr>
          <w:rFonts w:hint="eastAsia" w:asciiTheme="minorEastAsia" w:hAnsiTheme="minorEastAsia" w:eastAsiaTheme="minorEastAsia"/>
          <w:b/>
          <w:bCs/>
          <w:color w:val="auto"/>
          <w:sz w:val="24"/>
          <w:highlight w:val="none"/>
        </w:rPr>
        <w:t>与小写</w:t>
      </w:r>
      <w:r>
        <w:rPr>
          <w:rFonts w:hint="eastAsia" w:asciiTheme="minorEastAsia" w:hAnsiTheme="minorEastAsia" w:eastAsiaTheme="minorEastAsia"/>
          <w:b/>
          <w:bCs/>
          <w:color w:val="auto"/>
          <w:sz w:val="24"/>
          <w:highlight w:val="none"/>
          <w:lang w:val="en-US" w:eastAsia="zh-CN"/>
        </w:rPr>
        <w:t>费率</w:t>
      </w:r>
      <w:r>
        <w:rPr>
          <w:rFonts w:hint="eastAsia" w:asciiTheme="minorEastAsia" w:hAnsiTheme="minorEastAsia" w:eastAsiaTheme="minorEastAsia"/>
          <w:b/>
          <w:bCs/>
          <w:color w:val="auto"/>
          <w:sz w:val="24"/>
          <w:highlight w:val="none"/>
        </w:rPr>
        <w:t>不一致的，以大写</w:t>
      </w:r>
      <w:r>
        <w:rPr>
          <w:rFonts w:hint="eastAsia" w:asciiTheme="minorEastAsia" w:hAnsiTheme="minorEastAsia" w:eastAsiaTheme="minorEastAsia"/>
          <w:b/>
          <w:bCs/>
          <w:color w:val="auto"/>
          <w:sz w:val="24"/>
          <w:highlight w:val="none"/>
          <w:lang w:val="en-US" w:eastAsia="zh-CN"/>
        </w:rPr>
        <w:t>费率</w:t>
      </w:r>
      <w:r>
        <w:rPr>
          <w:rFonts w:hint="eastAsia" w:asciiTheme="minorEastAsia" w:hAnsiTheme="minorEastAsia" w:eastAsiaTheme="minorEastAsia"/>
          <w:b/>
          <w:bCs/>
          <w:color w:val="auto"/>
          <w:sz w:val="24"/>
          <w:highlight w:val="none"/>
        </w:rPr>
        <w:t>为准</w:t>
      </w:r>
      <w:r>
        <w:rPr>
          <w:rFonts w:hint="eastAsia" w:asciiTheme="minorEastAsia" w:hAnsiTheme="minorEastAsia" w:eastAsiaTheme="minorEastAsia"/>
          <w:b/>
          <w:bCs/>
          <w:color w:val="auto"/>
          <w:sz w:val="24"/>
          <w:highlight w:val="none"/>
          <w:lang w:eastAsia="zh-CN"/>
        </w:rPr>
        <w:t>；</w:t>
      </w:r>
    </w:p>
    <w:p w14:paraId="1F507C49">
      <w:pPr>
        <w:spacing w:line="360" w:lineRule="auto"/>
        <w:ind w:firstLine="482" w:firstLineChars="200"/>
        <w:rPr>
          <w:rFonts w:hint="eastAsia" w:ascii="宋体" w:eastAsia="宋体"/>
          <w:color w:val="auto"/>
          <w:szCs w:val="21"/>
          <w:highlight w:val="none"/>
          <w:lang w:eastAsia="zh-CN"/>
        </w:rPr>
      </w:pPr>
      <w:r>
        <w:rPr>
          <w:rFonts w:hint="eastAsia" w:ascii="宋体" w:hAnsi="宋体"/>
          <w:b/>
          <w:sz w:val="24"/>
          <w:lang w:val="en-US" w:eastAsia="zh-CN"/>
        </w:rPr>
        <w:t>3.</w:t>
      </w:r>
      <w:r>
        <w:rPr>
          <w:rFonts w:hint="eastAsia" w:ascii="宋体" w:hAnsi="宋体"/>
          <w:b/>
          <w:sz w:val="24"/>
        </w:rPr>
        <w:t>此表请各供应商多准备几份，并加盖供应商公章，以便在</w:t>
      </w:r>
      <w:r>
        <w:rPr>
          <w:rFonts w:hint="eastAsia" w:ascii="宋体" w:hAnsi="宋体"/>
          <w:b/>
          <w:sz w:val="24"/>
          <w:lang w:val="en-US" w:eastAsia="zh-CN"/>
        </w:rPr>
        <w:t>谈判</w:t>
      </w:r>
      <w:r>
        <w:rPr>
          <w:rFonts w:hint="eastAsia" w:ascii="宋体" w:hAnsi="宋体"/>
          <w:b/>
          <w:sz w:val="24"/>
        </w:rPr>
        <w:t>时报价使用。（此表由供应商</w:t>
      </w:r>
      <w:r>
        <w:rPr>
          <w:rFonts w:hint="eastAsia" w:ascii="宋体" w:hAnsi="宋体"/>
          <w:b/>
          <w:sz w:val="24"/>
          <w:lang w:val="en-US" w:eastAsia="zh-CN"/>
        </w:rPr>
        <w:t>谈判</w:t>
      </w:r>
      <w:r>
        <w:rPr>
          <w:rFonts w:hint="eastAsia" w:ascii="宋体" w:hAnsi="宋体"/>
          <w:b/>
          <w:sz w:val="24"/>
        </w:rPr>
        <w:t>现场递交）</w:t>
      </w:r>
      <w:r>
        <w:rPr>
          <w:rFonts w:hint="eastAsia" w:ascii="宋体" w:hAnsi="宋体"/>
          <w:b/>
          <w:sz w:val="24"/>
          <w:lang w:eastAsia="zh-CN"/>
        </w:rPr>
        <w:t>。</w:t>
      </w:r>
    </w:p>
    <w:p w14:paraId="749A19AA">
      <w:pPr>
        <w:pStyle w:val="2"/>
        <w:numPr>
          <w:ilvl w:val="0"/>
          <w:numId w:val="0"/>
        </w:numPr>
      </w:pPr>
    </w:p>
    <w:p w14:paraId="74FC0FE2">
      <w:pPr>
        <w:spacing w:line="360" w:lineRule="auto"/>
        <w:ind w:firstLine="435"/>
        <w:rPr>
          <w:rFonts w:asciiTheme="minorEastAsia" w:hAnsiTheme="minorEastAsia" w:eastAsiaTheme="minorEastAsia"/>
          <w:b/>
          <w:bCs/>
          <w:color w:val="auto"/>
          <w:sz w:val="24"/>
          <w:highlight w:val="none"/>
        </w:rPr>
      </w:pPr>
    </w:p>
    <w:p w14:paraId="5C27C790">
      <w:pPr>
        <w:widowControl/>
        <w:jc w:val="left"/>
        <w:rPr>
          <w:rFonts w:asciiTheme="minorEastAsia" w:hAnsiTheme="minorEastAsia" w:eastAsiaTheme="minorEastAsia"/>
          <w:b/>
          <w:color w:val="auto"/>
          <w:sz w:val="24"/>
          <w:highlight w:val="none"/>
        </w:rPr>
      </w:pPr>
      <w:bookmarkStart w:id="79" w:name="_Toc520983591"/>
      <w:r>
        <w:rPr>
          <w:rFonts w:asciiTheme="minorEastAsia" w:hAnsiTheme="minorEastAsia" w:eastAsiaTheme="minorEastAsia"/>
          <w:b/>
          <w:color w:val="auto"/>
          <w:sz w:val="24"/>
          <w:highlight w:val="none"/>
        </w:rPr>
        <w:br w:type="page"/>
      </w:r>
    </w:p>
    <w:p w14:paraId="4A3DFF40">
      <w:pPr>
        <w:spacing w:line="360" w:lineRule="auto"/>
        <w:jc w:val="center"/>
        <w:outlineLvl w:val="1"/>
        <w:rPr>
          <w:rFonts w:asciiTheme="minorEastAsia" w:hAnsiTheme="minorEastAsia" w:eastAsiaTheme="minorEastAsia"/>
          <w:b/>
          <w:color w:val="auto"/>
          <w:sz w:val="24"/>
          <w:highlight w:val="none"/>
        </w:rPr>
      </w:pPr>
      <w:bookmarkStart w:id="80" w:name="_Toc19122"/>
      <w:bookmarkStart w:id="81" w:name="_Toc24283"/>
      <w:r>
        <w:rPr>
          <w:rFonts w:hint="eastAsia" w:asciiTheme="minorEastAsia" w:hAnsiTheme="minorEastAsia" w:eastAsiaTheme="minorEastAsia"/>
          <w:b/>
          <w:color w:val="auto"/>
          <w:sz w:val="24"/>
          <w:highlight w:val="none"/>
        </w:rPr>
        <w:t>三、谈判响应函</w:t>
      </w:r>
      <w:bookmarkEnd w:id="79"/>
      <w:bookmarkEnd w:id="80"/>
      <w:bookmarkEnd w:id="81"/>
    </w:p>
    <w:p w14:paraId="271A7659">
      <w:pPr>
        <w:pStyle w:val="22"/>
        <w:spacing w:line="360" w:lineRule="auto"/>
        <w:ind w:left="0" w:leftChars="0" w:firstLine="0" w:firstLineChars="0"/>
        <w:rPr>
          <w:rFonts w:hint="eastAsia" w:ascii="宋体" w:hAnsi="宋体" w:eastAsia="宋体"/>
          <w:color w:val="auto"/>
          <w:sz w:val="24"/>
          <w:highlight w:val="none"/>
          <w:lang w:eastAsia="zh-CN"/>
        </w:rPr>
      </w:pPr>
      <w:r>
        <w:rPr>
          <w:rFonts w:hint="eastAsia" w:ascii="宋体" w:hAnsi="宋体"/>
          <w:color w:val="auto"/>
          <w:sz w:val="24"/>
          <w:highlight w:val="none"/>
        </w:rPr>
        <w:t>致：</w:t>
      </w:r>
      <w:r>
        <w:rPr>
          <w:rFonts w:hint="eastAsia" w:ascii="宋体" w:hAnsi="宋体"/>
          <w:color w:val="auto"/>
          <w:sz w:val="24"/>
          <w:szCs w:val="24"/>
          <w:highlight w:val="none"/>
          <w:u w:val="none"/>
          <w:lang w:eastAsia="zh-CN"/>
        </w:rPr>
        <w:t>采购人</w:t>
      </w:r>
    </w:p>
    <w:p w14:paraId="31EE873C">
      <w:pPr>
        <w:spacing w:line="360" w:lineRule="auto"/>
        <w:ind w:firstLine="480" w:firstLineChars="200"/>
        <w:rPr>
          <w:rFonts w:ascii="宋体" w:hAnsi="宋体" w:eastAsia="宋体"/>
          <w:dstrike/>
          <w:color w:val="auto"/>
          <w:sz w:val="24"/>
          <w:highlight w:val="none"/>
        </w:rPr>
      </w:pPr>
      <w:r>
        <w:rPr>
          <w:rFonts w:hint="eastAsia" w:ascii="宋体" w:hAnsi="宋体" w:eastAsia="宋体"/>
          <w:color w:val="auto"/>
          <w:sz w:val="24"/>
          <w:highlight w:val="none"/>
        </w:rPr>
        <w:t>根据贵方的竞争性谈判公告和谈判邀请，我方兹宣布同意如下：</w:t>
      </w:r>
    </w:p>
    <w:p w14:paraId="11905B4A">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1.我方根据本次谈判文件的规定，严格履行合同的责任和义务</w:t>
      </w:r>
      <w:r>
        <w:rPr>
          <w:rFonts w:ascii="宋体" w:hAnsi="宋体" w:eastAsia="宋体"/>
          <w:color w:val="auto"/>
          <w:sz w:val="24"/>
          <w:highlight w:val="none"/>
        </w:rPr>
        <w:t>,</w:t>
      </w:r>
      <w:r>
        <w:rPr>
          <w:rFonts w:hint="eastAsia" w:ascii="宋体" w:hAnsi="宋体" w:eastAsia="宋体"/>
          <w:color w:val="auto"/>
          <w:sz w:val="24"/>
          <w:highlight w:val="none"/>
        </w:rPr>
        <w:t>并保证于买方要求的日期内完成，并通过买方验收。</w:t>
      </w:r>
    </w:p>
    <w:p w14:paraId="2987E6CF">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.我方已详细审核本次谈判文件，包括谈判文件附件</w:t>
      </w:r>
      <w:r>
        <w:rPr>
          <w:rFonts w:hint="eastAsia" w:ascii="宋体" w:hAnsi="宋体" w:eastAsia="宋体"/>
          <w:color w:val="auto"/>
          <w:sz w:val="24"/>
          <w:highlight w:val="none"/>
          <w:lang w:val="en-US" w:eastAsia="zh-CN"/>
        </w:rPr>
        <w:t>及更正公告</w:t>
      </w:r>
      <w:r>
        <w:rPr>
          <w:rFonts w:hint="eastAsia" w:ascii="宋体" w:hAnsi="宋体" w:eastAsia="宋体"/>
          <w:color w:val="auto"/>
          <w:sz w:val="24"/>
          <w:highlight w:val="none"/>
        </w:rPr>
        <w:t>（如有），我方正式认可并遵守本次谈判文件，并对谈判文件各项条款、规定及要求均无异议。</w:t>
      </w:r>
    </w:p>
    <w:p w14:paraId="6007E3FD">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.我方同意从供应商须知规定的谈判日期起遵循本谈判文件，并在供应商须知规定的谈判有效期之前均具有约束力。</w:t>
      </w:r>
    </w:p>
    <w:p w14:paraId="4F752A87">
      <w:pPr>
        <w:spacing w:line="360" w:lineRule="auto"/>
        <w:ind w:firstLine="480" w:firstLineChars="200"/>
        <w:rPr>
          <w:rFonts w:ascii="宋体" w:hAnsi="宋体" w:eastAsia="宋体"/>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w:t>
      </w:r>
      <w:r>
        <w:rPr>
          <w:rFonts w:hint="eastAsia" w:asciiTheme="minorEastAsia" w:hAnsiTheme="minorEastAsia" w:eastAsiaTheme="minorEastAsia"/>
          <w:color w:val="auto"/>
          <w:sz w:val="24"/>
          <w:highlight w:val="none"/>
          <w:lang w:val="en-US" w:eastAsia="zh-CN"/>
        </w:rPr>
        <w:t>响应</w:t>
      </w:r>
      <w:r>
        <w:rPr>
          <w:rFonts w:hint="eastAsia" w:asciiTheme="minorEastAsia" w:hAnsiTheme="minorEastAsia" w:eastAsiaTheme="minorEastAsia"/>
          <w:color w:val="auto"/>
          <w:sz w:val="24"/>
          <w:highlight w:val="none"/>
        </w:rPr>
        <w:t>文件所提供的一切资料均真实无误、及时、有效，企业运营正常。由于我方提供资料不实而造成的责任和后果由我方承担。我方同意按照贵方提出的要求，提供与</w:t>
      </w:r>
      <w:r>
        <w:rPr>
          <w:rFonts w:hint="eastAsia" w:asciiTheme="minorEastAsia" w:hAnsiTheme="minorEastAsia" w:eastAsiaTheme="minorEastAsia"/>
          <w:color w:val="auto"/>
          <w:sz w:val="24"/>
          <w:highlight w:val="none"/>
          <w:lang w:val="en-US" w:eastAsia="zh-CN"/>
        </w:rPr>
        <w:t>谈判</w:t>
      </w:r>
      <w:r>
        <w:rPr>
          <w:rFonts w:hint="eastAsia" w:asciiTheme="minorEastAsia" w:hAnsiTheme="minorEastAsia" w:eastAsiaTheme="minorEastAsia"/>
          <w:color w:val="auto"/>
          <w:sz w:val="24"/>
          <w:highlight w:val="none"/>
        </w:rPr>
        <w:t>有关的任何证据、数据或资料。</w:t>
      </w:r>
    </w:p>
    <w:p w14:paraId="30806C09">
      <w:pPr>
        <w:spacing w:line="360" w:lineRule="auto"/>
        <w:ind w:firstLine="3600" w:firstLineChars="1500"/>
        <w:rPr>
          <w:rFonts w:hint="eastAsia" w:ascii="宋体" w:hAnsi="宋体" w:eastAsia="宋体"/>
          <w:color w:val="auto"/>
          <w:sz w:val="24"/>
          <w:highlight w:val="none"/>
        </w:rPr>
      </w:pPr>
    </w:p>
    <w:p w14:paraId="1750CD75">
      <w:pPr>
        <w:spacing w:line="360" w:lineRule="auto"/>
        <w:ind w:firstLine="4320" w:firstLineChars="1800"/>
        <w:rPr>
          <w:rFonts w:ascii="宋体" w:hAnsi="宋体" w:eastAsia="宋体"/>
          <w:color w:val="auto"/>
          <w:sz w:val="24"/>
          <w:highlight w:val="none"/>
        </w:rPr>
      </w:pPr>
      <w:r>
        <w:rPr>
          <w:rFonts w:hint="eastAsia" w:ascii="宋体" w:hAnsi="宋体" w:eastAsia="宋体"/>
          <w:color w:val="auto"/>
          <w:sz w:val="24"/>
          <w:highlight w:val="none"/>
        </w:rPr>
        <w:t>供应商签章：</w:t>
      </w:r>
      <w:r>
        <w:rPr>
          <w:rFonts w:hint="eastAsia" w:ascii="宋体" w:hAnsi="宋体" w:eastAsia="宋体"/>
          <w:color w:val="auto"/>
          <w:sz w:val="24"/>
          <w:highlight w:val="none"/>
          <w:u w:val="single"/>
        </w:rPr>
        <w:t xml:space="preserve">                      </w:t>
      </w:r>
    </w:p>
    <w:p w14:paraId="7B242CA5">
      <w:pPr>
        <w:spacing w:line="360" w:lineRule="auto"/>
        <w:ind w:firstLine="4320" w:firstLineChars="18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6825E3F9">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1DFB07DE">
      <w:pPr>
        <w:spacing w:line="360" w:lineRule="auto"/>
        <w:jc w:val="center"/>
        <w:outlineLvl w:val="1"/>
        <w:rPr>
          <w:rFonts w:hint="eastAsia" w:asciiTheme="minorEastAsia" w:hAnsiTheme="minorEastAsia" w:eastAsiaTheme="minorEastAsia"/>
          <w:b/>
          <w:color w:val="auto"/>
          <w:sz w:val="24"/>
          <w:highlight w:val="none"/>
        </w:rPr>
      </w:pPr>
      <w:bookmarkStart w:id="82" w:name="_Toc25337"/>
      <w:bookmarkStart w:id="83" w:name="_Toc121626298"/>
      <w:bookmarkStart w:id="84" w:name="_Toc520983594"/>
      <w:bookmarkStart w:id="85" w:name="_Toc516969106"/>
      <w:bookmarkStart w:id="86" w:name="_Toc10139"/>
      <w:bookmarkStart w:id="87" w:name="_Toc204594911"/>
      <w:r>
        <w:rPr>
          <w:rFonts w:hint="eastAsia" w:asciiTheme="minorEastAsia" w:hAnsiTheme="minorEastAsia" w:eastAsiaTheme="minorEastAsia"/>
          <w:b/>
          <w:color w:val="auto"/>
          <w:sz w:val="24"/>
          <w:highlight w:val="none"/>
          <w:lang w:val="en-US" w:eastAsia="zh-CN"/>
        </w:rPr>
        <w:t>四、供应商资格声明书</w:t>
      </w:r>
      <w:bookmarkEnd w:id="82"/>
      <w:r>
        <w:rPr>
          <w:rFonts w:hint="eastAsia" w:asciiTheme="minorEastAsia" w:hAnsiTheme="minorEastAsia" w:eastAsiaTheme="minorEastAsia"/>
          <w:b/>
          <w:color w:val="auto"/>
          <w:sz w:val="24"/>
          <w:highlight w:val="none"/>
          <w:lang w:val="en-US" w:eastAsia="zh-CN"/>
        </w:rPr>
        <w:t xml:space="preserve"> </w:t>
      </w:r>
    </w:p>
    <w:p w14:paraId="798C8EF9">
      <w:pPr>
        <w:pStyle w:val="22"/>
        <w:spacing w:line="360" w:lineRule="auto"/>
        <w:ind w:left="0" w:leftChars="0" w:firstLine="0" w:firstLineChars="0"/>
        <w:rPr>
          <w:rFonts w:hint="eastAsia" w:eastAsia="宋体" w:asciiTheme="minorEastAsia" w:hAnsiTheme="minorEastAsia" w:cstheme="minorEastAsia"/>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none"/>
          <w:lang w:eastAsia="zh-CN"/>
        </w:rPr>
        <w:t>采购人</w:t>
      </w:r>
    </w:p>
    <w:p w14:paraId="19AC55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在参与本次项目谈判中，我单位承诺：</w:t>
      </w:r>
    </w:p>
    <w:p w14:paraId="710E22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1D7B55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525888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058893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5F613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（五）我单位不存在为采购项目提供整体设计、规范编制或者项目管理、监理、检测等服务后，再参加该采购项目的其他采购活动的情形（单一来源采购项目除外）；</w:t>
      </w:r>
    </w:p>
    <w:p w14:paraId="683A0E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（六）与我单位存在单位负责人为同一人或者存在直接控股、管理关系的其他法人单位信息如下（如有，不论其是否参加同一合同项下的政府采购活动均须填写）：</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4608"/>
        <w:gridCol w:w="2945"/>
      </w:tblGrid>
      <w:tr w14:paraId="4299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vAlign w:val="center"/>
          </w:tcPr>
          <w:p w14:paraId="1AA1C5D6">
            <w:pPr>
              <w:keepNext w:val="0"/>
              <w:keepLines w:val="0"/>
              <w:pageBreakBefore w:val="0"/>
              <w:widowControl/>
              <w:suppressLineNumbers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序号</w:t>
            </w:r>
          </w:p>
        </w:tc>
        <w:tc>
          <w:tcPr>
            <w:tcW w:w="2608" w:type="pct"/>
            <w:vAlign w:val="center"/>
          </w:tcPr>
          <w:p w14:paraId="0DABA545">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单位名称</w:t>
            </w:r>
          </w:p>
        </w:tc>
        <w:tc>
          <w:tcPr>
            <w:tcW w:w="1667" w:type="pct"/>
            <w:vAlign w:val="center"/>
          </w:tcPr>
          <w:p w14:paraId="16CB7642">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相互关系</w:t>
            </w:r>
          </w:p>
        </w:tc>
      </w:tr>
      <w:tr w14:paraId="6BA1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vAlign w:val="center"/>
          </w:tcPr>
          <w:p w14:paraId="0684862B">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default"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vertAlign w:val="baseline"/>
                <w:lang w:val="en-US" w:eastAsia="zh-CN" w:bidi="ar"/>
              </w:rPr>
              <w:t>1</w:t>
            </w:r>
          </w:p>
        </w:tc>
        <w:tc>
          <w:tcPr>
            <w:tcW w:w="2608" w:type="pct"/>
            <w:vAlign w:val="center"/>
          </w:tcPr>
          <w:p w14:paraId="05FC1AC4">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c>
          <w:tcPr>
            <w:tcW w:w="1667" w:type="pct"/>
            <w:vAlign w:val="center"/>
          </w:tcPr>
          <w:p w14:paraId="1A8592C6">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r>
      <w:tr w14:paraId="4132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vAlign w:val="center"/>
          </w:tcPr>
          <w:p w14:paraId="62D303A4">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default"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vertAlign w:val="baseline"/>
                <w:lang w:val="en-US" w:eastAsia="zh-CN" w:bidi="ar"/>
              </w:rPr>
              <w:t>2</w:t>
            </w:r>
          </w:p>
        </w:tc>
        <w:tc>
          <w:tcPr>
            <w:tcW w:w="2608" w:type="pct"/>
            <w:vAlign w:val="center"/>
          </w:tcPr>
          <w:p w14:paraId="538DA7A5">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c>
          <w:tcPr>
            <w:tcW w:w="1667" w:type="pct"/>
            <w:vAlign w:val="center"/>
          </w:tcPr>
          <w:p w14:paraId="16AB6B6B">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r>
    </w:tbl>
    <w:p w14:paraId="24B8E7D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6D4B7268">
      <w:pPr>
        <w:spacing w:line="360" w:lineRule="auto"/>
        <w:ind w:firstLine="4800" w:firstLineChars="2000"/>
        <w:rPr>
          <w:rFonts w:hint="eastAsia" w:ascii="宋体" w:hAnsi="宋体" w:eastAsia="宋体"/>
          <w:color w:val="auto"/>
          <w:sz w:val="24"/>
          <w:highlight w:val="none"/>
          <w:lang w:val="en-US" w:eastAsia="zh-CN"/>
        </w:rPr>
      </w:pPr>
    </w:p>
    <w:p w14:paraId="4F41F7C4">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2652F45A">
      <w:pPr>
        <w:spacing w:line="360" w:lineRule="auto"/>
        <w:ind w:firstLine="4800" w:firstLineChars="2000"/>
        <w:rPr>
          <w:rFonts w:hint="default" w:ascii="宋体" w:hAnsi="宋体" w:eastAsia="宋体"/>
          <w:color w:val="auto"/>
          <w:sz w:val="24"/>
          <w:highlight w:val="none"/>
          <w:lang w:val="en-US" w:eastAsia="zh-CN"/>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w:t>
      </w:r>
    </w:p>
    <w:p w14:paraId="6DC91BFF">
      <w:pPr>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br w:type="page"/>
      </w:r>
    </w:p>
    <w:p w14:paraId="48A33834">
      <w:pPr>
        <w:spacing w:line="360" w:lineRule="auto"/>
        <w:jc w:val="center"/>
        <w:outlineLvl w:val="1"/>
        <w:rPr>
          <w:rFonts w:asciiTheme="minorEastAsia" w:hAnsiTheme="minorEastAsia" w:eastAsiaTheme="minorEastAsia"/>
          <w:b/>
          <w:color w:val="auto"/>
          <w:sz w:val="24"/>
          <w:highlight w:val="none"/>
        </w:rPr>
      </w:pPr>
      <w:bookmarkStart w:id="88" w:name="_Toc15728"/>
      <w:r>
        <w:rPr>
          <w:rFonts w:hint="eastAsia" w:asciiTheme="minorEastAsia" w:hAnsiTheme="minorEastAsia" w:eastAsiaTheme="minorEastAsia"/>
          <w:b/>
          <w:color w:val="auto"/>
          <w:sz w:val="24"/>
          <w:highlight w:val="none"/>
          <w:lang w:val="en-US" w:eastAsia="zh-CN"/>
        </w:rPr>
        <w:t>五</w:t>
      </w:r>
      <w:r>
        <w:rPr>
          <w:rFonts w:hint="eastAsia" w:asciiTheme="minorEastAsia" w:hAnsiTheme="minorEastAsia" w:eastAsiaTheme="minorEastAsia"/>
          <w:b/>
          <w:color w:val="auto"/>
          <w:sz w:val="24"/>
          <w:highlight w:val="none"/>
        </w:rPr>
        <w:t>、授权书</w:t>
      </w:r>
      <w:bookmarkEnd w:id="83"/>
      <w:bookmarkEnd w:id="84"/>
      <w:bookmarkEnd w:id="85"/>
      <w:bookmarkEnd w:id="86"/>
      <w:bookmarkEnd w:id="87"/>
      <w:bookmarkEnd w:id="88"/>
    </w:p>
    <w:p w14:paraId="7DF0CFDA">
      <w:pPr>
        <w:pStyle w:val="20"/>
        <w:snapToGrid w:val="0"/>
        <w:spacing w:line="360" w:lineRule="auto"/>
        <w:ind w:firstLine="480" w:firstLineChars="200"/>
        <w:jc w:val="left"/>
        <w:rPr>
          <w:rFonts w:hAnsi="宋体" w:eastAsia="宋体"/>
          <w:color w:val="auto"/>
          <w:sz w:val="24"/>
          <w:szCs w:val="28"/>
          <w:highlight w:val="none"/>
        </w:rPr>
      </w:pPr>
    </w:p>
    <w:p w14:paraId="01058D42">
      <w:pPr>
        <w:pStyle w:val="20"/>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谈判过程的一切事宜，包括但不限于：提交响应文件、参与谈判、签约等。供应商授权代表在采购活动过程中所签署的一切文件和处理与之有关的一切事务，本公司均予以认可并对此承担责任。供应商授权代表无转委托权。特此授权。</w:t>
      </w:r>
    </w:p>
    <w:p w14:paraId="1878EDFE">
      <w:pPr>
        <w:pStyle w:val="20"/>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6FF422EB">
      <w:pPr>
        <w:pStyle w:val="20"/>
        <w:snapToGrid w:val="0"/>
        <w:spacing w:line="360" w:lineRule="auto"/>
        <w:ind w:firstLine="480" w:firstLineChars="200"/>
        <w:jc w:val="left"/>
        <w:rPr>
          <w:rFonts w:hAnsi="宋体" w:eastAsia="宋体"/>
          <w:color w:val="auto"/>
          <w:sz w:val="24"/>
          <w:highlight w:val="none"/>
        </w:rPr>
      </w:pPr>
      <w:r>
        <w:rPr>
          <w:rFonts w:hint="eastAsia" w:hAnsi="宋体" w:eastAsia="宋体"/>
          <w:color w:val="auto"/>
          <w:sz w:val="24"/>
          <w:szCs w:val="28"/>
          <w:highlight w:val="none"/>
        </w:rPr>
        <w:t>授权代表</w:t>
      </w:r>
      <w:r>
        <w:rPr>
          <w:rFonts w:hint="eastAsia" w:hAnsi="宋体" w:eastAsia="宋体"/>
          <w:color w:val="auto"/>
          <w:sz w:val="24"/>
          <w:highlight w:val="none"/>
        </w:rPr>
        <w:t>身份证明扫描件：</w:t>
      </w:r>
    </w:p>
    <w:p w14:paraId="16B3166A">
      <w:pPr>
        <w:pStyle w:val="20"/>
        <w:snapToGrid w:val="0"/>
        <w:spacing w:line="360" w:lineRule="auto"/>
        <w:ind w:firstLine="480" w:firstLineChars="200"/>
        <w:jc w:val="left"/>
        <w:rPr>
          <w:rFonts w:hAnsi="宋体" w:eastAsia="宋体"/>
          <w:color w:val="auto"/>
          <w:sz w:val="24"/>
          <w:highlight w:val="none"/>
        </w:rPr>
      </w:pPr>
    </w:p>
    <w:p w14:paraId="75A335C5">
      <w:pPr>
        <w:pStyle w:val="20"/>
        <w:snapToGrid w:val="0"/>
        <w:spacing w:line="360" w:lineRule="auto"/>
        <w:ind w:firstLine="480" w:firstLineChars="200"/>
        <w:jc w:val="left"/>
        <w:rPr>
          <w:rFonts w:hAnsi="宋体" w:eastAsia="宋体"/>
          <w:color w:val="auto"/>
          <w:sz w:val="24"/>
          <w:highlight w:val="none"/>
        </w:rPr>
      </w:pPr>
    </w:p>
    <w:p w14:paraId="6B4F54B0">
      <w:pPr>
        <w:pStyle w:val="20"/>
        <w:snapToGrid w:val="0"/>
        <w:spacing w:line="360" w:lineRule="auto"/>
        <w:ind w:firstLine="480" w:firstLineChars="200"/>
        <w:jc w:val="left"/>
        <w:rPr>
          <w:rFonts w:hAnsi="宋体" w:eastAsia="宋体"/>
          <w:color w:val="auto"/>
          <w:sz w:val="24"/>
          <w:highlight w:val="none"/>
        </w:rPr>
      </w:pPr>
    </w:p>
    <w:p w14:paraId="63E6B7EA">
      <w:pPr>
        <w:pStyle w:val="20"/>
        <w:snapToGrid w:val="0"/>
        <w:spacing w:line="360" w:lineRule="auto"/>
        <w:ind w:firstLine="480" w:firstLineChars="200"/>
        <w:jc w:val="left"/>
        <w:rPr>
          <w:rFonts w:hAnsi="宋体" w:eastAsia="宋体"/>
          <w:color w:val="auto"/>
          <w:sz w:val="24"/>
          <w:highlight w:val="none"/>
        </w:rPr>
      </w:pPr>
    </w:p>
    <w:p w14:paraId="09EE7495">
      <w:pPr>
        <w:pStyle w:val="20"/>
        <w:snapToGrid w:val="0"/>
        <w:spacing w:line="360" w:lineRule="auto"/>
        <w:ind w:firstLine="480" w:firstLineChars="200"/>
        <w:jc w:val="left"/>
        <w:rPr>
          <w:rFonts w:hAnsi="宋体" w:eastAsia="宋体"/>
          <w:color w:val="auto"/>
          <w:sz w:val="24"/>
          <w:szCs w:val="28"/>
          <w:highlight w:val="none"/>
          <w:u w:val="single"/>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50FAE0D0">
      <w:pPr>
        <w:pStyle w:val="20"/>
        <w:snapToGrid w:val="0"/>
        <w:spacing w:line="360" w:lineRule="auto"/>
        <w:ind w:firstLine="480" w:firstLineChars="200"/>
        <w:jc w:val="left"/>
        <w:rPr>
          <w:rFonts w:hAnsi="宋体" w:eastAsia="宋体"/>
          <w:color w:val="auto"/>
          <w:sz w:val="24"/>
          <w:szCs w:val="28"/>
          <w:highlight w:val="none"/>
        </w:rPr>
      </w:pPr>
    </w:p>
    <w:p w14:paraId="5EBF0C9D">
      <w:pPr>
        <w:spacing w:line="360" w:lineRule="auto"/>
        <w:ind w:firstLine="360" w:firstLineChars="150"/>
        <w:rPr>
          <w:rFonts w:ascii="宋体" w:hAnsi="宋体" w:eastAsia="宋体"/>
          <w:color w:val="auto"/>
          <w:sz w:val="24"/>
          <w:szCs w:val="28"/>
          <w:highlight w:val="none"/>
        </w:rPr>
      </w:pPr>
      <w:r>
        <w:rPr>
          <w:rFonts w:hint="eastAsia" w:ascii="宋体" w:hAnsi="宋体" w:eastAsia="宋体"/>
          <w:color w:val="auto"/>
          <w:sz w:val="24"/>
          <w:szCs w:val="28"/>
          <w:highlight w:val="none"/>
        </w:rPr>
        <w:t>特此声明。</w:t>
      </w:r>
    </w:p>
    <w:p w14:paraId="6B1D2305">
      <w:pPr>
        <w:spacing w:line="360" w:lineRule="auto"/>
        <w:rPr>
          <w:rFonts w:ascii="宋体" w:hAnsi="宋体" w:eastAsia="宋体"/>
          <w:color w:val="auto"/>
          <w:sz w:val="24"/>
          <w:szCs w:val="28"/>
          <w:highlight w:val="none"/>
        </w:rPr>
      </w:pPr>
    </w:p>
    <w:p w14:paraId="52F33077">
      <w:pPr>
        <w:spacing w:line="360" w:lineRule="auto"/>
        <w:ind w:firstLine="5280" w:firstLineChars="2200"/>
        <w:rPr>
          <w:rFonts w:ascii="宋体" w:hAnsi="宋体" w:eastAsia="宋体"/>
          <w:color w:val="auto"/>
          <w:sz w:val="24"/>
          <w:highlight w:val="none"/>
          <w:u w:val="single"/>
        </w:rPr>
      </w:pP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0B628FD8">
      <w:pPr>
        <w:spacing w:line="360" w:lineRule="auto"/>
        <w:ind w:firstLine="5280" w:firstLineChars="2200"/>
        <w:rPr>
          <w:rFonts w:ascii="宋体" w:hAnsi="宋体" w:eastAsia="宋体"/>
          <w:color w:val="auto"/>
          <w:sz w:val="24"/>
          <w:szCs w:val="28"/>
          <w:highlight w:val="non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03FC5F5B">
      <w:pPr>
        <w:spacing w:line="360" w:lineRule="auto"/>
        <w:rPr>
          <w:rFonts w:ascii="宋体" w:hAnsi="宋体" w:eastAsia="宋体"/>
          <w:color w:val="auto"/>
          <w:sz w:val="24"/>
          <w:szCs w:val="28"/>
          <w:highlight w:val="none"/>
        </w:rPr>
      </w:pPr>
    </w:p>
    <w:p w14:paraId="24730712">
      <w:pPr>
        <w:spacing w:line="360" w:lineRule="auto"/>
        <w:rPr>
          <w:rFonts w:ascii="宋体" w:hAnsi="宋体" w:eastAsia="宋体"/>
          <w:color w:val="auto"/>
          <w:sz w:val="24"/>
          <w:szCs w:val="28"/>
          <w:highlight w:val="none"/>
        </w:rPr>
      </w:pPr>
    </w:p>
    <w:p w14:paraId="6B0155DE">
      <w:pPr>
        <w:pStyle w:val="20"/>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注：</w:t>
      </w:r>
    </w:p>
    <w:p w14:paraId="6D711B6A">
      <w:pPr>
        <w:pStyle w:val="20"/>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1.本项目只允许有唯一的供应商授权代表，提供身份证明扫描件；</w:t>
      </w:r>
    </w:p>
    <w:p w14:paraId="62F2DD3B">
      <w:pPr>
        <w:pStyle w:val="20"/>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2.法定代表人参加谈判的无需提供授权书，仅提供身份证明扫描件。</w:t>
      </w:r>
    </w:p>
    <w:p w14:paraId="6E4A26D2">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786D7AF8">
      <w:pPr>
        <w:spacing w:line="360" w:lineRule="auto"/>
        <w:jc w:val="center"/>
        <w:outlineLvl w:val="1"/>
        <w:rPr>
          <w:rFonts w:asciiTheme="minorEastAsia" w:hAnsiTheme="minorEastAsia" w:eastAsiaTheme="minorEastAsia"/>
          <w:b/>
          <w:color w:val="auto"/>
          <w:sz w:val="24"/>
          <w:highlight w:val="none"/>
        </w:rPr>
      </w:pPr>
      <w:bookmarkStart w:id="89" w:name="_Toc27733"/>
      <w:bookmarkStart w:id="90" w:name="_Toc15310"/>
      <w:r>
        <w:rPr>
          <w:rFonts w:hint="eastAsia" w:asciiTheme="minorEastAsia" w:hAnsiTheme="minorEastAsia" w:eastAsiaTheme="minorEastAsia"/>
          <w:b/>
          <w:color w:val="auto"/>
          <w:sz w:val="24"/>
          <w:highlight w:val="none"/>
        </w:rPr>
        <w:t>六、谈判响应表</w:t>
      </w:r>
      <w:bookmarkEnd w:id="89"/>
      <w:bookmarkEnd w:id="90"/>
    </w:p>
    <w:p w14:paraId="5FD070E0">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商务响应表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986"/>
        <w:gridCol w:w="2589"/>
        <w:gridCol w:w="2670"/>
        <w:gridCol w:w="840"/>
      </w:tblGrid>
      <w:tr w14:paraId="4971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14:paraId="3BAE33E6">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077C02F7">
            <w:pPr>
              <w:pStyle w:val="20"/>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7DCD52A0">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谈判文件要求</w:t>
            </w:r>
          </w:p>
        </w:tc>
        <w:tc>
          <w:tcPr>
            <w:tcW w:w="1511" w:type="pct"/>
            <w:vAlign w:val="center"/>
          </w:tcPr>
          <w:p w14:paraId="3CBA2C99">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供应商承诺</w:t>
            </w:r>
          </w:p>
        </w:tc>
        <w:tc>
          <w:tcPr>
            <w:tcW w:w="475" w:type="pct"/>
            <w:vAlign w:val="center"/>
          </w:tcPr>
          <w:p w14:paraId="6D373D22">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0D6F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78AE99F5">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124" w:type="pct"/>
            <w:vAlign w:val="center"/>
          </w:tcPr>
          <w:p w14:paraId="70991E50">
            <w:pPr>
              <w:jc w:val="center"/>
              <w:rPr>
                <w:rFonts w:ascii="宋体" w:hAnsi="宋体" w:eastAsia="宋体"/>
                <w:color w:val="auto"/>
                <w:sz w:val="24"/>
                <w:highlight w:val="none"/>
              </w:rPr>
            </w:pPr>
            <w:r>
              <w:rPr>
                <w:rFonts w:asciiTheme="minorEastAsia" w:hAnsiTheme="minorEastAsia" w:eastAsiaTheme="minorEastAsia"/>
                <w:color w:val="auto"/>
                <w:sz w:val="24"/>
                <w:highlight w:val="none"/>
              </w:rPr>
              <w:t>付款方式</w:t>
            </w:r>
          </w:p>
        </w:tc>
        <w:tc>
          <w:tcPr>
            <w:tcW w:w="1465" w:type="pct"/>
            <w:vAlign w:val="center"/>
          </w:tcPr>
          <w:p w14:paraId="14D0FADA">
            <w:pPr>
              <w:jc w:val="center"/>
              <w:rPr>
                <w:rFonts w:asciiTheme="minorEastAsia" w:hAnsiTheme="minorEastAsia" w:eastAsiaTheme="minorEastAsia"/>
                <w:color w:val="auto"/>
                <w:sz w:val="24"/>
                <w:highlight w:val="none"/>
              </w:rPr>
            </w:pPr>
          </w:p>
        </w:tc>
        <w:tc>
          <w:tcPr>
            <w:tcW w:w="1511" w:type="pct"/>
            <w:vAlign w:val="center"/>
          </w:tcPr>
          <w:p w14:paraId="68E8C36C">
            <w:pPr>
              <w:jc w:val="center"/>
              <w:rPr>
                <w:rFonts w:asciiTheme="minorEastAsia" w:hAnsiTheme="minorEastAsia" w:eastAsiaTheme="minorEastAsia"/>
                <w:color w:val="auto"/>
                <w:sz w:val="24"/>
                <w:highlight w:val="none"/>
              </w:rPr>
            </w:pPr>
          </w:p>
        </w:tc>
        <w:tc>
          <w:tcPr>
            <w:tcW w:w="475" w:type="pct"/>
            <w:vAlign w:val="center"/>
          </w:tcPr>
          <w:p w14:paraId="31F24BDA">
            <w:pPr>
              <w:jc w:val="center"/>
              <w:rPr>
                <w:rFonts w:asciiTheme="minorEastAsia" w:hAnsiTheme="minorEastAsia" w:eastAsiaTheme="minorEastAsia"/>
                <w:color w:val="auto"/>
                <w:sz w:val="24"/>
                <w:highlight w:val="none"/>
              </w:rPr>
            </w:pPr>
          </w:p>
        </w:tc>
      </w:tr>
      <w:tr w14:paraId="01FA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395805DE">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124" w:type="pct"/>
            <w:vAlign w:val="center"/>
          </w:tcPr>
          <w:p w14:paraId="6FA6484A">
            <w:pPr>
              <w:jc w:val="center"/>
              <w:rPr>
                <w:rFonts w:ascii="宋体" w:hAnsi="宋体" w:eastAsia="宋体"/>
                <w:color w:val="auto"/>
                <w:sz w:val="24"/>
                <w:highlight w:val="none"/>
              </w:rPr>
            </w:pPr>
            <w:r>
              <w:rPr>
                <w:rFonts w:hint="eastAsia" w:ascii="宋体" w:hAnsi="宋体" w:eastAsia="宋体"/>
                <w:color w:val="auto"/>
                <w:sz w:val="24"/>
                <w:highlight w:val="none"/>
              </w:rPr>
              <w:t>供货及安装地点</w:t>
            </w:r>
          </w:p>
        </w:tc>
        <w:tc>
          <w:tcPr>
            <w:tcW w:w="1465" w:type="pct"/>
            <w:vAlign w:val="center"/>
          </w:tcPr>
          <w:p w14:paraId="49358685">
            <w:pPr>
              <w:jc w:val="center"/>
              <w:rPr>
                <w:rFonts w:asciiTheme="minorEastAsia" w:hAnsiTheme="minorEastAsia" w:eastAsiaTheme="minorEastAsia"/>
                <w:color w:val="auto"/>
                <w:sz w:val="24"/>
                <w:highlight w:val="none"/>
              </w:rPr>
            </w:pPr>
          </w:p>
        </w:tc>
        <w:tc>
          <w:tcPr>
            <w:tcW w:w="1511" w:type="pct"/>
            <w:vAlign w:val="center"/>
          </w:tcPr>
          <w:p w14:paraId="49723481">
            <w:pPr>
              <w:jc w:val="center"/>
              <w:rPr>
                <w:rFonts w:asciiTheme="minorEastAsia" w:hAnsiTheme="minorEastAsia" w:eastAsiaTheme="minorEastAsia"/>
                <w:color w:val="auto"/>
                <w:sz w:val="24"/>
                <w:highlight w:val="none"/>
              </w:rPr>
            </w:pPr>
          </w:p>
        </w:tc>
        <w:tc>
          <w:tcPr>
            <w:tcW w:w="475" w:type="pct"/>
            <w:vAlign w:val="center"/>
          </w:tcPr>
          <w:p w14:paraId="7F0DC053">
            <w:pPr>
              <w:jc w:val="center"/>
              <w:rPr>
                <w:rFonts w:asciiTheme="minorEastAsia" w:hAnsiTheme="minorEastAsia" w:eastAsiaTheme="minorEastAsia"/>
                <w:color w:val="auto"/>
                <w:sz w:val="24"/>
                <w:highlight w:val="none"/>
              </w:rPr>
            </w:pPr>
          </w:p>
        </w:tc>
      </w:tr>
      <w:tr w14:paraId="6BCE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1A8A1412">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124" w:type="pct"/>
            <w:vAlign w:val="center"/>
          </w:tcPr>
          <w:p w14:paraId="2053F3E8">
            <w:pPr>
              <w:jc w:val="center"/>
              <w:rPr>
                <w:rFonts w:ascii="宋体" w:hAnsi="宋体" w:eastAsia="宋体"/>
                <w:color w:val="auto"/>
                <w:sz w:val="24"/>
                <w:highlight w:val="none"/>
              </w:rPr>
            </w:pPr>
            <w:r>
              <w:rPr>
                <w:rFonts w:hint="eastAsia" w:ascii="宋体" w:hAnsi="宋体" w:eastAsia="宋体"/>
                <w:color w:val="auto"/>
                <w:sz w:val="24"/>
                <w:highlight w:val="none"/>
              </w:rPr>
              <w:t>供货及安装期限</w:t>
            </w:r>
          </w:p>
        </w:tc>
        <w:tc>
          <w:tcPr>
            <w:tcW w:w="1465" w:type="pct"/>
            <w:vAlign w:val="center"/>
          </w:tcPr>
          <w:p w14:paraId="21D61DCD">
            <w:pPr>
              <w:jc w:val="center"/>
              <w:rPr>
                <w:rFonts w:asciiTheme="minorEastAsia" w:hAnsiTheme="minorEastAsia" w:eastAsiaTheme="minorEastAsia"/>
                <w:color w:val="auto"/>
                <w:sz w:val="24"/>
                <w:highlight w:val="none"/>
              </w:rPr>
            </w:pPr>
          </w:p>
        </w:tc>
        <w:tc>
          <w:tcPr>
            <w:tcW w:w="1511" w:type="pct"/>
            <w:vAlign w:val="center"/>
          </w:tcPr>
          <w:p w14:paraId="4A4C1B3B">
            <w:pPr>
              <w:pStyle w:val="134"/>
              <w:jc w:val="center"/>
              <w:rPr>
                <w:rFonts w:asciiTheme="minorEastAsia" w:hAnsiTheme="minorEastAsia" w:eastAsiaTheme="minorEastAsia"/>
                <w:color w:val="auto"/>
                <w:highlight w:val="none"/>
              </w:rPr>
            </w:pPr>
          </w:p>
        </w:tc>
        <w:tc>
          <w:tcPr>
            <w:tcW w:w="475" w:type="pct"/>
            <w:vAlign w:val="center"/>
          </w:tcPr>
          <w:p w14:paraId="1AA0F8C7">
            <w:pPr>
              <w:jc w:val="center"/>
              <w:rPr>
                <w:rFonts w:asciiTheme="minorEastAsia" w:hAnsiTheme="minorEastAsia" w:eastAsiaTheme="minorEastAsia"/>
                <w:color w:val="auto"/>
                <w:sz w:val="24"/>
                <w:highlight w:val="none"/>
              </w:rPr>
            </w:pPr>
          </w:p>
        </w:tc>
      </w:tr>
      <w:tr w14:paraId="1507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273985DF">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1124" w:type="pct"/>
            <w:vAlign w:val="center"/>
          </w:tcPr>
          <w:p w14:paraId="474B0F78">
            <w:pPr>
              <w:jc w:val="center"/>
              <w:rPr>
                <w:rFonts w:ascii="宋体" w:hAnsi="宋体" w:eastAsia="宋体"/>
                <w:color w:val="auto"/>
                <w:sz w:val="24"/>
                <w:highlight w:val="none"/>
              </w:rPr>
            </w:pPr>
            <w:r>
              <w:rPr>
                <w:rFonts w:hint="eastAsia" w:ascii="宋体" w:hAnsi="宋体" w:eastAsia="宋体"/>
                <w:color w:val="auto"/>
                <w:sz w:val="24"/>
                <w:highlight w:val="none"/>
              </w:rPr>
              <w:t>免费质保期</w:t>
            </w:r>
          </w:p>
        </w:tc>
        <w:tc>
          <w:tcPr>
            <w:tcW w:w="1465" w:type="pct"/>
            <w:vAlign w:val="center"/>
          </w:tcPr>
          <w:p w14:paraId="6196BEF2">
            <w:pPr>
              <w:jc w:val="center"/>
              <w:rPr>
                <w:rFonts w:asciiTheme="minorEastAsia" w:hAnsiTheme="minorEastAsia" w:eastAsiaTheme="minorEastAsia"/>
                <w:color w:val="auto"/>
                <w:sz w:val="24"/>
                <w:highlight w:val="none"/>
              </w:rPr>
            </w:pPr>
          </w:p>
        </w:tc>
        <w:tc>
          <w:tcPr>
            <w:tcW w:w="1511" w:type="pct"/>
            <w:vAlign w:val="center"/>
          </w:tcPr>
          <w:p w14:paraId="7E9F6C24">
            <w:pPr>
              <w:jc w:val="center"/>
              <w:rPr>
                <w:rFonts w:asciiTheme="minorEastAsia" w:hAnsiTheme="minorEastAsia" w:eastAsiaTheme="minorEastAsia"/>
                <w:color w:val="auto"/>
                <w:sz w:val="24"/>
                <w:highlight w:val="none"/>
              </w:rPr>
            </w:pPr>
          </w:p>
        </w:tc>
        <w:tc>
          <w:tcPr>
            <w:tcW w:w="475" w:type="pct"/>
            <w:vAlign w:val="center"/>
          </w:tcPr>
          <w:p w14:paraId="699EFC82">
            <w:pPr>
              <w:jc w:val="center"/>
              <w:rPr>
                <w:rFonts w:asciiTheme="minorEastAsia" w:hAnsiTheme="minorEastAsia" w:eastAsiaTheme="minorEastAsia"/>
                <w:color w:val="auto"/>
                <w:sz w:val="24"/>
                <w:highlight w:val="none"/>
              </w:rPr>
            </w:pPr>
          </w:p>
        </w:tc>
      </w:tr>
      <w:tr w14:paraId="0CD7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23BB5119">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1124" w:type="pct"/>
            <w:vAlign w:val="center"/>
          </w:tcPr>
          <w:p w14:paraId="29FB0A85">
            <w:pPr>
              <w:jc w:val="center"/>
              <w:rPr>
                <w:rFonts w:ascii="宋体" w:hAnsi="宋体" w:eastAsia="宋体"/>
                <w:color w:val="auto"/>
                <w:sz w:val="24"/>
                <w:highlight w:val="none"/>
              </w:rPr>
            </w:pPr>
          </w:p>
        </w:tc>
        <w:tc>
          <w:tcPr>
            <w:tcW w:w="1465" w:type="pct"/>
            <w:vAlign w:val="center"/>
          </w:tcPr>
          <w:p w14:paraId="26436D78">
            <w:pPr>
              <w:jc w:val="center"/>
              <w:rPr>
                <w:rFonts w:asciiTheme="minorEastAsia" w:hAnsiTheme="minorEastAsia" w:eastAsiaTheme="minorEastAsia"/>
                <w:color w:val="auto"/>
                <w:sz w:val="24"/>
                <w:highlight w:val="none"/>
              </w:rPr>
            </w:pPr>
          </w:p>
        </w:tc>
        <w:tc>
          <w:tcPr>
            <w:tcW w:w="1511" w:type="pct"/>
            <w:vAlign w:val="center"/>
          </w:tcPr>
          <w:p w14:paraId="5CC980E4">
            <w:pPr>
              <w:jc w:val="center"/>
              <w:rPr>
                <w:rFonts w:asciiTheme="minorEastAsia" w:hAnsiTheme="minorEastAsia" w:eastAsiaTheme="minorEastAsia"/>
                <w:color w:val="auto"/>
                <w:sz w:val="24"/>
                <w:highlight w:val="none"/>
              </w:rPr>
            </w:pPr>
          </w:p>
        </w:tc>
        <w:tc>
          <w:tcPr>
            <w:tcW w:w="475" w:type="pct"/>
            <w:vAlign w:val="center"/>
          </w:tcPr>
          <w:p w14:paraId="09B54A94">
            <w:pPr>
              <w:jc w:val="center"/>
              <w:rPr>
                <w:rFonts w:asciiTheme="minorEastAsia" w:hAnsiTheme="minorEastAsia" w:eastAsiaTheme="minorEastAsia"/>
                <w:color w:val="auto"/>
                <w:sz w:val="24"/>
                <w:highlight w:val="none"/>
              </w:rPr>
            </w:pPr>
          </w:p>
        </w:tc>
      </w:tr>
    </w:tbl>
    <w:p w14:paraId="36019421">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rPr>
        <w:t>技术响应表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617"/>
        <w:gridCol w:w="2968"/>
        <w:gridCol w:w="2572"/>
        <w:gridCol w:w="887"/>
      </w:tblGrid>
      <w:tr w14:paraId="0543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14:paraId="0909315F">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915" w:type="pct"/>
            <w:vAlign w:val="center"/>
          </w:tcPr>
          <w:p w14:paraId="1B90F53D">
            <w:pPr>
              <w:pStyle w:val="20"/>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货物名称</w:t>
            </w:r>
          </w:p>
        </w:tc>
        <w:tc>
          <w:tcPr>
            <w:tcW w:w="1680" w:type="pct"/>
            <w:vAlign w:val="center"/>
          </w:tcPr>
          <w:p w14:paraId="4A2ACFAA">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谈判文件规定的技术参数要求</w:t>
            </w:r>
          </w:p>
        </w:tc>
        <w:tc>
          <w:tcPr>
            <w:tcW w:w="1456" w:type="pct"/>
            <w:vAlign w:val="center"/>
          </w:tcPr>
          <w:p w14:paraId="1C358722">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所投产品的品牌、型号及技术参数</w:t>
            </w:r>
          </w:p>
        </w:tc>
        <w:tc>
          <w:tcPr>
            <w:tcW w:w="502" w:type="pct"/>
            <w:vAlign w:val="center"/>
          </w:tcPr>
          <w:p w14:paraId="6F05FF1D">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2289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7F961A60">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915" w:type="pct"/>
            <w:vAlign w:val="center"/>
          </w:tcPr>
          <w:p w14:paraId="5FD00424">
            <w:pPr>
              <w:jc w:val="center"/>
              <w:rPr>
                <w:rFonts w:asciiTheme="minorEastAsia" w:hAnsiTheme="minorEastAsia" w:eastAsiaTheme="minorEastAsia"/>
                <w:color w:val="auto"/>
                <w:sz w:val="24"/>
                <w:highlight w:val="none"/>
              </w:rPr>
            </w:pPr>
          </w:p>
        </w:tc>
        <w:tc>
          <w:tcPr>
            <w:tcW w:w="1680" w:type="pct"/>
            <w:vAlign w:val="center"/>
          </w:tcPr>
          <w:p w14:paraId="204CC9F3">
            <w:pPr>
              <w:jc w:val="center"/>
              <w:rPr>
                <w:rFonts w:asciiTheme="minorEastAsia" w:hAnsiTheme="minorEastAsia" w:eastAsiaTheme="minorEastAsia"/>
                <w:color w:val="auto"/>
                <w:sz w:val="24"/>
                <w:highlight w:val="none"/>
              </w:rPr>
            </w:pPr>
          </w:p>
        </w:tc>
        <w:tc>
          <w:tcPr>
            <w:tcW w:w="1456" w:type="pct"/>
            <w:vAlign w:val="center"/>
          </w:tcPr>
          <w:p w14:paraId="65B22140">
            <w:pPr>
              <w:jc w:val="center"/>
              <w:rPr>
                <w:rFonts w:asciiTheme="minorEastAsia" w:hAnsiTheme="minorEastAsia" w:eastAsiaTheme="minorEastAsia"/>
                <w:color w:val="auto"/>
                <w:sz w:val="24"/>
                <w:highlight w:val="none"/>
              </w:rPr>
            </w:pPr>
          </w:p>
        </w:tc>
        <w:tc>
          <w:tcPr>
            <w:tcW w:w="502" w:type="pct"/>
            <w:vAlign w:val="center"/>
          </w:tcPr>
          <w:p w14:paraId="33BE3A42">
            <w:pPr>
              <w:jc w:val="center"/>
              <w:rPr>
                <w:rFonts w:asciiTheme="minorEastAsia" w:hAnsiTheme="minorEastAsia" w:eastAsiaTheme="minorEastAsia"/>
                <w:color w:val="auto"/>
                <w:sz w:val="24"/>
                <w:highlight w:val="none"/>
              </w:rPr>
            </w:pPr>
          </w:p>
        </w:tc>
      </w:tr>
      <w:tr w14:paraId="6EE1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58835009">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915" w:type="pct"/>
            <w:vAlign w:val="center"/>
          </w:tcPr>
          <w:p w14:paraId="51F7F34F">
            <w:pPr>
              <w:jc w:val="center"/>
              <w:rPr>
                <w:rFonts w:asciiTheme="minorEastAsia" w:hAnsiTheme="minorEastAsia" w:eastAsiaTheme="minorEastAsia"/>
                <w:color w:val="auto"/>
                <w:sz w:val="24"/>
                <w:highlight w:val="none"/>
              </w:rPr>
            </w:pPr>
          </w:p>
        </w:tc>
        <w:tc>
          <w:tcPr>
            <w:tcW w:w="1680" w:type="pct"/>
            <w:vAlign w:val="center"/>
          </w:tcPr>
          <w:p w14:paraId="75D37818">
            <w:pPr>
              <w:jc w:val="center"/>
              <w:rPr>
                <w:rFonts w:asciiTheme="minorEastAsia" w:hAnsiTheme="minorEastAsia" w:eastAsiaTheme="minorEastAsia"/>
                <w:color w:val="auto"/>
                <w:sz w:val="24"/>
                <w:highlight w:val="none"/>
              </w:rPr>
            </w:pPr>
          </w:p>
        </w:tc>
        <w:tc>
          <w:tcPr>
            <w:tcW w:w="1456" w:type="pct"/>
            <w:vAlign w:val="center"/>
          </w:tcPr>
          <w:p w14:paraId="182DA822">
            <w:pPr>
              <w:jc w:val="center"/>
              <w:rPr>
                <w:rFonts w:asciiTheme="minorEastAsia" w:hAnsiTheme="minorEastAsia" w:eastAsiaTheme="minorEastAsia"/>
                <w:color w:val="auto"/>
                <w:sz w:val="24"/>
                <w:highlight w:val="none"/>
              </w:rPr>
            </w:pPr>
          </w:p>
        </w:tc>
        <w:tc>
          <w:tcPr>
            <w:tcW w:w="502" w:type="pct"/>
            <w:vAlign w:val="center"/>
          </w:tcPr>
          <w:p w14:paraId="30226CCD">
            <w:pPr>
              <w:jc w:val="center"/>
              <w:rPr>
                <w:rFonts w:asciiTheme="minorEastAsia" w:hAnsiTheme="minorEastAsia" w:eastAsiaTheme="minorEastAsia"/>
                <w:color w:val="auto"/>
                <w:sz w:val="24"/>
                <w:highlight w:val="none"/>
              </w:rPr>
            </w:pPr>
          </w:p>
        </w:tc>
      </w:tr>
      <w:tr w14:paraId="1D89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E8E1AA1">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915" w:type="pct"/>
            <w:vAlign w:val="center"/>
          </w:tcPr>
          <w:p w14:paraId="3B9D5C81">
            <w:pPr>
              <w:jc w:val="center"/>
              <w:rPr>
                <w:rFonts w:asciiTheme="minorEastAsia" w:hAnsiTheme="minorEastAsia" w:eastAsiaTheme="minorEastAsia"/>
                <w:color w:val="auto"/>
                <w:sz w:val="24"/>
                <w:highlight w:val="none"/>
              </w:rPr>
            </w:pPr>
          </w:p>
        </w:tc>
        <w:tc>
          <w:tcPr>
            <w:tcW w:w="1680" w:type="pct"/>
            <w:vAlign w:val="center"/>
          </w:tcPr>
          <w:p w14:paraId="23ACC471">
            <w:pPr>
              <w:jc w:val="center"/>
              <w:rPr>
                <w:rFonts w:asciiTheme="minorEastAsia" w:hAnsiTheme="minorEastAsia" w:eastAsiaTheme="minorEastAsia"/>
                <w:color w:val="auto"/>
                <w:sz w:val="24"/>
                <w:highlight w:val="none"/>
              </w:rPr>
            </w:pPr>
          </w:p>
        </w:tc>
        <w:tc>
          <w:tcPr>
            <w:tcW w:w="1456" w:type="pct"/>
            <w:vAlign w:val="center"/>
          </w:tcPr>
          <w:p w14:paraId="3AD370F2">
            <w:pPr>
              <w:pStyle w:val="134"/>
              <w:jc w:val="center"/>
              <w:rPr>
                <w:rFonts w:asciiTheme="minorEastAsia" w:hAnsiTheme="minorEastAsia" w:eastAsiaTheme="minorEastAsia"/>
                <w:color w:val="auto"/>
                <w:highlight w:val="none"/>
              </w:rPr>
            </w:pPr>
          </w:p>
        </w:tc>
        <w:tc>
          <w:tcPr>
            <w:tcW w:w="502" w:type="pct"/>
            <w:vAlign w:val="center"/>
          </w:tcPr>
          <w:p w14:paraId="133B7808">
            <w:pPr>
              <w:jc w:val="center"/>
              <w:rPr>
                <w:rFonts w:asciiTheme="minorEastAsia" w:hAnsiTheme="minorEastAsia" w:eastAsiaTheme="minorEastAsia"/>
                <w:color w:val="auto"/>
                <w:sz w:val="24"/>
                <w:highlight w:val="none"/>
              </w:rPr>
            </w:pPr>
          </w:p>
        </w:tc>
      </w:tr>
      <w:tr w14:paraId="318D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02B0937">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915" w:type="pct"/>
            <w:vAlign w:val="center"/>
          </w:tcPr>
          <w:p w14:paraId="5A40E795">
            <w:pPr>
              <w:jc w:val="center"/>
              <w:rPr>
                <w:rFonts w:asciiTheme="minorEastAsia" w:hAnsiTheme="minorEastAsia" w:eastAsiaTheme="minorEastAsia"/>
                <w:color w:val="auto"/>
                <w:sz w:val="24"/>
                <w:highlight w:val="none"/>
              </w:rPr>
            </w:pPr>
          </w:p>
        </w:tc>
        <w:tc>
          <w:tcPr>
            <w:tcW w:w="1680" w:type="pct"/>
            <w:vAlign w:val="center"/>
          </w:tcPr>
          <w:p w14:paraId="4BE5CC14">
            <w:pPr>
              <w:jc w:val="center"/>
              <w:rPr>
                <w:rFonts w:asciiTheme="minorEastAsia" w:hAnsiTheme="minorEastAsia" w:eastAsiaTheme="minorEastAsia"/>
                <w:color w:val="auto"/>
                <w:sz w:val="24"/>
                <w:highlight w:val="none"/>
              </w:rPr>
            </w:pPr>
          </w:p>
        </w:tc>
        <w:tc>
          <w:tcPr>
            <w:tcW w:w="1456" w:type="pct"/>
            <w:vAlign w:val="center"/>
          </w:tcPr>
          <w:p w14:paraId="5DC6F3AD">
            <w:pPr>
              <w:pStyle w:val="134"/>
              <w:jc w:val="center"/>
              <w:rPr>
                <w:rFonts w:asciiTheme="minorEastAsia" w:hAnsiTheme="minorEastAsia" w:eastAsiaTheme="minorEastAsia"/>
                <w:color w:val="auto"/>
                <w:highlight w:val="none"/>
              </w:rPr>
            </w:pPr>
          </w:p>
        </w:tc>
        <w:tc>
          <w:tcPr>
            <w:tcW w:w="502" w:type="pct"/>
            <w:vAlign w:val="center"/>
          </w:tcPr>
          <w:p w14:paraId="31766E88">
            <w:pPr>
              <w:jc w:val="center"/>
              <w:rPr>
                <w:rFonts w:asciiTheme="minorEastAsia" w:hAnsiTheme="minorEastAsia" w:eastAsiaTheme="minorEastAsia"/>
                <w:color w:val="auto"/>
                <w:sz w:val="24"/>
                <w:highlight w:val="none"/>
              </w:rPr>
            </w:pPr>
          </w:p>
        </w:tc>
      </w:tr>
      <w:tr w14:paraId="2F11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1E51DE7A">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915" w:type="pct"/>
            <w:vAlign w:val="center"/>
          </w:tcPr>
          <w:p w14:paraId="5BF40265">
            <w:pPr>
              <w:jc w:val="center"/>
              <w:rPr>
                <w:rFonts w:asciiTheme="minorEastAsia" w:hAnsiTheme="minorEastAsia" w:eastAsiaTheme="minorEastAsia"/>
                <w:color w:val="auto"/>
                <w:sz w:val="24"/>
                <w:highlight w:val="none"/>
              </w:rPr>
            </w:pPr>
          </w:p>
        </w:tc>
        <w:tc>
          <w:tcPr>
            <w:tcW w:w="1680" w:type="pct"/>
            <w:vAlign w:val="center"/>
          </w:tcPr>
          <w:p w14:paraId="05A94FF2">
            <w:pPr>
              <w:jc w:val="center"/>
              <w:rPr>
                <w:rFonts w:asciiTheme="minorEastAsia" w:hAnsiTheme="minorEastAsia" w:eastAsiaTheme="minorEastAsia"/>
                <w:color w:val="auto"/>
                <w:sz w:val="24"/>
                <w:highlight w:val="none"/>
              </w:rPr>
            </w:pPr>
          </w:p>
        </w:tc>
        <w:tc>
          <w:tcPr>
            <w:tcW w:w="1456" w:type="pct"/>
            <w:vAlign w:val="center"/>
          </w:tcPr>
          <w:p w14:paraId="6CE5989E">
            <w:pPr>
              <w:jc w:val="center"/>
              <w:rPr>
                <w:rFonts w:asciiTheme="minorEastAsia" w:hAnsiTheme="minorEastAsia" w:eastAsiaTheme="minorEastAsia"/>
                <w:color w:val="auto"/>
                <w:sz w:val="24"/>
                <w:highlight w:val="none"/>
              </w:rPr>
            </w:pPr>
          </w:p>
        </w:tc>
        <w:tc>
          <w:tcPr>
            <w:tcW w:w="502" w:type="pct"/>
            <w:vAlign w:val="center"/>
          </w:tcPr>
          <w:p w14:paraId="292D550E">
            <w:pPr>
              <w:jc w:val="center"/>
              <w:rPr>
                <w:rFonts w:asciiTheme="minorEastAsia" w:hAnsiTheme="minorEastAsia" w:eastAsiaTheme="minorEastAsia"/>
                <w:color w:val="auto"/>
                <w:sz w:val="24"/>
                <w:highlight w:val="none"/>
              </w:rPr>
            </w:pPr>
          </w:p>
        </w:tc>
      </w:tr>
    </w:tbl>
    <w:p w14:paraId="0F6DCE0D">
      <w:pPr>
        <w:spacing w:line="360" w:lineRule="auto"/>
        <w:ind w:firstLine="4800" w:firstLineChars="2000"/>
        <w:rPr>
          <w:rFonts w:hint="eastAsia" w:ascii="宋体" w:hAnsi="宋体" w:eastAsia="宋体"/>
          <w:color w:val="auto"/>
          <w:sz w:val="24"/>
          <w:highlight w:val="none"/>
          <w:lang w:val="en-US" w:eastAsia="zh-CN"/>
        </w:rPr>
      </w:pPr>
    </w:p>
    <w:p w14:paraId="545CF7A0">
      <w:pPr>
        <w:spacing w:line="360" w:lineRule="auto"/>
        <w:ind w:firstLine="4800" w:firstLineChars="2000"/>
        <w:jc w:val="both"/>
        <w:rPr>
          <w:rFonts w:ascii="宋体" w:hAnsi="宋体" w:eastAsia="宋体"/>
          <w:color w:val="auto"/>
          <w:sz w:val="24"/>
          <w:highlight w:val="none"/>
          <w:u w:val="single"/>
        </w:rPr>
      </w:pP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签章：</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13E0982">
      <w:pPr>
        <w:spacing w:line="360" w:lineRule="auto"/>
        <w:ind w:firstLine="4800" w:firstLineChars="2000"/>
        <w:jc w:val="both"/>
        <w:rPr>
          <w:rFonts w:ascii="宋体" w:hAnsi="宋体" w:eastAsia="宋体"/>
          <w:color w:val="auto"/>
          <w:sz w:val="24"/>
          <w:szCs w:val="28"/>
          <w:highlight w:val="non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1FAB0055">
      <w:pPr>
        <w:pStyle w:val="22"/>
        <w:spacing w:line="360" w:lineRule="auto"/>
        <w:rPr>
          <w:rFonts w:asciiTheme="minorEastAsia" w:hAnsiTheme="minorEastAsia" w:eastAsiaTheme="minorEastAsia"/>
          <w:color w:val="auto"/>
          <w:sz w:val="24"/>
          <w:highlight w:val="none"/>
        </w:rPr>
      </w:pPr>
    </w:p>
    <w:p w14:paraId="7659C5C6">
      <w:pPr>
        <w:pStyle w:val="22"/>
        <w:spacing w:line="360" w:lineRule="auto"/>
        <w:rPr>
          <w:rFonts w:asciiTheme="minorEastAsia" w:hAnsiTheme="minorEastAsia" w:eastAsiaTheme="minorEastAsia"/>
          <w:color w:val="auto"/>
          <w:sz w:val="24"/>
          <w:highlight w:val="none"/>
        </w:rPr>
      </w:pPr>
    </w:p>
    <w:p w14:paraId="536E3D72">
      <w:pPr>
        <w:pStyle w:val="22"/>
        <w:spacing w:line="360" w:lineRule="auto"/>
        <w:rPr>
          <w:rFonts w:asciiTheme="minorEastAsia" w:hAnsiTheme="minorEastAsia" w:eastAsiaTheme="minorEastAsia"/>
          <w:color w:val="auto"/>
          <w:sz w:val="24"/>
          <w:highlight w:val="none"/>
        </w:rPr>
      </w:pPr>
    </w:p>
    <w:p w14:paraId="6D8E380C">
      <w:pPr>
        <w:pStyle w:val="22"/>
        <w:spacing w:line="360" w:lineRule="auto"/>
        <w:rPr>
          <w:rFonts w:hint="eastAsia" w:asciiTheme="minorEastAsia" w:hAnsiTheme="minorEastAsia" w:eastAsiaTheme="minorEastAsia"/>
          <w:b/>
          <w:color w:val="auto"/>
          <w:sz w:val="24"/>
          <w:highlight w:val="none"/>
        </w:rPr>
      </w:pPr>
      <w:r>
        <w:rPr>
          <w:rFonts w:asciiTheme="minorEastAsia" w:hAnsiTheme="minorEastAsia" w:eastAsiaTheme="minorEastAsia"/>
          <w:color w:val="auto"/>
          <w:sz w:val="24"/>
          <w:highlight w:val="none"/>
        </w:rPr>
        <w:br w:type="page"/>
      </w:r>
      <w:bookmarkStart w:id="91" w:name="_Toc8563"/>
      <w:bookmarkStart w:id="92" w:name="_Toc21170"/>
    </w:p>
    <w:p w14:paraId="3273AE16">
      <w:pPr>
        <w:spacing w:line="360" w:lineRule="auto"/>
        <w:jc w:val="center"/>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七</w:t>
      </w:r>
      <w:r>
        <w:rPr>
          <w:rFonts w:hint="eastAsia" w:asciiTheme="minorEastAsia" w:hAnsiTheme="minorEastAsia" w:eastAsiaTheme="minorEastAsia"/>
          <w:b/>
          <w:color w:val="auto"/>
          <w:sz w:val="24"/>
          <w:highlight w:val="none"/>
        </w:rPr>
        <w:t>、诚信履约承诺函</w:t>
      </w:r>
      <w:bookmarkEnd w:id="91"/>
      <w:bookmarkEnd w:id="92"/>
    </w:p>
    <w:p w14:paraId="06DD8117">
      <w:pPr>
        <w:spacing w:line="360" w:lineRule="auto"/>
        <w:rPr>
          <w:rFonts w:asciiTheme="minorEastAsia" w:hAnsiTheme="minorEastAsia" w:eastAsiaTheme="minorEastAsia"/>
          <w:b/>
          <w:bCs/>
          <w:color w:val="auto"/>
          <w:sz w:val="24"/>
          <w:highlight w:val="none"/>
        </w:rPr>
      </w:pPr>
    </w:p>
    <w:p w14:paraId="7384E672">
      <w:pPr>
        <w:spacing w:line="360" w:lineRule="auto"/>
        <w:rPr>
          <w:rFonts w:hint="eastAsia" w:asciiTheme="minorEastAsia" w:hAnsiTheme="minorEastAsia" w:eastAsiaTheme="minorEastAsia"/>
          <w:b/>
          <w:bCs/>
          <w:color w:val="auto"/>
          <w:sz w:val="24"/>
          <w:highlight w:val="none"/>
          <w:u w:val="singl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none"/>
          <w:lang w:eastAsia="zh-CN"/>
        </w:rPr>
        <w:t>采购人</w:t>
      </w:r>
    </w:p>
    <w:p w14:paraId="7AE36187">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成交供应商，我单位承诺在合同签订及履约过程中将严格执行《中华人民共和国政府采购法》、《中华人民共和国政府采购法实施条例》及本项目采购文件中关于合同签订及履约的相关规定，不出现以下情形：</w:t>
      </w:r>
    </w:p>
    <w:p w14:paraId="5F9CAC52">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73610290">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7FA3EAFF">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7AC568EF">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7C37650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369C05C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7020AFF">
      <w:pPr>
        <w:spacing w:line="360" w:lineRule="auto"/>
        <w:rPr>
          <w:rFonts w:asciiTheme="minorEastAsia" w:hAnsiTheme="minorEastAsia" w:eastAsiaTheme="minorEastAsia"/>
          <w:bCs/>
          <w:color w:val="auto"/>
          <w:sz w:val="24"/>
          <w:highlight w:val="none"/>
        </w:rPr>
      </w:pPr>
    </w:p>
    <w:p w14:paraId="5B20DCA8">
      <w:pPr>
        <w:spacing w:line="360" w:lineRule="auto"/>
        <w:rPr>
          <w:rFonts w:asciiTheme="minorEastAsia" w:hAnsiTheme="minorEastAsia" w:eastAsiaTheme="minorEastAsia"/>
          <w:bCs/>
          <w:color w:val="auto"/>
          <w:sz w:val="24"/>
          <w:highlight w:val="none"/>
        </w:rPr>
      </w:pPr>
    </w:p>
    <w:p w14:paraId="4D0E9EB9">
      <w:pPr>
        <w:spacing w:line="360" w:lineRule="auto"/>
        <w:ind w:firstLine="4800" w:firstLineChars="20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供应商签章：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lang w:val="en-US" w:eastAsia="zh-CN"/>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1E90B1C4">
      <w:pPr>
        <w:spacing w:line="360" w:lineRule="auto"/>
        <w:ind w:firstLine="4800" w:firstLineChars="20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lang w:val="en-US" w:eastAsia="zh-CN"/>
        </w:rPr>
        <w:t xml:space="preserve">   </w:t>
      </w:r>
      <w:r>
        <w:rPr>
          <w:rFonts w:hint="eastAsia" w:asciiTheme="minorEastAsia" w:hAnsiTheme="minorEastAsia" w:eastAsiaTheme="minorEastAsia"/>
          <w:bCs/>
          <w:color w:val="auto"/>
          <w:sz w:val="24"/>
          <w:highlight w:val="none"/>
          <w:u w:val="single"/>
        </w:rPr>
        <w:t xml:space="preserve">       </w:t>
      </w:r>
    </w:p>
    <w:p w14:paraId="5E58A13F">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2D3A43DA">
      <w:pPr>
        <w:spacing w:line="360" w:lineRule="auto"/>
        <w:jc w:val="center"/>
        <w:outlineLvl w:val="1"/>
        <w:rPr>
          <w:rFonts w:asciiTheme="minorEastAsia" w:hAnsiTheme="minorEastAsia" w:eastAsiaTheme="minorEastAsia"/>
          <w:b/>
          <w:color w:val="auto"/>
          <w:sz w:val="24"/>
          <w:highlight w:val="none"/>
        </w:rPr>
      </w:pPr>
      <w:bookmarkStart w:id="93" w:name="_Toc28661"/>
      <w:bookmarkStart w:id="94" w:name="_Toc29042"/>
      <w:r>
        <w:rPr>
          <w:rFonts w:hint="eastAsia" w:asciiTheme="minorEastAsia" w:hAnsiTheme="minorEastAsia" w:eastAsiaTheme="minorEastAsia"/>
          <w:b/>
          <w:color w:val="auto"/>
          <w:sz w:val="24"/>
          <w:highlight w:val="none"/>
          <w:lang w:val="en-US" w:eastAsia="zh-CN"/>
        </w:rPr>
        <w:t>八</w:t>
      </w:r>
      <w:r>
        <w:rPr>
          <w:rFonts w:hint="eastAsia" w:asciiTheme="minorEastAsia" w:hAnsiTheme="minorEastAsia" w:eastAsiaTheme="minorEastAsia"/>
          <w:b/>
          <w:color w:val="auto"/>
          <w:sz w:val="24"/>
          <w:highlight w:val="none"/>
        </w:rPr>
        <w:t>、其他相关证明材料</w:t>
      </w:r>
      <w:bookmarkEnd w:id="93"/>
      <w:bookmarkEnd w:id="94"/>
    </w:p>
    <w:p w14:paraId="0A4B5200">
      <w:pPr>
        <w:tabs>
          <w:tab w:val="left" w:pos="4620"/>
        </w:tabs>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提供符合谈判邀请、采购需求及评审方法和标准规定的相关证明文件。</w:t>
      </w:r>
    </w:p>
    <w:p w14:paraId="46D87CC1">
      <w:pPr>
        <w:spacing w:line="360" w:lineRule="auto"/>
        <w:ind w:firstLine="435"/>
        <w:rPr>
          <w:rFonts w:asciiTheme="minorEastAsia" w:hAnsiTheme="minorEastAsia" w:eastAsiaTheme="minorEastAsia"/>
          <w:color w:val="auto"/>
          <w:sz w:val="24"/>
          <w:highlight w:val="none"/>
        </w:rPr>
      </w:pPr>
    </w:p>
    <w:p w14:paraId="6FE8AC61">
      <w:pPr>
        <w:spacing w:line="360" w:lineRule="auto"/>
        <w:ind w:firstLine="480" w:firstLineChars="200"/>
        <w:rPr>
          <w:rFonts w:asciiTheme="minorEastAsia" w:hAnsiTheme="minorEastAsia" w:eastAsiaTheme="minorEastAsia"/>
          <w:color w:val="auto"/>
          <w:sz w:val="24"/>
          <w:highlight w:val="none"/>
        </w:rPr>
      </w:pPr>
    </w:p>
    <w:p w14:paraId="2EF1AB32">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3746803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供应商在响应文件制作时可在此栏内上传谈判文件要求上传的证明资料，如营业执照、证书</w:t>
      </w:r>
      <w:r>
        <w:rPr>
          <w:rFonts w:asciiTheme="minorEastAsia" w:hAnsiTheme="minorEastAsia" w:eastAsiaTheme="minorEastAsia"/>
          <w:color w:val="auto"/>
          <w:sz w:val="24"/>
          <w:highlight w:val="none"/>
        </w:rPr>
        <w:t>等，应将上述证明材料制作成扫描件上传。</w:t>
      </w:r>
    </w:p>
    <w:p w14:paraId="5E368AA1">
      <w:pPr>
        <w:widowControl/>
        <w:jc w:val="left"/>
        <w:rPr>
          <w:rFonts w:ascii="宋体" w:hAnsi="宋体" w:eastAsia="宋体"/>
          <w:bCs/>
          <w:color w:val="auto"/>
          <w:sz w:val="24"/>
          <w:highlight w:val="none"/>
        </w:rPr>
      </w:pPr>
      <w:r>
        <w:rPr>
          <w:rFonts w:asciiTheme="minorEastAsia" w:hAnsiTheme="minorEastAsia" w:eastAsiaTheme="minorEastAsia"/>
          <w:color w:val="auto"/>
          <w:sz w:val="24"/>
          <w:highlight w:val="none"/>
        </w:rPr>
        <w:br w:type="page"/>
      </w:r>
    </w:p>
    <w:p w14:paraId="1813F29B">
      <w:pPr>
        <w:spacing w:line="360" w:lineRule="auto"/>
        <w:jc w:val="center"/>
        <w:outlineLvl w:val="0"/>
        <w:rPr>
          <w:rFonts w:ascii="宋体" w:hAnsi="宋体" w:eastAsia="宋体"/>
          <w:b/>
          <w:bCs/>
          <w:color w:val="auto"/>
          <w:sz w:val="28"/>
          <w:highlight w:val="none"/>
        </w:rPr>
      </w:pPr>
      <w:bookmarkStart w:id="95" w:name="_Toc60608832"/>
      <w:bookmarkStart w:id="96" w:name="_Toc10319"/>
      <w:bookmarkStart w:id="97" w:name="_Toc11034"/>
      <w:r>
        <w:rPr>
          <w:rFonts w:hint="eastAsia" w:ascii="宋体" w:hAnsi="宋体" w:eastAsia="宋体"/>
          <w:b/>
          <w:bCs/>
          <w:color w:val="auto"/>
          <w:sz w:val="28"/>
          <w:highlight w:val="none"/>
        </w:rPr>
        <w:t>第</w:t>
      </w:r>
      <w:r>
        <w:rPr>
          <w:rFonts w:hint="eastAsia" w:ascii="宋体" w:hAnsi="宋体" w:eastAsia="宋体"/>
          <w:b/>
          <w:bCs/>
          <w:color w:val="auto"/>
          <w:sz w:val="28"/>
          <w:highlight w:val="none"/>
          <w:lang w:val="en-US" w:eastAsia="zh-CN"/>
        </w:rPr>
        <w:t>七</w:t>
      </w:r>
      <w:r>
        <w:rPr>
          <w:rFonts w:hint="eastAsia" w:ascii="宋体" w:hAnsi="宋体" w:eastAsia="宋体"/>
          <w:b/>
          <w:bCs/>
          <w:color w:val="auto"/>
          <w:sz w:val="28"/>
          <w:highlight w:val="none"/>
        </w:rPr>
        <w:t>章</w:t>
      </w:r>
      <w:r>
        <w:rPr>
          <w:rFonts w:hint="eastAsia"/>
          <w:b/>
          <w:bCs/>
          <w:color w:val="auto"/>
          <w:sz w:val="28"/>
          <w:highlight w:val="none"/>
        </w:rPr>
        <w:t xml:space="preserve">  </w:t>
      </w:r>
      <w:bookmarkEnd w:id="95"/>
      <w:r>
        <w:rPr>
          <w:rFonts w:hint="eastAsia" w:ascii="宋体" w:hAnsi="宋体" w:eastAsia="宋体"/>
          <w:b/>
          <w:bCs/>
          <w:color w:val="auto"/>
          <w:sz w:val="28"/>
          <w:highlight w:val="none"/>
        </w:rPr>
        <w:t>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96"/>
      <w:bookmarkEnd w:id="97"/>
    </w:p>
    <w:p w14:paraId="52C2F990">
      <w:pPr>
        <w:spacing w:line="360" w:lineRule="auto"/>
        <w:jc w:val="center"/>
        <w:outlineLvl w:val="1"/>
        <w:rPr>
          <w:rFonts w:ascii="仿宋" w:hAnsi="仿宋" w:eastAsia="仿宋" w:cs="仿宋"/>
          <w:b/>
          <w:bCs/>
          <w:color w:val="auto"/>
          <w:sz w:val="32"/>
          <w:szCs w:val="44"/>
          <w:highlight w:val="none"/>
        </w:rPr>
      </w:pPr>
      <w:bookmarkStart w:id="98" w:name="_Toc12954"/>
      <w:r>
        <w:rPr>
          <w:rFonts w:hint="eastAsia" w:ascii="仿宋" w:hAnsi="仿宋" w:eastAsia="仿宋" w:cs="仿宋"/>
          <w:b/>
          <w:bCs/>
          <w:color w:val="auto"/>
          <w:sz w:val="32"/>
          <w:szCs w:val="44"/>
          <w:highlight w:val="none"/>
        </w:rPr>
        <w:t>询问函范本</w:t>
      </w:r>
      <w:bookmarkEnd w:id="98"/>
    </w:p>
    <w:p w14:paraId="7B2BEF5B">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（如为对采购文件或采购程序的询问或疑问，请按询问函范本进行提交）</w:t>
      </w:r>
    </w:p>
    <w:p w14:paraId="44C84209">
      <w:pPr>
        <w:adjustRightInd w:val="0"/>
        <w:snapToGrid w:val="0"/>
        <w:spacing w:line="360" w:lineRule="auto"/>
        <w:rPr>
          <w:rFonts w:hint="eastAsia" w:cs="仿宋" w:asciiTheme="minorEastAsia" w:hAnsiTheme="minorEastAsia" w:eastAsiaTheme="minorEastAsia"/>
          <w:b/>
          <w:bCs/>
          <w:color w:val="auto"/>
          <w:sz w:val="24"/>
          <w:szCs w:val="24"/>
          <w:highlight w:val="none"/>
          <w:lang w:eastAsia="zh-CN"/>
        </w:rPr>
      </w:pPr>
      <w:r>
        <w:rPr>
          <w:rFonts w:hint="eastAsia" w:cs="仿宋" w:asciiTheme="minorEastAsia" w:hAnsiTheme="minorEastAsia" w:eastAsiaTheme="minorEastAsia"/>
          <w:b/>
          <w:bCs/>
          <w:color w:val="auto"/>
          <w:sz w:val="24"/>
          <w:szCs w:val="24"/>
          <w:highlight w:val="none"/>
          <w:lang w:val="en-US" w:eastAsia="zh-CN"/>
        </w:rPr>
        <w:t>致：</w:t>
      </w:r>
      <w:r>
        <w:rPr>
          <w:rFonts w:hint="eastAsia" w:cs="仿宋" w:asciiTheme="minorEastAsia" w:hAnsiTheme="minorEastAsia" w:eastAsiaTheme="minorEastAsia"/>
          <w:b/>
          <w:bCs/>
          <w:color w:val="auto"/>
          <w:sz w:val="24"/>
          <w:szCs w:val="24"/>
          <w:highlight w:val="none"/>
          <w:u w:val="none"/>
          <w:lang w:eastAsia="zh-CN"/>
        </w:rPr>
        <w:t>采购人</w:t>
      </w:r>
    </w:p>
    <w:p w14:paraId="3CC1BCBA">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lang w:val="en-US" w:eastAsia="zh-CN"/>
        </w:rPr>
        <w:t xml:space="preserve">               </w:t>
      </w:r>
      <w:r>
        <w:rPr>
          <w:rFonts w:hint="eastAsia" w:cs="仿宋" w:asciiTheme="minorEastAsia" w:hAnsiTheme="minorEastAsia" w:eastAsiaTheme="minorEastAsia"/>
          <w:i/>
          <w:iCs/>
          <w:color w:val="auto"/>
          <w:sz w:val="24"/>
          <w:szCs w:val="24"/>
          <w:highlight w:val="none"/>
        </w:rPr>
        <w:t>(</w:t>
      </w:r>
      <w:r>
        <w:rPr>
          <w:rFonts w:hint="eastAsia" w:cs="仿宋" w:asciiTheme="minorEastAsia" w:hAnsiTheme="minorEastAsia" w:eastAsiaTheme="minorEastAsia"/>
          <w:i/>
          <w:iCs/>
          <w:color w:val="auto"/>
          <w:sz w:val="24"/>
          <w:szCs w:val="24"/>
          <w:highlight w:val="none"/>
          <w:u w:val="none"/>
        </w:rPr>
        <w:t>项目</w:t>
      </w:r>
      <w:r>
        <w:rPr>
          <w:rFonts w:hint="eastAsia" w:cs="仿宋" w:asciiTheme="minorEastAsia" w:hAnsiTheme="minorEastAsia" w:eastAsiaTheme="minorEastAsia"/>
          <w:i/>
          <w:iCs/>
          <w:color w:val="auto"/>
          <w:sz w:val="24"/>
          <w:szCs w:val="24"/>
          <w:highlight w:val="none"/>
          <w:u w:val="none"/>
          <w:lang w:val="en-US" w:eastAsia="zh-CN"/>
        </w:rPr>
        <w:t>名称、</w:t>
      </w:r>
      <w:r>
        <w:rPr>
          <w:rFonts w:hint="eastAsia" w:cs="仿宋" w:asciiTheme="minorEastAsia" w:hAnsiTheme="minorEastAsia" w:eastAsiaTheme="minorEastAsia"/>
          <w:i/>
          <w:iCs/>
          <w:color w:val="auto"/>
          <w:sz w:val="24"/>
          <w:szCs w:val="24"/>
          <w:highlight w:val="none"/>
          <w:u w:val="none"/>
        </w:rPr>
        <w:t>编号</w:t>
      </w:r>
      <w:r>
        <w:rPr>
          <w:rFonts w:hint="eastAsia" w:cs="仿宋" w:asciiTheme="minorEastAsia" w:hAnsiTheme="minorEastAsia" w:eastAsiaTheme="minorEastAsia"/>
          <w:i/>
          <w:iCs/>
          <w:color w:val="auto"/>
          <w:sz w:val="24"/>
          <w:szCs w:val="24"/>
          <w:highlight w:val="none"/>
        </w:rPr>
        <w:t>)</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30E169F4">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99" w:name="_Toc23584"/>
      <w:bookmarkStart w:id="100" w:name="_Toc29009"/>
      <w:r>
        <w:rPr>
          <w:rFonts w:hint="eastAsia" w:cs="仿宋" w:asciiTheme="minorEastAsia" w:hAnsiTheme="minorEastAsia" w:eastAsiaTheme="minorEastAsia"/>
          <w:color w:val="auto"/>
          <w:sz w:val="24"/>
          <w:szCs w:val="24"/>
          <w:highlight w:val="none"/>
        </w:rPr>
        <w:t>一、(事项一)</w:t>
      </w:r>
      <w:bookmarkEnd w:id="99"/>
      <w:bookmarkEnd w:id="100"/>
    </w:p>
    <w:p w14:paraId="12067914">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1622C8F9">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7398E780">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212683B2">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101" w:name="_Toc16254"/>
      <w:bookmarkStart w:id="102" w:name="_Toc18220"/>
      <w:r>
        <w:rPr>
          <w:rFonts w:hint="eastAsia" w:cs="仿宋" w:asciiTheme="minorEastAsia" w:hAnsiTheme="minorEastAsia" w:eastAsiaTheme="minorEastAsia"/>
          <w:color w:val="auto"/>
          <w:sz w:val="24"/>
          <w:szCs w:val="24"/>
          <w:highlight w:val="none"/>
        </w:rPr>
        <w:t>二、(事项二)</w:t>
      </w:r>
      <w:bookmarkEnd w:id="101"/>
      <w:bookmarkEnd w:id="102"/>
    </w:p>
    <w:p w14:paraId="2A89469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16A2789A">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6D8D8A9E">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2336C1BA">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7185F720">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7F9D099C">
      <w:pPr>
        <w:rPr>
          <w:rFonts w:asciiTheme="minorEastAsia" w:hAnsiTheme="minorEastAsia" w:eastAsiaTheme="minorEastAsia"/>
          <w:b/>
          <w:color w:val="auto"/>
          <w:sz w:val="52"/>
          <w:highlight w:val="none"/>
        </w:rPr>
      </w:pPr>
      <w:r>
        <w:rPr>
          <w:rFonts w:hint="eastAsia" w:ascii="仿宋" w:hAnsi="仿宋" w:eastAsia="仿宋" w:cs="仿宋"/>
          <w:b/>
          <w:bCs/>
          <w:color w:val="auto"/>
          <w:sz w:val="32"/>
          <w:szCs w:val="44"/>
          <w:highlight w:val="none"/>
        </w:rPr>
        <w:br w:type="page"/>
      </w:r>
    </w:p>
    <w:p w14:paraId="0A80391F">
      <w:pPr>
        <w:jc w:val="center"/>
        <w:outlineLvl w:val="1"/>
        <w:rPr>
          <w:rFonts w:ascii="仿宋" w:hAnsi="仿宋" w:eastAsia="仿宋" w:cs="仿宋"/>
          <w:b/>
          <w:bCs/>
          <w:color w:val="auto"/>
          <w:sz w:val="32"/>
          <w:szCs w:val="44"/>
          <w:highlight w:val="none"/>
        </w:rPr>
      </w:pPr>
      <w:bookmarkStart w:id="103" w:name="_Toc18073"/>
      <w:bookmarkStart w:id="104" w:name="_Toc6176"/>
      <w:r>
        <w:rPr>
          <w:rFonts w:hint="eastAsia" w:ascii="仿宋" w:hAnsi="仿宋" w:eastAsia="仿宋" w:cs="仿宋"/>
          <w:b/>
          <w:bCs/>
          <w:color w:val="auto"/>
          <w:sz w:val="32"/>
          <w:szCs w:val="44"/>
          <w:highlight w:val="none"/>
        </w:rPr>
        <w:t>质疑函范本</w:t>
      </w:r>
      <w:bookmarkEnd w:id="103"/>
      <w:bookmarkEnd w:id="104"/>
    </w:p>
    <w:p w14:paraId="61F0E2E6">
      <w:pPr>
        <w:adjustRightInd w:val="0"/>
        <w:snapToGrid w:val="0"/>
        <w:spacing w:before="312" w:beforeLines="100" w:line="360" w:lineRule="auto"/>
        <w:outlineLvl w:val="1"/>
        <w:rPr>
          <w:rFonts w:cs="仿宋" w:asciiTheme="minorEastAsia" w:hAnsiTheme="minorEastAsia" w:eastAsiaTheme="minorEastAsia"/>
          <w:b/>
          <w:bCs/>
          <w:color w:val="auto"/>
          <w:sz w:val="24"/>
          <w:szCs w:val="24"/>
          <w:highlight w:val="none"/>
        </w:rPr>
      </w:pPr>
      <w:bookmarkStart w:id="105" w:name="_Toc21548"/>
      <w:bookmarkStart w:id="106" w:name="_Toc17682"/>
      <w:r>
        <w:rPr>
          <w:rFonts w:hint="eastAsia" w:cs="仿宋" w:asciiTheme="minorEastAsia" w:hAnsiTheme="minorEastAsia" w:eastAsiaTheme="minorEastAsia"/>
          <w:b/>
          <w:bCs/>
          <w:color w:val="auto"/>
          <w:sz w:val="24"/>
          <w:szCs w:val="24"/>
          <w:highlight w:val="none"/>
        </w:rPr>
        <w:t>一、质疑供应商基本信息</w:t>
      </w:r>
      <w:bookmarkEnd w:id="105"/>
      <w:bookmarkEnd w:id="106"/>
    </w:p>
    <w:p w14:paraId="2AF0DBA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26FAFC7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60D963E9">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26C6871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30DCAEEA">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50B7C2E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0AE9B0A6">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07" w:name="_Toc5180"/>
      <w:bookmarkStart w:id="108" w:name="_Toc9149"/>
      <w:r>
        <w:rPr>
          <w:rFonts w:hint="eastAsia" w:cs="仿宋" w:asciiTheme="minorEastAsia" w:hAnsiTheme="minorEastAsia" w:eastAsiaTheme="minorEastAsia"/>
          <w:b/>
          <w:bCs/>
          <w:color w:val="auto"/>
          <w:sz w:val="24"/>
          <w:szCs w:val="24"/>
          <w:highlight w:val="none"/>
        </w:rPr>
        <w:t>二、质疑项目基本情况</w:t>
      </w:r>
      <w:bookmarkEnd w:id="107"/>
      <w:bookmarkEnd w:id="108"/>
    </w:p>
    <w:p w14:paraId="1FB9750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4BBDA0A6">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018043DC">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46A10C58">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78B7566F">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09" w:name="_Toc29996"/>
      <w:bookmarkStart w:id="110" w:name="_Toc14494"/>
      <w:r>
        <w:rPr>
          <w:rFonts w:hint="eastAsia" w:cs="仿宋" w:asciiTheme="minorEastAsia" w:hAnsiTheme="minorEastAsia" w:eastAsiaTheme="minorEastAsia"/>
          <w:b/>
          <w:bCs/>
          <w:color w:val="auto"/>
          <w:sz w:val="24"/>
          <w:szCs w:val="24"/>
          <w:highlight w:val="none"/>
        </w:rPr>
        <w:t>三、质疑事项具体内容</w:t>
      </w:r>
      <w:bookmarkEnd w:id="109"/>
      <w:bookmarkEnd w:id="110"/>
    </w:p>
    <w:p w14:paraId="474E60CC">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50A7D28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641AA09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1179BF0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6E76952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01F7C1F8">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4EFF7F0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CEBB415">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11" w:name="_Toc7296"/>
      <w:bookmarkStart w:id="112" w:name="_Toc814"/>
      <w:r>
        <w:rPr>
          <w:rFonts w:hint="eastAsia" w:cs="仿宋" w:asciiTheme="minorEastAsia" w:hAnsiTheme="minorEastAsia" w:eastAsiaTheme="minorEastAsia"/>
          <w:b/>
          <w:bCs/>
          <w:color w:val="auto"/>
          <w:sz w:val="24"/>
          <w:szCs w:val="24"/>
          <w:highlight w:val="none"/>
        </w:rPr>
        <w:t>四、与质疑事项相关的质疑请求</w:t>
      </w:r>
      <w:bookmarkEnd w:id="111"/>
      <w:bookmarkEnd w:id="112"/>
    </w:p>
    <w:p w14:paraId="1919D2FD">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27867F59">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15F5DFEE">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75BDEF8E">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21544C37">
      <w:pPr>
        <w:outlineLvl w:val="0"/>
        <w:rPr>
          <w:rFonts w:asciiTheme="minorEastAsia" w:hAnsiTheme="minorEastAsia" w:eastAsiaTheme="minorEastAsia"/>
          <w:b/>
          <w:color w:val="auto"/>
          <w:sz w:val="28"/>
          <w:szCs w:val="32"/>
          <w:highlight w:val="none"/>
        </w:rPr>
      </w:pPr>
      <w:bookmarkStart w:id="113" w:name="_Toc26567"/>
      <w:bookmarkStart w:id="114" w:name="_Toc3093"/>
      <w:r>
        <w:rPr>
          <w:rFonts w:hint="eastAsia" w:asciiTheme="minorEastAsia" w:hAnsiTheme="minorEastAsia" w:eastAsiaTheme="minorEastAsia"/>
          <w:b/>
          <w:color w:val="auto"/>
          <w:sz w:val="28"/>
          <w:szCs w:val="32"/>
          <w:highlight w:val="none"/>
        </w:rPr>
        <w:t>质疑函制作说明：</w:t>
      </w:r>
      <w:bookmarkEnd w:id="113"/>
      <w:bookmarkEnd w:id="114"/>
    </w:p>
    <w:p w14:paraId="3B91466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7C2A095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8D5857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7D42344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150E2EC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3F2CCBC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7D7C5E41">
      <w:pPr>
        <w:jc w:val="center"/>
        <w:rPr>
          <w:rFonts w:hint="eastAsia" w:ascii="宋体" w:hAnsi="宋体" w:cs="宋体"/>
          <w:b/>
          <w:color w:val="auto"/>
          <w:sz w:val="32"/>
          <w:szCs w:val="32"/>
          <w:highlight w:val="none"/>
        </w:rPr>
      </w:pPr>
    </w:p>
    <w:p w14:paraId="6BC2BD45">
      <w:pPr>
        <w:pStyle w:val="2"/>
        <w:rPr>
          <w:rFonts w:hint="eastAsia" w:ascii="宋体" w:hAnsi="宋体" w:cs="宋体"/>
          <w:b/>
          <w:color w:val="auto"/>
          <w:sz w:val="32"/>
          <w:szCs w:val="32"/>
          <w:highlight w:val="none"/>
        </w:rPr>
      </w:pPr>
    </w:p>
    <w:p w14:paraId="3A98E7C4">
      <w:pPr>
        <w:pStyle w:val="2"/>
        <w:rPr>
          <w:rFonts w:hint="eastAsia" w:ascii="宋体" w:hAnsi="宋体" w:cs="宋体"/>
          <w:b/>
          <w:color w:val="auto"/>
          <w:sz w:val="32"/>
          <w:szCs w:val="32"/>
          <w:highlight w:val="none"/>
        </w:rPr>
      </w:pPr>
    </w:p>
    <w:p w14:paraId="418445C0">
      <w:pPr>
        <w:pStyle w:val="2"/>
        <w:rPr>
          <w:rFonts w:hint="eastAsia" w:ascii="宋体" w:hAnsi="宋体" w:cs="宋体"/>
          <w:b/>
          <w:color w:val="auto"/>
          <w:sz w:val="32"/>
          <w:szCs w:val="32"/>
          <w:highlight w:val="none"/>
        </w:rPr>
      </w:pPr>
    </w:p>
    <w:p w14:paraId="57CF8530">
      <w:pPr>
        <w:pStyle w:val="2"/>
        <w:rPr>
          <w:rFonts w:hint="eastAsia" w:ascii="宋体" w:hAnsi="宋体" w:cs="宋体"/>
          <w:b/>
          <w:color w:val="auto"/>
          <w:sz w:val="32"/>
          <w:szCs w:val="32"/>
          <w:highlight w:val="none"/>
        </w:rPr>
      </w:pPr>
    </w:p>
    <w:p w14:paraId="01DD3589">
      <w:pPr>
        <w:pStyle w:val="2"/>
        <w:rPr>
          <w:rFonts w:hint="eastAsia" w:ascii="宋体" w:hAnsi="宋体" w:cs="宋体"/>
          <w:b/>
          <w:color w:val="auto"/>
          <w:sz w:val="32"/>
          <w:szCs w:val="32"/>
          <w:highlight w:val="none"/>
        </w:rPr>
      </w:pPr>
    </w:p>
    <w:p w14:paraId="299CA793">
      <w:pPr>
        <w:pStyle w:val="2"/>
        <w:rPr>
          <w:rFonts w:hint="eastAsia" w:ascii="宋体" w:hAnsi="宋体" w:cs="宋体"/>
          <w:b/>
          <w:color w:val="auto"/>
          <w:sz w:val="32"/>
          <w:szCs w:val="32"/>
          <w:highlight w:val="none"/>
        </w:rPr>
      </w:pPr>
    </w:p>
    <w:p w14:paraId="22B07CAA">
      <w:pPr>
        <w:pStyle w:val="2"/>
        <w:rPr>
          <w:rFonts w:hint="eastAsia" w:ascii="宋体" w:hAnsi="宋体" w:cs="宋体"/>
          <w:b/>
          <w:color w:val="auto"/>
          <w:sz w:val="32"/>
          <w:szCs w:val="32"/>
          <w:highlight w:val="none"/>
        </w:rPr>
      </w:pPr>
    </w:p>
    <w:p w14:paraId="2FCC9A3E">
      <w:pPr>
        <w:pStyle w:val="2"/>
        <w:rPr>
          <w:rFonts w:hint="eastAsia" w:ascii="宋体" w:hAnsi="宋体" w:cs="宋体"/>
          <w:b/>
          <w:color w:val="auto"/>
          <w:sz w:val="32"/>
          <w:szCs w:val="32"/>
          <w:highlight w:val="none"/>
        </w:rPr>
      </w:pPr>
    </w:p>
    <w:p w14:paraId="66C3C198">
      <w:pPr>
        <w:pStyle w:val="2"/>
        <w:rPr>
          <w:rFonts w:hint="eastAsia" w:ascii="宋体" w:hAnsi="宋体" w:cs="宋体"/>
          <w:b/>
          <w:color w:val="auto"/>
          <w:sz w:val="32"/>
          <w:szCs w:val="32"/>
          <w:highlight w:val="none"/>
        </w:rPr>
      </w:pPr>
    </w:p>
    <w:p w14:paraId="1F7F2FB3">
      <w:pPr>
        <w:pStyle w:val="2"/>
        <w:rPr>
          <w:rFonts w:hint="eastAsia" w:ascii="宋体" w:hAnsi="宋体" w:cs="宋体"/>
          <w:b/>
          <w:color w:val="auto"/>
          <w:sz w:val="32"/>
          <w:szCs w:val="32"/>
          <w:highlight w:val="none"/>
        </w:rPr>
      </w:pPr>
    </w:p>
    <w:p w14:paraId="242B72DC">
      <w:pPr>
        <w:keepNext w:val="0"/>
        <w:keepLines w:val="0"/>
        <w:pageBreakBefore w:val="0"/>
        <w:widowControl w:val="0"/>
        <w:kinsoku/>
        <w:wordWrap/>
        <w:overflowPunct/>
        <w:topLinePunct w:val="0"/>
        <w:autoSpaceDE/>
        <w:autoSpaceDN/>
        <w:bidi w:val="0"/>
        <w:adjustRightInd/>
        <w:snapToGrid/>
        <w:spacing w:line="340" w:lineRule="exact"/>
        <w:textAlignment w:val="auto"/>
      </w:pPr>
    </w:p>
    <w:sectPr>
      <w:footerReference r:id="rId13" w:type="default"/>
      <w:pgSz w:w="11906" w:h="16838"/>
      <w:pgMar w:top="1440" w:right="1486" w:bottom="1440" w:left="1800" w:header="454" w:footer="680"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Regular">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D12AF">
    <w:pPr>
      <w:pStyle w:val="25"/>
      <w:jc w:val="both"/>
      <w:rPr>
        <w:rFonts w:asci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596B0">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65596B0">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61825">
    <w:pPr>
      <w:pStyle w:val="25"/>
      <w:jc w:val="center"/>
      <w:rPr>
        <w:rFonts w:ascii="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4937E">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A34937E">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6313A">
    <w:pPr>
      <w:pStyle w:val="25"/>
      <w:jc w:val="center"/>
      <w:rPr>
        <w:rFonts w:asci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EE66B">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04EE66B">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D0D6F">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4B662">
                          <w:pPr>
                            <w:pStyle w:val="2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14B662">
                    <w:pPr>
                      <w:pStyle w:val="2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F743">
    <w:pPr>
      <w:pStyle w:val="2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8FE08">
                          <w:pPr>
                            <w:pStyle w:val="2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A38FE08">
                    <w:pPr>
                      <w:pStyle w:val="2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3D8C">
    <w:pPr>
      <w:pStyle w:val="25"/>
      <w:jc w:val="center"/>
      <w:rPr>
        <w:rFonts w:hint="default" w:eastAsiaTheme="minorEastAsia"/>
        <w:sz w:val="17"/>
        <w:szCs w:val="17"/>
        <w:lang w:val="en-US" w:eastAsia="zh-CN"/>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5F319">
                          <w:pPr>
                            <w:pStyle w:val="2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95F319">
                    <w:pPr>
                      <w:pStyle w:val="2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4AB43">
    <w:pPr>
      <w:pStyle w:val="27"/>
      <w:pBdr>
        <w:bottom w:val="none" w:color="auto" w:sz="0" w:space="1"/>
      </w:pBdr>
      <w:jc w:val="both"/>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EE6B">
    <w:pPr>
      <w:pStyle w:val="27"/>
      <w:pBdr>
        <w:bottom w:val="none" w:color="auto" w:sz="0" w:space="1"/>
      </w:pBdr>
      <w:jc w:val="both"/>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A161">
    <w:pPr>
      <w:pStyle w:val="2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2B839"/>
    <w:multiLevelType w:val="singleLevel"/>
    <w:tmpl w:val="C6D2B839"/>
    <w:lvl w:ilvl="0" w:tentative="0">
      <w:start w:val="7"/>
      <w:numFmt w:val="chineseCounting"/>
      <w:suff w:val="nothing"/>
      <w:lvlText w:val="%1、"/>
      <w:lvlJc w:val="left"/>
      <w:rPr>
        <w:rFonts w:hint="eastAsia"/>
      </w:rPr>
    </w:lvl>
  </w:abstractNum>
  <w:abstractNum w:abstractNumId="1">
    <w:nsid w:val="FFEFC674"/>
    <w:multiLevelType w:val="singleLevel"/>
    <w:tmpl w:val="FFEFC674"/>
    <w:lvl w:ilvl="0" w:tentative="0">
      <w:start w:val="1"/>
      <w:numFmt w:val="decimal"/>
      <w:suff w:val="nothing"/>
      <w:lvlText w:val="（%1）"/>
      <w:lvlJc w:val="left"/>
    </w:lvl>
  </w:abstractNum>
  <w:abstractNum w:abstractNumId="2">
    <w:nsid w:val="5344068C"/>
    <w:multiLevelType w:val="singleLevel"/>
    <w:tmpl w:val="5344068C"/>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hNDljOTA3NGJiZTQwZDk2ZGY5NGRmMTgwNWM3NTQifQ=="/>
  </w:docVars>
  <w:rsids>
    <w:rsidRoot w:val="00EA16A9"/>
    <w:rsid w:val="00003D9F"/>
    <w:rsid w:val="00013E8C"/>
    <w:rsid w:val="00015CFD"/>
    <w:rsid w:val="00016C93"/>
    <w:rsid w:val="000219D3"/>
    <w:rsid w:val="00031E09"/>
    <w:rsid w:val="00032409"/>
    <w:rsid w:val="00032FC2"/>
    <w:rsid w:val="0003630F"/>
    <w:rsid w:val="0004381B"/>
    <w:rsid w:val="00046FE7"/>
    <w:rsid w:val="00052213"/>
    <w:rsid w:val="00053BFF"/>
    <w:rsid w:val="00054675"/>
    <w:rsid w:val="000549D2"/>
    <w:rsid w:val="000577E1"/>
    <w:rsid w:val="000602E0"/>
    <w:rsid w:val="00061A4D"/>
    <w:rsid w:val="000625C0"/>
    <w:rsid w:val="000725CE"/>
    <w:rsid w:val="00076CC8"/>
    <w:rsid w:val="00081261"/>
    <w:rsid w:val="00081D62"/>
    <w:rsid w:val="00081F82"/>
    <w:rsid w:val="00082193"/>
    <w:rsid w:val="00082F6E"/>
    <w:rsid w:val="00083247"/>
    <w:rsid w:val="00085A29"/>
    <w:rsid w:val="00087B7D"/>
    <w:rsid w:val="00094168"/>
    <w:rsid w:val="00094553"/>
    <w:rsid w:val="00096AC2"/>
    <w:rsid w:val="00097368"/>
    <w:rsid w:val="000A4760"/>
    <w:rsid w:val="000A516B"/>
    <w:rsid w:val="000A6591"/>
    <w:rsid w:val="000A768B"/>
    <w:rsid w:val="000A7C40"/>
    <w:rsid w:val="000B42DA"/>
    <w:rsid w:val="000B7B51"/>
    <w:rsid w:val="000C18CF"/>
    <w:rsid w:val="000C3C34"/>
    <w:rsid w:val="000C51AA"/>
    <w:rsid w:val="000C6C52"/>
    <w:rsid w:val="000D05E8"/>
    <w:rsid w:val="000D3095"/>
    <w:rsid w:val="000D319D"/>
    <w:rsid w:val="000D50F4"/>
    <w:rsid w:val="000D76D6"/>
    <w:rsid w:val="000E0118"/>
    <w:rsid w:val="000E2790"/>
    <w:rsid w:val="000E4655"/>
    <w:rsid w:val="000E596C"/>
    <w:rsid w:val="000F43B5"/>
    <w:rsid w:val="000F6DE0"/>
    <w:rsid w:val="000F7E7B"/>
    <w:rsid w:val="00100182"/>
    <w:rsid w:val="001005F4"/>
    <w:rsid w:val="001023A4"/>
    <w:rsid w:val="00102D0F"/>
    <w:rsid w:val="00104B47"/>
    <w:rsid w:val="00110E23"/>
    <w:rsid w:val="00111430"/>
    <w:rsid w:val="00111B2D"/>
    <w:rsid w:val="00114F4D"/>
    <w:rsid w:val="00116531"/>
    <w:rsid w:val="001267B0"/>
    <w:rsid w:val="0012781F"/>
    <w:rsid w:val="00130647"/>
    <w:rsid w:val="0013189C"/>
    <w:rsid w:val="00140727"/>
    <w:rsid w:val="0014643C"/>
    <w:rsid w:val="0014671C"/>
    <w:rsid w:val="00150863"/>
    <w:rsid w:val="00150FBA"/>
    <w:rsid w:val="00152457"/>
    <w:rsid w:val="00153E07"/>
    <w:rsid w:val="0015522D"/>
    <w:rsid w:val="00163279"/>
    <w:rsid w:val="001632A9"/>
    <w:rsid w:val="0016490B"/>
    <w:rsid w:val="001655F5"/>
    <w:rsid w:val="00171E9B"/>
    <w:rsid w:val="00175727"/>
    <w:rsid w:val="00175EE5"/>
    <w:rsid w:val="00176150"/>
    <w:rsid w:val="001800AF"/>
    <w:rsid w:val="00181014"/>
    <w:rsid w:val="001825F3"/>
    <w:rsid w:val="00184CBD"/>
    <w:rsid w:val="00187044"/>
    <w:rsid w:val="00187D22"/>
    <w:rsid w:val="00190391"/>
    <w:rsid w:val="00192343"/>
    <w:rsid w:val="00194E89"/>
    <w:rsid w:val="00196F90"/>
    <w:rsid w:val="0019722D"/>
    <w:rsid w:val="001A3F30"/>
    <w:rsid w:val="001A5E1C"/>
    <w:rsid w:val="001A7339"/>
    <w:rsid w:val="001C0B04"/>
    <w:rsid w:val="001C2815"/>
    <w:rsid w:val="001C3DFF"/>
    <w:rsid w:val="001C4109"/>
    <w:rsid w:val="001D4814"/>
    <w:rsid w:val="001D599F"/>
    <w:rsid w:val="001D6D61"/>
    <w:rsid w:val="001E12EF"/>
    <w:rsid w:val="001E3640"/>
    <w:rsid w:val="001E4A8B"/>
    <w:rsid w:val="001E7081"/>
    <w:rsid w:val="001F0557"/>
    <w:rsid w:val="001F2EFB"/>
    <w:rsid w:val="001F39B9"/>
    <w:rsid w:val="001F5EEA"/>
    <w:rsid w:val="001F6ED6"/>
    <w:rsid w:val="00200FD7"/>
    <w:rsid w:val="00202DB6"/>
    <w:rsid w:val="00203470"/>
    <w:rsid w:val="00215208"/>
    <w:rsid w:val="00216072"/>
    <w:rsid w:val="002224C5"/>
    <w:rsid w:val="002233EE"/>
    <w:rsid w:val="00224399"/>
    <w:rsid w:val="00224A59"/>
    <w:rsid w:val="00224C5B"/>
    <w:rsid w:val="00235FFA"/>
    <w:rsid w:val="00241FE5"/>
    <w:rsid w:val="00243E21"/>
    <w:rsid w:val="00244B85"/>
    <w:rsid w:val="00247DE0"/>
    <w:rsid w:val="00253B43"/>
    <w:rsid w:val="00255387"/>
    <w:rsid w:val="002556BC"/>
    <w:rsid w:val="00255ADE"/>
    <w:rsid w:val="002616A0"/>
    <w:rsid w:val="00263FE2"/>
    <w:rsid w:val="00274616"/>
    <w:rsid w:val="00275811"/>
    <w:rsid w:val="002758E7"/>
    <w:rsid w:val="00275EDD"/>
    <w:rsid w:val="00280B25"/>
    <w:rsid w:val="00283E29"/>
    <w:rsid w:val="00285776"/>
    <w:rsid w:val="00287428"/>
    <w:rsid w:val="00293416"/>
    <w:rsid w:val="0029591D"/>
    <w:rsid w:val="002A0850"/>
    <w:rsid w:val="002A3476"/>
    <w:rsid w:val="002A4557"/>
    <w:rsid w:val="002A68CE"/>
    <w:rsid w:val="002A77B9"/>
    <w:rsid w:val="002A7DD0"/>
    <w:rsid w:val="002B0FE7"/>
    <w:rsid w:val="002C0252"/>
    <w:rsid w:val="002C2DD8"/>
    <w:rsid w:val="002C40CD"/>
    <w:rsid w:val="002D18D3"/>
    <w:rsid w:val="002D221C"/>
    <w:rsid w:val="002D2265"/>
    <w:rsid w:val="002D2A45"/>
    <w:rsid w:val="002D4C52"/>
    <w:rsid w:val="002D52FA"/>
    <w:rsid w:val="002D7797"/>
    <w:rsid w:val="002E1F77"/>
    <w:rsid w:val="002E2B29"/>
    <w:rsid w:val="002E2D10"/>
    <w:rsid w:val="002E5A7E"/>
    <w:rsid w:val="002F4902"/>
    <w:rsid w:val="003050F5"/>
    <w:rsid w:val="00311952"/>
    <w:rsid w:val="00311E9B"/>
    <w:rsid w:val="0031466A"/>
    <w:rsid w:val="00314D4B"/>
    <w:rsid w:val="0031558C"/>
    <w:rsid w:val="00316204"/>
    <w:rsid w:val="003215BF"/>
    <w:rsid w:val="00324FD3"/>
    <w:rsid w:val="00325B81"/>
    <w:rsid w:val="00326701"/>
    <w:rsid w:val="0033761B"/>
    <w:rsid w:val="00340140"/>
    <w:rsid w:val="00340800"/>
    <w:rsid w:val="00342A33"/>
    <w:rsid w:val="00345CF8"/>
    <w:rsid w:val="00345DD2"/>
    <w:rsid w:val="00346E0A"/>
    <w:rsid w:val="0035135B"/>
    <w:rsid w:val="00352BF4"/>
    <w:rsid w:val="00353ADC"/>
    <w:rsid w:val="0035465F"/>
    <w:rsid w:val="00354706"/>
    <w:rsid w:val="0035622C"/>
    <w:rsid w:val="00356579"/>
    <w:rsid w:val="00357930"/>
    <w:rsid w:val="003609A3"/>
    <w:rsid w:val="003639CA"/>
    <w:rsid w:val="00364223"/>
    <w:rsid w:val="00364581"/>
    <w:rsid w:val="0036551A"/>
    <w:rsid w:val="003678E9"/>
    <w:rsid w:val="003702F1"/>
    <w:rsid w:val="003721B3"/>
    <w:rsid w:val="00374E64"/>
    <w:rsid w:val="00375584"/>
    <w:rsid w:val="003804F5"/>
    <w:rsid w:val="00381A2B"/>
    <w:rsid w:val="00381CC8"/>
    <w:rsid w:val="0038257F"/>
    <w:rsid w:val="00383B66"/>
    <w:rsid w:val="0038660C"/>
    <w:rsid w:val="00390232"/>
    <w:rsid w:val="003940B7"/>
    <w:rsid w:val="003950A1"/>
    <w:rsid w:val="00396F92"/>
    <w:rsid w:val="003A4B98"/>
    <w:rsid w:val="003A5024"/>
    <w:rsid w:val="003A5565"/>
    <w:rsid w:val="003B3927"/>
    <w:rsid w:val="003B4A88"/>
    <w:rsid w:val="003B5F95"/>
    <w:rsid w:val="003B6624"/>
    <w:rsid w:val="003B7E0D"/>
    <w:rsid w:val="003C03BD"/>
    <w:rsid w:val="003C0887"/>
    <w:rsid w:val="003C246F"/>
    <w:rsid w:val="003C2D41"/>
    <w:rsid w:val="003C63DF"/>
    <w:rsid w:val="003D5265"/>
    <w:rsid w:val="003D5D8B"/>
    <w:rsid w:val="003D6DDF"/>
    <w:rsid w:val="003E01E0"/>
    <w:rsid w:val="003E0F9B"/>
    <w:rsid w:val="003E1740"/>
    <w:rsid w:val="003E460A"/>
    <w:rsid w:val="003E5618"/>
    <w:rsid w:val="003F060B"/>
    <w:rsid w:val="003F1A46"/>
    <w:rsid w:val="004008A6"/>
    <w:rsid w:val="0040101D"/>
    <w:rsid w:val="00403329"/>
    <w:rsid w:val="004057D2"/>
    <w:rsid w:val="00410D11"/>
    <w:rsid w:val="004139CB"/>
    <w:rsid w:val="004146A6"/>
    <w:rsid w:val="00414B75"/>
    <w:rsid w:val="0042586A"/>
    <w:rsid w:val="004269BB"/>
    <w:rsid w:val="004272D4"/>
    <w:rsid w:val="004310B1"/>
    <w:rsid w:val="0043277A"/>
    <w:rsid w:val="00433706"/>
    <w:rsid w:val="00434595"/>
    <w:rsid w:val="004409CE"/>
    <w:rsid w:val="00441193"/>
    <w:rsid w:val="00441A68"/>
    <w:rsid w:val="00442CA5"/>
    <w:rsid w:val="00443934"/>
    <w:rsid w:val="00452491"/>
    <w:rsid w:val="00453B41"/>
    <w:rsid w:val="004578EA"/>
    <w:rsid w:val="0046099A"/>
    <w:rsid w:val="00465CEE"/>
    <w:rsid w:val="00470047"/>
    <w:rsid w:val="0047284F"/>
    <w:rsid w:val="0047534F"/>
    <w:rsid w:val="0047545B"/>
    <w:rsid w:val="004765A2"/>
    <w:rsid w:val="004778CB"/>
    <w:rsid w:val="004805FD"/>
    <w:rsid w:val="00483041"/>
    <w:rsid w:val="004838AA"/>
    <w:rsid w:val="00483FFE"/>
    <w:rsid w:val="0048641F"/>
    <w:rsid w:val="00487BDF"/>
    <w:rsid w:val="00490295"/>
    <w:rsid w:val="0049061C"/>
    <w:rsid w:val="0049294A"/>
    <w:rsid w:val="00495E32"/>
    <w:rsid w:val="00496AA6"/>
    <w:rsid w:val="004A06C8"/>
    <w:rsid w:val="004A4A7F"/>
    <w:rsid w:val="004A55E5"/>
    <w:rsid w:val="004B0470"/>
    <w:rsid w:val="004B2DBA"/>
    <w:rsid w:val="004B4377"/>
    <w:rsid w:val="004C42AC"/>
    <w:rsid w:val="004C534F"/>
    <w:rsid w:val="004D041A"/>
    <w:rsid w:val="004D0720"/>
    <w:rsid w:val="004D3B1D"/>
    <w:rsid w:val="004D568F"/>
    <w:rsid w:val="004D64FA"/>
    <w:rsid w:val="004D7781"/>
    <w:rsid w:val="004E2A0D"/>
    <w:rsid w:val="004E356A"/>
    <w:rsid w:val="004E4BCC"/>
    <w:rsid w:val="00500566"/>
    <w:rsid w:val="005010E8"/>
    <w:rsid w:val="00516285"/>
    <w:rsid w:val="00517789"/>
    <w:rsid w:val="005208CA"/>
    <w:rsid w:val="00521A8D"/>
    <w:rsid w:val="00522261"/>
    <w:rsid w:val="005222BE"/>
    <w:rsid w:val="0052498B"/>
    <w:rsid w:val="00524DC0"/>
    <w:rsid w:val="00527869"/>
    <w:rsid w:val="005300B3"/>
    <w:rsid w:val="00530286"/>
    <w:rsid w:val="00532772"/>
    <w:rsid w:val="005377E8"/>
    <w:rsid w:val="00542091"/>
    <w:rsid w:val="005434D7"/>
    <w:rsid w:val="005446A4"/>
    <w:rsid w:val="00544DA6"/>
    <w:rsid w:val="00551104"/>
    <w:rsid w:val="005512C9"/>
    <w:rsid w:val="0055199B"/>
    <w:rsid w:val="00554114"/>
    <w:rsid w:val="00554409"/>
    <w:rsid w:val="0055577E"/>
    <w:rsid w:val="00557682"/>
    <w:rsid w:val="00557F20"/>
    <w:rsid w:val="0056060C"/>
    <w:rsid w:val="00560897"/>
    <w:rsid w:val="005644CA"/>
    <w:rsid w:val="005648F3"/>
    <w:rsid w:val="005746B1"/>
    <w:rsid w:val="00575CB9"/>
    <w:rsid w:val="00577C2A"/>
    <w:rsid w:val="00580FE4"/>
    <w:rsid w:val="00581445"/>
    <w:rsid w:val="005828AC"/>
    <w:rsid w:val="00583BF8"/>
    <w:rsid w:val="005865B8"/>
    <w:rsid w:val="00590C45"/>
    <w:rsid w:val="005911CB"/>
    <w:rsid w:val="00591573"/>
    <w:rsid w:val="00594F9A"/>
    <w:rsid w:val="00596680"/>
    <w:rsid w:val="00596B1D"/>
    <w:rsid w:val="005A088C"/>
    <w:rsid w:val="005B0707"/>
    <w:rsid w:val="005B07B2"/>
    <w:rsid w:val="005B64C4"/>
    <w:rsid w:val="005B7A63"/>
    <w:rsid w:val="005C4296"/>
    <w:rsid w:val="005C4322"/>
    <w:rsid w:val="005C48EA"/>
    <w:rsid w:val="005C7212"/>
    <w:rsid w:val="005D01BC"/>
    <w:rsid w:val="005D0E19"/>
    <w:rsid w:val="005D1125"/>
    <w:rsid w:val="005D46F3"/>
    <w:rsid w:val="005E17F5"/>
    <w:rsid w:val="005E2932"/>
    <w:rsid w:val="005E61D5"/>
    <w:rsid w:val="005F32C2"/>
    <w:rsid w:val="005F4337"/>
    <w:rsid w:val="005F5FF0"/>
    <w:rsid w:val="0060013D"/>
    <w:rsid w:val="00600B8D"/>
    <w:rsid w:val="00601F0C"/>
    <w:rsid w:val="00605380"/>
    <w:rsid w:val="0060549D"/>
    <w:rsid w:val="00614FBF"/>
    <w:rsid w:val="006158C7"/>
    <w:rsid w:val="0062090B"/>
    <w:rsid w:val="00626195"/>
    <w:rsid w:val="0062698D"/>
    <w:rsid w:val="00630B49"/>
    <w:rsid w:val="006340A1"/>
    <w:rsid w:val="006341CF"/>
    <w:rsid w:val="00635080"/>
    <w:rsid w:val="00635F9E"/>
    <w:rsid w:val="006379E7"/>
    <w:rsid w:val="0064076B"/>
    <w:rsid w:val="00644EF7"/>
    <w:rsid w:val="0064795A"/>
    <w:rsid w:val="006509CC"/>
    <w:rsid w:val="00655AEB"/>
    <w:rsid w:val="006577F3"/>
    <w:rsid w:val="006617CC"/>
    <w:rsid w:val="00664E5B"/>
    <w:rsid w:val="00667F62"/>
    <w:rsid w:val="00673377"/>
    <w:rsid w:val="00677CD1"/>
    <w:rsid w:val="00677E58"/>
    <w:rsid w:val="0068072B"/>
    <w:rsid w:val="006843A0"/>
    <w:rsid w:val="00687757"/>
    <w:rsid w:val="00687B16"/>
    <w:rsid w:val="00687FB9"/>
    <w:rsid w:val="006901AF"/>
    <w:rsid w:val="006914D0"/>
    <w:rsid w:val="006927EC"/>
    <w:rsid w:val="0069451A"/>
    <w:rsid w:val="0069558D"/>
    <w:rsid w:val="00697F98"/>
    <w:rsid w:val="006A228C"/>
    <w:rsid w:val="006A555E"/>
    <w:rsid w:val="006A5C15"/>
    <w:rsid w:val="006A5EC2"/>
    <w:rsid w:val="006A6FE1"/>
    <w:rsid w:val="006B021E"/>
    <w:rsid w:val="006B1A44"/>
    <w:rsid w:val="006B1C73"/>
    <w:rsid w:val="006B29D3"/>
    <w:rsid w:val="006B368F"/>
    <w:rsid w:val="006B3BF4"/>
    <w:rsid w:val="006B48F2"/>
    <w:rsid w:val="006B4F0F"/>
    <w:rsid w:val="006B6E04"/>
    <w:rsid w:val="006C214D"/>
    <w:rsid w:val="006C3CB0"/>
    <w:rsid w:val="006C3EFA"/>
    <w:rsid w:val="006D1BF8"/>
    <w:rsid w:val="006D21E7"/>
    <w:rsid w:val="006D5046"/>
    <w:rsid w:val="006E1C68"/>
    <w:rsid w:val="006E4D64"/>
    <w:rsid w:val="006E5DDB"/>
    <w:rsid w:val="006E6166"/>
    <w:rsid w:val="006F3494"/>
    <w:rsid w:val="006F5E82"/>
    <w:rsid w:val="006F7A7A"/>
    <w:rsid w:val="007007C4"/>
    <w:rsid w:val="00702A8D"/>
    <w:rsid w:val="00703706"/>
    <w:rsid w:val="007040EC"/>
    <w:rsid w:val="00706BAE"/>
    <w:rsid w:val="00706E9F"/>
    <w:rsid w:val="00707CE2"/>
    <w:rsid w:val="007102F5"/>
    <w:rsid w:val="00720C32"/>
    <w:rsid w:val="00721B49"/>
    <w:rsid w:val="007229A7"/>
    <w:rsid w:val="00723A11"/>
    <w:rsid w:val="0072561B"/>
    <w:rsid w:val="00726EFD"/>
    <w:rsid w:val="007270A7"/>
    <w:rsid w:val="007300FA"/>
    <w:rsid w:val="00730DED"/>
    <w:rsid w:val="00730EA4"/>
    <w:rsid w:val="007325A0"/>
    <w:rsid w:val="007326EE"/>
    <w:rsid w:val="007330F9"/>
    <w:rsid w:val="00735956"/>
    <w:rsid w:val="00736270"/>
    <w:rsid w:val="00737799"/>
    <w:rsid w:val="00740CAA"/>
    <w:rsid w:val="00740D1F"/>
    <w:rsid w:val="0074311E"/>
    <w:rsid w:val="00744D38"/>
    <w:rsid w:val="007467A0"/>
    <w:rsid w:val="0075072F"/>
    <w:rsid w:val="00750D56"/>
    <w:rsid w:val="00753824"/>
    <w:rsid w:val="00754F30"/>
    <w:rsid w:val="007552A3"/>
    <w:rsid w:val="00760868"/>
    <w:rsid w:val="00761DB6"/>
    <w:rsid w:val="00763DEE"/>
    <w:rsid w:val="00770F7F"/>
    <w:rsid w:val="00772505"/>
    <w:rsid w:val="00774102"/>
    <w:rsid w:val="00774229"/>
    <w:rsid w:val="007845BD"/>
    <w:rsid w:val="00784E21"/>
    <w:rsid w:val="007851B5"/>
    <w:rsid w:val="00790FCD"/>
    <w:rsid w:val="007933AD"/>
    <w:rsid w:val="00794FD4"/>
    <w:rsid w:val="007A2110"/>
    <w:rsid w:val="007A3235"/>
    <w:rsid w:val="007A3B0D"/>
    <w:rsid w:val="007A53FF"/>
    <w:rsid w:val="007A5FCE"/>
    <w:rsid w:val="007B233D"/>
    <w:rsid w:val="007B734F"/>
    <w:rsid w:val="007B79FE"/>
    <w:rsid w:val="007C1057"/>
    <w:rsid w:val="007C199A"/>
    <w:rsid w:val="007C1C3C"/>
    <w:rsid w:val="007C2A80"/>
    <w:rsid w:val="007C3BA6"/>
    <w:rsid w:val="007C61C1"/>
    <w:rsid w:val="007D32D8"/>
    <w:rsid w:val="007D34F6"/>
    <w:rsid w:val="007D35ED"/>
    <w:rsid w:val="007D5A98"/>
    <w:rsid w:val="007E1B76"/>
    <w:rsid w:val="007E5431"/>
    <w:rsid w:val="007E610B"/>
    <w:rsid w:val="007F0BAA"/>
    <w:rsid w:val="007F3D21"/>
    <w:rsid w:val="007F6D4B"/>
    <w:rsid w:val="007F7A3E"/>
    <w:rsid w:val="008044C3"/>
    <w:rsid w:val="008054AC"/>
    <w:rsid w:val="00807A63"/>
    <w:rsid w:val="00807B43"/>
    <w:rsid w:val="008119DD"/>
    <w:rsid w:val="00816C42"/>
    <w:rsid w:val="00820D89"/>
    <w:rsid w:val="00821166"/>
    <w:rsid w:val="00821B7B"/>
    <w:rsid w:val="00822495"/>
    <w:rsid w:val="00825068"/>
    <w:rsid w:val="00827768"/>
    <w:rsid w:val="00827E65"/>
    <w:rsid w:val="0083142A"/>
    <w:rsid w:val="00831D75"/>
    <w:rsid w:val="00834481"/>
    <w:rsid w:val="00840751"/>
    <w:rsid w:val="00840B7E"/>
    <w:rsid w:val="00841BA4"/>
    <w:rsid w:val="00842B86"/>
    <w:rsid w:val="00845D7D"/>
    <w:rsid w:val="008477EB"/>
    <w:rsid w:val="008479F3"/>
    <w:rsid w:val="00847EE0"/>
    <w:rsid w:val="00855868"/>
    <w:rsid w:val="00857EFB"/>
    <w:rsid w:val="00862475"/>
    <w:rsid w:val="008670A1"/>
    <w:rsid w:val="008714CF"/>
    <w:rsid w:val="00871968"/>
    <w:rsid w:val="00871B6B"/>
    <w:rsid w:val="00872416"/>
    <w:rsid w:val="00873E5D"/>
    <w:rsid w:val="008769E7"/>
    <w:rsid w:val="008772B2"/>
    <w:rsid w:val="00880128"/>
    <w:rsid w:val="008805EF"/>
    <w:rsid w:val="008813C1"/>
    <w:rsid w:val="00881775"/>
    <w:rsid w:val="0088480B"/>
    <w:rsid w:val="00885D63"/>
    <w:rsid w:val="0089245B"/>
    <w:rsid w:val="008925D6"/>
    <w:rsid w:val="00894313"/>
    <w:rsid w:val="00895439"/>
    <w:rsid w:val="008978FA"/>
    <w:rsid w:val="00897F87"/>
    <w:rsid w:val="008A0D35"/>
    <w:rsid w:val="008A228D"/>
    <w:rsid w:val="008A2F9C"/>
    <w:rsid w:val="008A3C42"/>
    <w:rsid w:val="008B0416"/>
    <w:rsid w:val="008B622B"/>
    <w:rsid w:val="008C644F"/>
    <w:rsid w:val="008C7205"/>
    <w:rsid w:val="008D0473"/>
    <w:rsid w:val="008D66FA"/>
    <w:rsid w:val="008D7710"/>
    <w:rsid w:val="008E004A"/>
    <w:rsid w:val="008E1DF5"/>
    <w:rsid w:val="008E2CD0"/>
    <w:rsid w:val="008E2F33"/>
    <w:rsid w:val="008E37D8"/>
    <w:rsid w:val="008E6290"/>
    <w:rsid w:val="008E65AA"/>
    <w:rsid w:val="008F30E7"/>
    <w:rsid w:val="008F6C62"/>
    <w:rsid w:val="00902CBB"/>
    <w:rsid w:val="0090422F"/>
    <w:rsid w:val="00904D75"/>
    <w:rsid w:val="00904E90"/>
    <w:rsid w:val="00905E18"/>
    <w:rsid w:val="009074FE"/>
    <w:rsid w:val="00912B7F"/>
    <w:rsid w:val="00916D7A"/>
    <w:rsid w:val="00920812"/>
    <w:rsid w:val="00924FCE"/>
    <w:rsid w:val="00926B7C"/>
    <w:rsid w:val="00927DF2"/>
    <w:rsid w:val="00930E4C"/>
    <w:rsid w:val="00936A3F"/>
    <w:rsid w:val="0094079B"/>
    <w:rsid w:val="00941FB4"/>
    <w:rsid w:val="009457B1"/>
    <w:rsid w:val="00947274"/>
    <w:rsid w:val="009473C9"/>
    <w:rsid w:val="00950153"/>
    <w:rsid w:val="00952C2C"/>
    <w:rsid w:val="00953C84"/>
    <w:rsid w:val="00960430"/>
    <w:rsid w:val="00971138"/>
    <w:rsid w:val="00972BFC"/>
    <w:rsid w:val="00973282"/>
    <w:rsid w:val="00974191"/>
    <w:rsid w:val="009753C5"/>
    <w:rsid w:val="00992BD9"/>
    <w:rsid w:val="00994068"/>
    <w:rsid w:val="00995369"/>
    <w:rsid w:val="00997707"/>
    <w:rsid w:val="00997ACC"/>
    <w:rsid w:val="009A4429"/>
    <w:rsid w:val="009A4B16"/>
    <w:rsid w:val="009A5EB8"/>
    <w:rsid w:val="009B1583"/>
    <w:rsid w:val="009B2943"/>
    <w:rsid w:val="009B2F4E"/>
    <w:rsid w:val="009B3B28"/>
    <w:rsid w:val="009B5D36"/>
    <w:rsid w:val="009B6CCE"/>
    <w:rsid w:val="009C00CF"/>
    <w:rsid w:val="009C014B"/>
    <w:rsid w:val="009C1FA9"/>
    <w:rsid w:val="009C2124"/>
    <w:rsid w:val="009C2B7F"/>
    <w:rsid w:val="009C4188"/>
    <w:rsid w:val="009C5C97"/>
    <w:rsid w:val="009D0333"/>
    <w:rsid w:val="009D042E"/>
    <w:rsid w:val="009D0585"/>
    <w:rsid w:val="009D0E72"/>
    <w:rsid w:val="009D6272"/>
    <w:rsid w:val="009D6B1B"/>
    <w:rsid w:val="009D7754"/>
    <w:rsid w:val="009E1DFF"/>
    <w:rsid w:val="009E2AC4"/>
    <w:rsid w:val="009E3C2D"/>
    <w:rsid w:val="009E772A"/>
    <w:rsid w:val="009F5BF4"/>
    <w:rsid w:val="009F5E02"/>
    <w:rsid w:val="009F65CB"/>
    <w:rsid w:val="009F6BF5"/>
    <w:rsid w:val="009F6E04"/>
    <w:rsid w:val="009F7F91"/>
    <w:rsid w:val="00A02C2B"/>
    <w:rsid w:val="00A02FDC"/>
    <w:rsid w:val="00A03726"/>
    <w:rsid w:val="00A104B8"/>
    <w:rsid w:val="00A12B46"/>
    <w:rsid w:val="00A16052"/>
    <w:rsid w:val="00A1676C"/>
    <w:rsid w:val="00A26C63"/>
    <w:rsid w:val="00A309AC"/>
    <w:rsid w:val="00A30D97"/>
    <w:rsid w:val="00A3307C"/>
    <w:rsid w:val="00A3743E"/>
    <w:rsid w:val="00A37C5F"/>
    <w:rsid w:val="00A4021A"/>
    <w:rsid w:val="00A40B86"/>
    <w:rsid w:val="00A42F9C"/>
    <w:rsid w:val="00A45B41"/>
    <w:rsid w:val="00A467A1"/>
    <w:rsid w:val="00A472F1"/>
    <w:rsid w:val="00A47B4D"/>
    <w:rsid w:val="00A5123B"/>
    <w:rsid w:val="00A51BD0"/>
    <w:rsid w:val="00A52275"/>
    <w:rsid w:val="00A620F8"/>
    <w:rsid w:val="00A6469D"/>
    <w:rsid w:val="00A71E17"/>
    <w:rsid w:val="00A7216C"/>
    <w:rsid w:val="00A7296C"/>
    <w:rsid w:val="00A72BCA"/>
    <w:rsid w:val="00A73064"/>
    <w:rsid w:val="00A73386"/>
    <w:rsid w:val="00A75072"/>
    <w:rsid w:val="00A756F5"/>
    <w:rsid w:val="00A75A63"/>
    <w:rsid w:val="00A8343F"/>
    <w:rsid w:val="00A84B7F"/>
    <w:rsid w:val="00A85CC9"/>
    <w:rsid w:val="00A8641C"/>
    <w:rsid w:val="00A86E74"/>
    <w:rsid w:val="00A91680"/>
    <w:rsid w:val="00A9722F"/>
    <w:rsid w:val="00AA5366"/>
    <w:rsid w:val="00AA676B"/>
    <w:rsid w:val="00AB0B8B"/>
    <w:rsid w:val="00AB1D1B"/>
    <w:rsid w:val="00AB408B"/>
    <w:rsid w:val="00AB7322"/>
    <w:rsid w:val="00AB77A2"/>
    <w:rsid w:val="00AB7A15"/>
    <w:rsid w:val="00AC4AF1"/>
    <w:rsid w:val="00AC4CB1"/>
    <w:rsid w:val="00AD018C"/>
    <w:rsid w:val="00AD4513"/>
    <w:rsid w:val="00AD637C"/>
    <w:rsid w:val="00AD7DE8"/>
    <w:rsid w:val="00AE0CBC"/>
    <w:rsid w:val="00AE11D9"/>
    <w:rsid w:val="00AE3574"/>
    <w:rsid w:val="00AE37B3"/>
    <w:rsid w:val="00AF14EE"/>
    <w:rsid w:val="00AF33E0"/>
    <w:rsid w:val="00AF3FB1"/>
    <w:rsid w:val="00AF6D2E"/>
    <w:rsid w:val="00AF79BB"/>
    <w:rsid w:val="00B03A8A"/>
    <w:rsid w:val="00B05675"/>
    <w:rsid w:val="00B05C94"/>
    <w:rsid w:val="00B05D58"/>
    <w:rsid w:val="00B07A8C"/>
    <w:rsid w:val="00B118B2"/>
    <w:rsid w:val="00B130AA"/>
    <w:rsid w:val="00B1706E"/>
    <w:rsid w:val="00B172B9"/>
    <w:rsid w:val="00B17F96"/>
    <w:rsid w:val="00B21828"/>
    <w:rsid w:val="00B21A13"/>
    <w:rsid w:val="00B22DEC"/>
    <w:rsid w:val="00B243FA"/>
    <w:rsid w:val="00B347C7"/>
    <w:rsid w:val="00B34DCE"/>
    <w:rsid w:val="00B363BA"/>
    <w:rsid w:val="00B4370A"/>
    <w:rsid w:val="00B45DEF"/>
    <w:rsid w:val="00B47130"/>
    <w:rsid w:val="00B474FF"/>
    <w:rsid w:val="00B51295"/>
    <w:rsid w:val="00B526AD"/>
    <w:rsid w:val="00B54C77"/>
    <w:rsid w:val="00B56406"/>
    <w:rsid w:val="00B56D00"/>
    <w:rsid w:val="00B70277"/>
    <w:rsid w:val="00B7107D"/>
    <w:rsid w:val="00B7166E"/>
    <w:rsid w:val="00B74B29"/>
    <w:rsid w:val="00B75024"/>
    <w:rsid w:val="00B77D86"/>
    <w:rsid w:val="00B93A83"/>
    <w:rsid w:val="00B9576F"/>
    <w:rsid w:val="00B96428"/>
    <w:rsid w:val="00B9700B"/>
    <w:rsid w:val="00B97D29"/>
    <w:rsid w:val="00BA411F"/>
    <w:rsid w:val="00BA46DF"/>
    <w:rsid w:val="00BA5B9D"/>
    <w:rsid w:val="00BB238A"/>
    <w:rsid w:val="00BB2FD2"/>
    <w:rsid w:val="00BB3C7D"/>
    <w:rsid w:val="00BB4BB3"/>
    <w:rsid w:val="00BB5016"/>
    <w:rsid w:val="00BB7D22"/>
    <w:rsid w:val="00BC0E52"/>
    <w:rsid w:val="00BC16EA"/>
    <w:rsid w:val="00BC2F10"/>
    <w:rsid w:val="00BC31CE"/>
    <w:rsid w:val="00BC3DA0"/>
    <w:rsid w:val="00BC4FA4"/>
    <w:rsid w:val="00BC749B"/>
    <w:rsid w:val="00BD0186"/>
    <w:rsid w:val="00BD4197"/>
    <w:rsid w:val="00BD66E2"/>
    <w:rsid w:val="00BD7411"/>
    <w:rsid w:val="00BD7B90"/>
    <w:rsid w:val="00BE0020"/>
    <w:rsid w:val="00BE074E"/>
    <w:rsid w:val="00BE075D"/>
    <w:rsid w:val="00BE0D1C"/>
    <w:rsid w:val="00BE4250"/>
    <w:rsid w:val="00BE5016"/>
    <w:rsid w:val="00BE593E"/>
    <w:rsid w:val="00BE5EE0"/>
    <w:rsid w:val="00BE6C2B"/>
    <w:rsid w:val="00BF43A7"/>
    <w:rsid w:val="00BF446F"/>
    <w:rsid w:val="00BF74AE"/>
    <w:rsid w:val="00C008EA"/>
    <w:rsid w:val="00C009F7"/>
    <w:rsid w:val="00C014B8"/>
    <w:rsid w:val="00C02E98"/>
    <w:rsid w:val="00C04793"/>
    <w:rsid w:val="00C105CA"/>
    <w:rsid w:val="00C10881"/>
    <w:rsid w:val="00C11336"/>
    <w:rsid w:val="00C13559"/>
    <w:rsid w:val="00C13EFB"/>
    <w:rsid w:val="00C141AE"/>
    <w:rsid w:val="00C16B3C"/>
    <w:rsid w:val="00C17005"/>
    <w:rsid w:val="00C20E9E"/>
    <w:rsid w:val="00C22C98"/>
    <w:rsid w:val="00C235A0"/>
    <w:rsid w:val="00C235F7"/>
    <w:rsid w:val="00C23F48"/>
    <w:rsid w:val="00C24446"/>
    <w:rsid w:val="00C248FF"/>
    <w:rsid w:val="00C2506B"/>
    <w:rsid w:val="00C254D6"/>
    <w:rsid w:val="00C25FB5"/>
    <w:rsid w:val="00C319BB"/>
    <w:rsid w:val="00C32FFE"/>
    <w:rsid w:val="00C35AF7"/>
    <w:rsid w:val="00C35F22"/>
    <w:rsid w:val="00C41A91"/>
    <w:rsid w:val="00C46C53"/>
    <w:rsid w:val="00C47BC1"/>
    <w:rsid w:val="00C47CAB"/>
    <w:rsid w:val="00C5161A"/>
    <w:rsid w:val="00C51ECE"/>
    <w:rsid w:val="00C53E29"/>
    <w:rsid w:val="00C54220"/>
    <w:rsid w:val="00C54304"/>
    <w:rsid w:val="00C559DE"/>
    <w:rsid w:val="00C55B5E"/>
    <w:rsid w:val="00C61FC9"/>
    <w:rsid w:val="00C62C08"/>
    <w:rsid w:val="00C62D64"/>
    <w:rsid w:val="00C65E28"/>
    <w:rsid w:val="00C65FE8"/>
    <w:rsid w:val="00C66323"/>
    <w:rsid w:val="00C71338"/>
    <w:rsid w:val="00C71C46"/>
    <w:rsid w:val="00C73943"/>
    <w:rsid w:val="00C872EF"/>
    <w:rsid w:val="00C87A02"/>
    <w:rsid w:val="00C87E29"/>
    <w:rsid w:val="00C92A27"/>
    <w:rsid w:val="00C92B8D"/>
    <w:rsid w:val="00C93634"/>
    <w:rsid w:val="00C946B7"/>
    <w:rsid w:val="00C97F5A"/>
    <w:rsid w:val="00CA10E1"/>
    <w:rsid w:val="00CA4043"/>
    <w:rsid w:val="00CB5E89"/>
    <w:rsid w:val="00CC0C96"/>
    <w:rsid w:val="00CC22B2"/>
    <w:rsid w:val="00CC5E5D"/>
    <w:rsid w:val="00CC646B"/>
    <w:rsid w:val="00CC6A86"/>
    <w:rsid w:val="00CD36DA"/>
    <w:rsid w:val="00CD39A3"/>
    <w:rsid w:val="00CE1BF6"/>
    <w:rsid w:val="00CE1CBB"/>
    <w:rsid w:val="00CE4464"/>
    <w:rsid w:val="00CF66F3"/>
    <w:rsid w:val="00CF7129"/>
    <w:rsid w:val="00D002BA"/>
    <w:rsid w:val="00D0076E"/>
    <w:rsid w:val="00D035AC"/>
    <w:rsid w:val="00D03A41"/>
    <w:rsid w:val="00D04ACE"/>
    <w:rsid w:val="00D1271E"/>
    <w:rsid w:val="00D12E69"/>
    <w:rsid w:val="00D153A6"/>
    <w:rsid w:val="00D20501"/>
    <w:rsid w:val="00D222A5"/>
    <w:rsid w:val="00D228B8"/>
    <w:rsid w:val="00D23974"/>
    <w:rsid w:val="00D242FF"/>
    <w:rsid w:val="00D2534E"/>
    <w:rsid w:val="00D26AA5"/>
    <w:rsid w:val="00D31E88"/>
    <w:rsid w:val="00D31F97"/>
    <w:rsid w:val="00D3204A"/>
    <w:rsid w:val="00D3409B"/>
    <w:rsid w:val="00D347F4"/>
    <w:rsid w:val="00D34CC1"/>
    <w:rsid w:val="00D3571C"/>
    <w:rsid w:val="00D366F2"/>
    <w:rsid w:val="00D368EF"/>
    <w:rsid w:val="00D3724C"/>
    <w:rsid w:val="00D37618"/>
    <w:rsid w:val="00D42B5D"/>
    <w:rsid w:val="00D50772"/>
    <w:rsid w:val="00D50D58"/>
    <w:rsid w:val="00D51483"/>
    <w:rsid w:val="00D534FA"/>
    <w:rsid w:val="00D5418C"/>
    <w:rsid w:val="00D55902"/>
    <w:rsid w:val="00D5602C"/>
    <w:rsid w:val="00D606C4"/>
    <w:rsid w:val="00D6504F"/>
    <w:rsid w:val="00D66ACC"/>
    <w:rsid w:val="00D672B5"/>
    <w:rsid w:val="00D71806"/>
    <w:rsid w:val="00D71B4F"/>
    <w:rsid w:val="00D72F1E"/>
    <w:rsid w:val="00D744AF"/>
    <w:rsid w:val="00D75412"/>
    <w:rsid w:val="00D831C1"/>
    <w:rsid w:val="00D91E47"/>
    <w:rsid w:val="00D92061"/>
    <w:rsid w:val="00D92D37"/>
    <w:rsid w:val="00D93B45"/>
    <w:rsid w:val="00D940ED"/>
    <w:rsid w:val="00D948DA"/>
    <w:rsid w:val="00D95245"/>
    <w:rsid w:val="00D957E4"/>
    <w:rsid w:val="00D97810"/>
    <w:rsid w:val="00DA0A79"/>
    <w:rsid w:val="00DA32CA"/>
    <w:rsid w:val="00DA433A"/>
    <w:rsid w:val="00DA510C"/>
    <w:rsid w:val="00DA531B"/>
    <w:rsid w:val="00DA6DC5"/>
    <w:rsid w:val="00DB2CC1"/>
    <w:rsid w:val="00DB5BD1"/>
    <w:rsid w:val="00DB6CDD"/>
    <w:rsid w:val="00DC1E43"/>
    <w:rsid w:val="00DC3CE1"/>
    <w:rsid w:val="00DC4CE9"/>
    <w:rsid w:val="00DC6588"/>
    <w:rsid w:val="00DC6D15"/>
    <w:rsid w:val="00DC7D2D"/>
    <w:rsid w:val="00DD02BE"/>
    <w:rsid w:val="00DD1A76"/>
    <w:rsid w:val="00DD3C7C"/>
    <w:rsid w:val="00DE2AD9"/>
    <w:rsid w:val="00DE2E31"/>
    <w:rsid w:val="00DE54B6"/>
    <w:rsid w:val="00DE779C"/>
    <w:rsid w:val="00DE79C1"/>
    <w:rsid w:val="00DF1DC8"/>
    <w:rsid w:val="00DF3C7F"/>
    <w:rsid w:val="00DF67A2"/>
    <w:rsid w:val="00DF7DDC"/>
    <w:rsid w:val="00E0771D"/>
    <w:rsid w:val="00E105A8"/>
    <w:rsid w:val="00E13898"/>
    <w:rsid w:val="00E13CEB"/>
    <w:rsid w:val="00E14CC3"/>
    <w:rsid w:val="00E14F3B"/>
    <w:rsid w:val="00E1551C"/>
    <w:rsid w:val="00E16410"/>
    <w:rsid w:val="00E20F08"/>
    <w:rsid w:val="00E22D95"/>
    <w:rsid w:val="00E23FB0"/>
    <w:rsid w:val="00E30FAA"/>
    <w:rsid w:val="00E312B6"/>
    <w:rsid w:val="00E31E35"/>
    <w:rsid w:val="00E32218"/>
    <w:rsid w:val="00E345CA"/>
    <w:rsid w:val="00E37FEE"/>
    <w:rsid w:val="00E41B96"/>
    <w:rsid w:val="00E41B9C"/>
    <w:rsid w:val="00E445A1"/>
    <w:rsid w:val="00E4510C"/>
    <w:rsid w:val="00E47955"/>
    <w:rsid w:val="00E47FEC"/>
    <w:rsid w:val="00E53317"/>
    <w:rsid w:val="00E6431D"/>
    <w:rsid w:val="00E64554"/>
    <w:rsid w:val="00E66993"/>
    <w:rsid w:val="00E66BD3"/>
    <w:rsid w:val="00E67A55"/>
    <w:rsid w:val="00E744D1"/>
    <w:rsid w:val="00E74D61"/>
    <w:rsid w:val="00E75008"/>
    <w:rsid w:val="00E7534C"/>
    <w:rsid w:val="00E841EE"/>
    <w:rsid w:val="00E90DF0"/>
    <w:rsid w:val="00E93D94"/>
    <w:rsid w:val="00E94355"/>
    <w:rsid w:val="00EA16A9"/>
    <w:rsid w:val="00EA182B"/>
    <w:rsid w:val="00EA1B05"/>
    <w:rsid w:val="00EA233A"/>
    <w:rsid w:val="00EA3C3B"/>
    <w:rsid w:val="00EB181C"/>
    <w:rsid w:val="00EB389D"/>
    <w:rsid w:val="00EB3BCB"/>
    <w:rsid w:val="00EB476F"/>
    <w:rsid w:val="00EB6DD6"/>
    <w:rsid w:val="00EC101E"/>
    <w:rsid w:val="00EC38E7"/>
    <w:rsid w:val="00EC3E68"/>
    <w:rsid w:val="00EC7258"/>
    <w:rsid w:val="00EE07A6"/>
    <w:rsid w:val="00EE0FFB"/>
    <w:rsid w:val="00EE1CDE"/>
    <w:rsid w:val="00EE44BF"/>
    <w:rsid w:val="00EF0757"/>
    <w:rsid w:val="00EF0E5B"/>
    <w:rsid w:val="00EF27A2"/>
    <w:rsid w:val="00EF6182"/>
    <w:rsid w:val="00EF6BD5"/>
    <w:rsid w:val="00F00DED"/>
    <w:rsid w:val="00F0223A"/>
    <w:rsid w:val="00F042B4"/>
    <w:rsid w:val="00F075EE"/>
    <w:rsid w:val="00F104CA"/>
    <w:rsid w:val="00F10564"/>
    <w:rsid w:val="00F1111E"/>
    <w:rsid w:val="00F12B38"/>
    <w:rsid w:val="00F14AB7"/>
    <w:rsid w:val="00F15FD9"/>
    <w:rsid w:val="00F16C64"/>
    <w:rsid w:val="00F2075E"/>
    <w:rsid w:val="00F20E7F"/>
    <w:rsid w:val="00F22AC0"/>
    <w:rsid w:val="00F241B5"/>
    <w:rsid w:val="00F30CFF"/>
    <w:rsid w:val="00F33FED"/>
    <w:rsid w:val="00F3590E"/>
    <w:rsid w:val="00F37B65"/>
    <w:rsid w:val="00F40DCE"/>
    <w:rsid w:val="00F429C3"/>
    <w:rsid w:val="00F4325A"/>
    <w:rsid w:val="00F44655"/>
    <w:rsid w:val="00F45208"/>
    <w:rsid w:val="00F453C0"/>
    <w:rsid w:val="00F45855"/>
    <w:rsid w:val="00F45889"/>
    <w:rsid w:val="00F46C66"/>
    <w:rsid w:val="00F47E29"/>
    <w:rsid w:val="00F51A09"/>
    <w:rsid w:val="00F51D6B"/>
    <w:rsid w:val="00F52DF0"/>
    <w:rsid w:val="00F53504"/>
    <w:rsid w:val="00F66A47"/>
    <w:rsid w:val="00F73DB6"/>
    <w:rsid w:val="00F81D68"/>
    <w:rsid w:val="00F84BDE"/>
    <w:rsid w:val="00F8793F"/>
    <w:rsid w:val="00F9305F"/>
    <w:rsid w:val="00F932C8"/>
    <w:rsid w:val="00F938ED"/>
    <w:rsid w:val="00F93F17"/>
    <w:rsid w:val="00FA18AC"/>
    <w:rsid w:val="00FA2DD7"/>
    <w:rsid w:val="00FA2DEE"/>
    <w:rsid w:val="00FA48D4"/>
    <w:rsid w:val="00FB34F2"/>
    <w:rsid w:val="00FB3C30"/>
    <w:rsid w:val="00FB66D9"/>
    <w:rsid w:val="00FB6FE2"/>
    <w:rsid w:val="00FB725D"/>
    <w:rsid w:val="00FC0422"/>
    <w:rsid w:val="00FC11EB"/>
    <w:rsid w:val="00FC1F74"/>
    <w:rsid w:val="00FC2C29"/>
    <w:rsid w:val="00FC73AD"/>
    <w:rsid w:val="00FD1120"/>
    <w:rsid w:val="00FD30CB"/>
    <w:rsid w:val="00FD4D0E"/>
    <w:rsid w:val="00FD57AB"/>
    <w:rsid w:val="00FD5E69"/>
    <w:rsid w:val="00FE2D3D"/>
    <w:rsid w:val="00FE37FD"/>
    <w:rsid w:val="00FE39C4"/>
    <w:rsid w:val="00FE4E35"/>
    <w:rsid w:val="00FE60B3"/>
    <w:rsid w:val="00FE6365"/>
    <w:rsid w:val="00FE79E8"/>
    <w:rsid w:val="00FF0C0C"/>
    <w:rsid w:val="00FF152B"/>
    <w:rsid w:val="00FF3821"/>
    <w:rsid w:val="00FF3EA0"/>
    <w:rsid w:val="00FF71C9"/>
    <w:rsid w:val="025B27B5"/>
    <w:rsid w:val="02F07B9F"/>
    <w:rsid w:val="03177294"/>
    <w:rsid w:val="036E6CA6"/>
    <w:rsid w:val="03773C2D"/>
    <w:rsid w:val="058C5C9F"/>
    <w:rsid w:val="07C80EFB"/>
    <w:rsid w:val="08251EAA"/>
    <w:rsid w:val="08602EE2"/>
    <w:rsid w:val="08916AB3"/>
    <w:rsid w:val="09084174"/>
    <w:rsid w:val="09287EA3"/>
    <w:rsid w:val="0A7A13B6"/>
    <w:rsid w:val="0A903CFA"/>
    <w:rsid w:val="0A91481A"/>
    <w:rsid w:val="0BD378F6"/>
    <w:rsid w:val="0CC021A1"/>
    <w:rsid w:val="0D4E4A67"/>
    <w:rsid w:val="0DEF71E2"/>
    <w:rsid w:val="10E24D87"/>
    <w:rsid w:val="119A1F8D"/>
    <w:rsid w:val="11BC1998"/>
    <w:rsid w:val="13524CBA"/>
    <w:rsid w:val="13750D6C"/>
    <w:rsid w:val="137A57A0"/>
    <w:rsid w:val="13C347B9"/>
    <w:rsid w:val="13C54541"/>
    <w:rsid w:val="156A411C"/>
    <w:rsid w:val="16A92918"/>
    <w:rsid w:val="173B04EE"/>
    <w:rsid w:val="17D22769"/>
    <w:rsid w:val="18735030"/>
    <w:rsid w:val="18D92526"/>
    <w:rsid w:val="18FA2EDF"/>
    <w:rsid w:val="1A66331F"/>
    <w:rsid w:val="1AE70150"/>
    <w:rsid w:val="1AF95668"/>
    <w:rsid w:val="1CE22479"/>
    <w:rsid w:val="1E0104DD"/>
    <w:rsid w:val="1EA4741C"/>
    <w:rsid w:val="20344F28"/>
    <w:rsid w:val="20346CD6"/>
    <w:rsid w:val="206770AC"/>
    <w:rsid w:val="23241284"/>
    <w:rsid w:val="23530B29"/>
    <w:rsid w:val="23B21C79"/>
    <w:rsid w:val="262458BA"/>
    <w:rsid w:val="282F3B79"/>
    <w:rsid w:val="283C571B"/>
    <w:rsid w:val="291E2007"/>
    <w:rsid w:val="29543F45"/>
    <w:rsid w:val="29CF3D8B"/>
    <w:rsid w:val="2B7C7113"/>
    <w:rsid w:val="2CD32C5A"/>
    <w:rsid w:val="30C62676"/>
    <w:rsid w:val="30D37E45"/>
    <w:rsid w:val="31BF072E"/>
    <w:rsid w:val="3251196A"/>
    <w:rsid w:val="340842AA"/>
    <w:rsid w:val="345352E6"/>
    <w:rsid w:val="35DA59F3"/>
    <w:rsid w:val="36797FCD"/>
    <w:rsid w:val="36962041"/>
    <w:rsid w:val="36D93CDC"/>
    <w:rsid w:val="37321D6A"/>
    <w:rsid w:val="37903539"/>
    <w:rsid w:val="37A20571"/>
    <w:rsid w:val="388A16E7"/>
    <w:rsid w:val="38F3153C"/>
    <w:rsid w:val="39F03816"/>
    <w:rsid w:val="3A2A31CC"/>
    <w:rsid w:val="3CC75F2B"/>
    <w:rsid w:val="3CF814E4"/>
    <w:rsid w:val="3D874491"/>
    <w:rsid w:val="3DD24BE8"/>
    <w:rsid w:val="3E350DFC"/>
    <w:rsid w:val="3F5D7BA0"/>
    <w:rsid w:val="40694322"/>
    <w:rsid w:val="418A33DF"/>
    <w:rsid w:val="435C016E"/>
    <w:rsid w:val="43880906"/>
    <w:rsid w:val="43964717"/>
    <w:rsid w:val="43BE3353"/>
    <w:rsid w:val="43ED325B"/>
    <w:rsid w:val="443D4540"/>
    <w:rsid w:val="45553AE5"/>
    <w:rsid w:val="45974888"/>
    <w:rsid w:val="47470D57"/>
    <w:rsid w:val="47D26073"/>
    <w:rsid w:val="47E75CBA"/>
    <w:rsid w:val="49E3541A"/>
    <w:rsid w:val="4A225C6E"/>
    <w:rsid w:val="4B700D53"/>
    <w:rsid w:val="4BDA12B0"/>
    <w:rsid w:val="4D317F5A"/>
    <w:rsid w:val="4D3A7115"/>
    <w:rsid w:val="4D677E3B"/>
    <w:rsid w:val="51DD06CC"/>
    <w:rsid w:val="523429E2"/>
    <w:rsid w:val="536D2F2E"/>
    <w:rsid w:val="53F1220D"/>
    <w:rsid w:val="546D21DB"/>
    <w:rsid w:val="5658373F"/>
    <w:rsid w:val="566D6A2E"/>
    <w:rsid w:val="57346FE0"/>
    <w:rsid w:val="59157D59"/>
    <w:rsid w:val="591C7D2C"/>
    <w:rsid w:val="59B361F2"/>
    <w:rsid w:val="5A5F6122"/>
    <w:rsid w:val="5E677C9B"/>
    <w:rsid w:val="5EA70DDA"/>
    <w:rsid w:val="5ED7581E"/>
    <w:rsid w:val="5FC52ECB"/>
    <w:rsid w:val="60C63B32"/>
    <w:rsid w:val="61616A4B"/>
    <w:rsid w:val="629038C3"/>
    <w:rsid w:val="62D324BB"/>
    <w:rsid w:val="642A69CF"/>
    <w:rsid w:val="651A7A6A"/>
    <w:rsid w:val="65271F32"/>
    <w:rsid w:val="658F4499"/>
    <w:rsid w:val="66091AE9"/>
    <w:rsid w:val="68AB6E74"/>
    <w:rsid w:val="69056267"/>
    <w:rsid w:val="6942558D"/>
    <w:rsid w:val="6A2133F4"/>
    <w:rsid w:val="6A5F3B8A"/>
    <w:rsid w:val="6AC87D14"/>
    <w:rsid w:val="6B8B5E84"/>
    <w:rsid w:val="6BE0108D"/>
    <w:rsid w:val="6BF15048"/>
    <w:rsid w:val="6C320AC9"/>
    <w:rsid w:val="6C550632"/>
    <w:rsid w:val="6D263022"/>
    <w:rsid w:val="6F240401"/>
    <w:rsid w:val="6F6A75EB"/>
    <w:rsid w:val="73E01C2A"/>
    <w:rsid w:val="742915A0"/>
    <w:rsid w:val="744A3547"/>
    <w:rsid w:val="76764668"/>
    <w:rsid w:val="76D11EE8"/>
    <w:rsid w:val="774C5829"/>
    <w:rsid w:val="77893908"/>
    <w:rsid w:val="77E56B80"/>
    <w:rsid w:val="78526EF9"/>
    <w:rsid w:val="78A3591C"/>
    <w:rsid w:val="790E7239"/>
    <w:rsid w:val="79FB4EC7"/>
    <w:rsid w:val="7B5D1ADF"/>
    <w:rsid w:val="7B841A35"/>
    <w:rsid w:val="7C42088B"/>
    <w:rsid w:val="7CE63738"/>
    <w:rsid w:val="7D36737D"/>
    <w:rsid w:val="7D3D7B44"/>
    <w:rsid w:val="7E0155BF"/>
    <w:rsid w:val="7E835FD4"/>
    <w:rsid w:val="7EBE08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iPriority="99" w:name="Body Text 3"/>
    <w:lsdException w:qFormat="1" w:uiPriority="99" w:semiHidden="0" w:name="Body Text Indent 2"/>
    <w:lsdException w:qFormat="1" w:uiPriority="99" w:name="Body Text Indent 3"/>
    <w:lsdException w:qFormat="1" w:uiPriority="99"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pPr>
    <w:rPr>
      <w:rFonts w:ascii="Times New Roman" w:hAnsi="Times New Roman" w:eastAsia="宋体" w:cs="Times New Roman"/>
      <w:sz w:val="21"/>
      <w:lang w:val="en-US" w:eastAsia="zh-CN" w:bidi="ar-SA"/>
    </w:rPr>
  </w:style>
  <w:style w:type="paragraph" w:styleId="3">
    <w:name w:val="heading 1"/>
    <w:basedOn w:val="1"/>
    <w:next w:val="1"/>
    <w:link w:val="59"/>
    <w:qFormat/>
    <w:uiPriority w:val="9"/>
    <w:pPr>
      <w:keepNext/>
      <w:keepLines/>
      <w:spacing w:before="340" w:after="330" w:line="578" w:lineRule="atLeast"/>
      <w:jc w:val="center"/>
      <w:outlineLvl w:val="0"/>
    </w:pPr>
    <w:rPr>
      <w:rFonts w:eastAsia="微软雅黑"/>
      <w:b/>
      <w:bCs/>
      <w:kern w:val="44"/>
      <w:sz w:val="32"/>
      <w:szCs w:val="44"/>
    </w:rPr>
  </w:style>
  <w:style w:type="paragraph" w:styleId="4">
    <w:name w:val="heading 2"/>
    <w:basedOn w:val="1"/>
    <w:next w:val="1"/>
    <w:link w:val="60"/>
    <w:unhideWhenUsed/>
    <w:qFormat/>
    <w:uiPriority w:val="0"/>
    <w:pPr>
      <w:keepNext/>
      <w:keepLines/>
      <w:spacing w:before="260" w:after="260" w:line="416" w:lineRule="atLeast"/>
      <w:jc w:val="center"/>
      <w:outlineLvl w:val="1"/>
    </w:pPr>
    <w:rPr>
      <w:rFonts w:eastAsia="微软雅黑" w:asciiTheme="majorHAnsi" w:hAnsiTheme="majorHAnsi" w:cstheme="majorBidi"/>
      <w:b/>
      <w:bCs/>
      <w:sz w:val="30"/>
      <w:szCs w:val="32"/>
    </w:rPr>
  </w:style>
  <w:style w:type="paragraph" w:styleId="5">
    <w:name w:val="heading 3"/>
    <w:basedOn w:val="1"/>
    <w:next w:val="1"/>
    <w:link w:val="61"/>
    <w:autoRedefine/>
    <w:unhideWhenUsed/>
    <w:qFormat/>
    <w:uiPriority w:val="0"/>
    <w:pPr>
      <w:keepNext/>
      <w:keepLines/>
      <w:spacing w:before="160" w:after="160" w:line="360" w:lineRule="atLeast"/>
      <w:jc w:val="left"/>
      <w:outlineLvl w:val="2"/>
    </w:pPr>
    <w:rPr>
      <w:rFonts w:eastAsia="微软雅黑"/>
      <w:b/>
      <w:bCs/>
      <w:sz w:val="28"/>
      <w:szCs w:val="32"/>
    </w:rPr>
  </w:style>
  <w:style w:type="paragraph" w:styleId="6">
    <w:name w:val="heading 4"/>
    <w:basedOn w:val="1"/>
    <w:next w:val="1"/>
    <w:link w:val="62"/>
    <w:unhideWhenUsed/>
    <w:qFormat/>
    <w:uiPriority w:val="0"/>
    <w:pPr>
      <w:keepNext/>
      <w:keepLines/>
      <w:spacing w:before="280" w:after="290" w:line="376" w:lineRule="atLeast"/>
      <w:jc w:val="left"/>
      <w:outlineLvl w:val="3"/>
    </w:pPr>
    <w:rPr>
      <w:rFonts w:eastAsia="微软雅黑" w:asciiTheme="majorHAnsi" w:hAnsiTheme="majorHAnsi" w:cstheme="majorBidi"/>
      <w:b/>
      <w:bCs/>
      <w:sz w:val="24"/>
      <w:szCs w:val="28"/>
    </w:rPr>
  </w:style>
  <w:style w:type="paragraph" w:styleId="7">
    <w:name w:val="heading 5"/>
    <w:basedOn w:val="1"/>
    <w:next w:val="1"/>
    <w:link w:val="63"/>
    <w:qFormat/>
    <w:uiPriority w:val="9"/>
    <w:pPr>
      <w:keepNext/>
      <w:keepLines/>
      <w:tabs>
        <w:tab w:val="left" w:pos="1008"/>
      </w:tabs>
      <w:adjustRightInd/>
      <w:spacing w:before="280" w:after="290" w:line="376" w:lineRule="auto"/>
      <w:ind w:left="1008" w:hanging="1008" w:firstLineChars="200"/>
      <w:outlineLvl w:val="4"/>
    </w:pPr>
    <w:rPr>
      <w:b/>
      <w:bCs/>
      <w:kern w:val="2"/>
      <w:sz w:val="28"/>
      <w:szCs w:val="28"/>
    </w:rPr>
  </w:style>
  <w:style w:type="paragraph" w:styleId="8">
    <w:name w:val="heading 6"/>
    <w:basedOn w:val="1"/>
    <w:next w:val="1"/>
    <w:link w:val="64"/>
    <w:qFormat/>
    <w:uiPriority w:val="9"/>
    <w:pPr>
      <w:keepNext/>
      <w:keepLines/>
      <w:tabs>
        <w:tab w:val="left" w:pos="1152"/>
      </w:tabs>
      <w:adjustRightInd/>
      <w:spacing w:before="240" w:after="64" w:line="320" w:lineRule="auto"/>
      <w:ind w:left="1152" w:hanging="1152" w:firstLineChars="200"/>
      <w:outlineLvl w:val="5"/>
    </w:pPr>
    <w:rPr>
      <w:rFonts w:ascii="Arial" w:hAnsi="Arial" w:eastAsia="黑体"/>
      <w:b/>
      <w:bCs/>
      <w:kern w:val="2"/>
      <w:sz w:val="24"/>
      <w:szCs w:val="24"/>
    </w:rPr>
  </w:style>
  <w:style w:type="paragraph" w:styleId="9">
    <w:name w:val="heading 7"/>
    <w:basedOn w:val="1"/>
    <w:next w:val="1"/>
    <w:link w:val="65"/>
    <w:qFormat/>
    <w:uiPriority w:val="0"/>
    <w:pPr>
      <w:keepNext/>
      <w:keepLines/>
      <w:tabs>
        <w:tab w:val="left" w:pos="1296"/>
      </w:tabs>
      <w:adjustRightInd/>
      <w:spacing w:before="240" w:after="64" w:line="320" w:lineRule="auto"/>
      <w:ind w:left="1296" w:hanging="1296" w:firstLineChars="200"/>
      <w:outlineLvl w:val="6"/>
    </w:pPr>
    <w:rPr>
      <w:b/>
      <w:bCs/>
      <w:kern w:val="2"/>
      <w:sz w:val="24"/>
      <w:szCs w:val="24"/>
    </w:rPr>
  </w:style>
  <w:style w:type="paragraph" w:styleId="10">
    <w:name w:val="heading 8"/>
    <w:basedOn w:val="1"/>
    <w:next w:val="1"/>
    <w:link w:val="66"/>
    <w:qFormat/>
    <w:uiPriority w:val="0"/>
    <w:pPr>
      <w:keepNext/>
      <w:keepLines/>
      <w:tabs>
        <w:tab w:val="left" w:pos="1440"/>
      </w:tabs>
      <w:adjustRightInd/>
      <w:spacing w:before="240" w:after="64" w:line="320" w:lineRule="auto"/>
      <w:ind w:left="1440" w:hanging="1440" w:firstLineChars="200"/>
      <w:outlineLvl w:val="7"/>
    </w:pPr>
    <w:rPr>
      <w:rFonts w:ascii="Arial" w:hAnsi="Arial" w:eastAsia="黑体"/>
      <w:kern w:val="2"/>
      <w:sz w:val="24"/>
      <w:szCs w:val="24"/>
    </w:rPr>
  </w:style>
  <w:style w:type="paragraph" w:styleId="11">
    <w:name w:val="heading 9"/>
    <w:basedOn w:val="1"/>
    <w:next w:val="1"/>
    <w:link w:val="67"/>
    <w:qFormat/>
    <w:uiPriority w:val="9"/>
    <w:pPr>
      <w:keepNext/>
      <w:keepLines/>
      <w:tabs>
        <w:tab w:val="left" w:pos="1584"/>
      </w:tabs>
      <w:adjustRightInd/>
      <w:spacing w:before="240" w:after="64" w:line="320" w:lineRule="auto"/>
      <w:ind w:left="1584" w:hanging="1584" w:firstLineChars="200"/>
      <w:outlineLvl w:val="8"/>
    </w:pPr>
    <w:rPr>
      <w:rFonts w:ascii="Arial" w:hAnsi="Arial" w:eastAsia="黑体"/>
      <w:kern w:val="2"/>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8"/>
    <w:autoRedefine/>
    <w:unhideWhenUsed/>
    <w:qFormat/>
    <w:uiPriority w:val="0"/>
    <w:pPr>
      <w:spacing w:after="120"/>
    </w:pPr>
  </w:style>
  <w:style w:type="paragraph" w:styleId="12">
    <w:name w:val="toc 7"/>
    <w:basedOn w:val="1"/>
    <w:next w:val="1"/>
    <w:unhideWhenUsed/>
    <w:qFormat/>
    <w:uiPriority w:val="39"/>
    <w:pPr>
      <w:adjustRightInd/>
      <w:spacing w:line="240" w:lineRule="auto"/>
      <w:ind w:left="2520" w:leftChars="1200"/>
    </w:pPr>
    <w:rPr>
      <w:rFonts w:asciiTheme="minorHAnsi" w:hAnsiTheme="minorHAnsi" w:eastAsiaTheme="minorEastAsia" w:cstheme="minorBidi"/>
      <w:kern w:val="2"/>
      <w:szCs w:val="22"/>
    </w:rPr>
  </w:style>
  <w:style w:type="paragraph" w:styleId="13">
    <w:name w:val="Normal Indent"/>
    <w:basedOn w:val="1"/>
    <w:link w:val="87"/>
    <w:qFormat/>
    <w:uiPriority w:val="0"/>
    <w:pPr>
      <w:widowControl w:val="0"/>
      <w:autoSpaceDE w:val="0"/>
      <w:autoSpaceDN w:val="0"/>
      <w:adjustRightInd w:val="0"/>
      <w:ind w:firstLine="420"/>
    </w:pPr>
    <w:rPr>
      <w:rFonts w:ascii="宋体" w:hAnsiTheme="minorHAnsi" w:eastAsiaTheme="minorEastAsia" w:cstheme="minorBidi"/>
      <w:kern w:val="2"/>
      <w:sz w:val="24"/>
      <w:szCs w:val="22"/>
      <w:lang w:val="en-US" w:eastAsia="zh-CN" w:bidi="ar-SA"/>
    </w:rPr>
  </w:style>
  <w:style w:type="paragraph" w:styleId="14">
    <w:name w:val="annotation text"/>
    <w:basedOn w:val="1"/>
    <w:link w:val="125"/>
    <w:unhideWhenUsed/>
    <w:qFormat/>
    <w:uiPriority w:val="0"/>
    <w:pPr>
      <w:adjustRightInd/>
      <w:spacing w:line="500" w:lineRule="exact"/>
      <w:jc w:val="left"/>
    </w:pPr>
    <w:rPr>
      <w:sz w:val="20"/>
    </w:rPr>
  </w:style>
  <w:style w:type="paragraph" w:styleId="15">
    <w:name w:val="Body Text 3"/>
    <w:basedOn w:val="1"/>
    <w:link w:val="81"/>
    <w:semiHidden/>
    <w:unhideWhenUsed/>
    <w:qFormat/>
    <w:uiPriority w:val="99"/>
    <w:pPr>
      <w:spacing w:after="120"/>
    </w:pPr>
    <w:rPr>
      <w:sz w:val="16"/>
      <w:szCs w:val="16"/>
    </w:rPr>
  </w:style>
  <w:style w:type="paragraph" w:styleId="16">
    <w:name w:val="Body Text Indent"/>
    <w:basedOn w:val="1"/>
    <w:link w:val="71"/>
    <w:unhideWhenUsed/>
    <w:qFormat/>
    <w:uiPriority w:val="0"/>
    <w:pPr>
      <w:ind w:left="2730" w:hanging="2730" w:hangingChars="1365"/>
      <w:jc w:val="left"/>
    </w:pPr>
    <w:rPr>
      <w:sz w:val="20"/>
      <w:lang w:bidi="he-IL"/>
    </w:rPr>
  </w:style>
  <w:style w:type="paragraph" w:styleId="17">
    <w:name w:val="Block Text"/>
    <w:basedOn w:val="1"/>
    <w:autoRedefine/>
    <w:unhideWhenUsed/>
    <w:qFormat/>
    <w:uiPriority w:val="99"/>
    <w:pPr>
      <w:spacing w:after="120"/>
      <w:ind w:left="1440" w:leftChars="700" w:right="1440" w:rightChars="700"/>
    </w:pPr>
    <w:rPr>
      <w:szCs w:val="24"/>
    </w:rPr>
  </w:style>
  <w:style w:type="paragraph" w:styleId="18">
    <w:name w:val="toc 5"/>
    <w:basedOn w:val="1"/>
    <w:next w:val="1"/>
    <w:unhideWhenUsed/>
    <w:qFormat/>
    <w:uiPriority w:val="39"/>
    <w:pPr>
      <w:adjustRightInd/>
      <w:spacing w:line="240" w:lineRule="auto"/>
      <w:ind w:left="1680" w:leftChars="800"/>
    </w:pPr>
    <w:rPr>
      <w:rFonts w:asciiTheme="minorHAnsi" w:hAnsiTheme="minorHAnsi" w:eastAsiaTheme="minorEastAsia" w:cstheme="minorBidi"/>
      <w:kern w:val="2"/>
      <w:szCs w:val="22"/>
    </w:rPr>
  </w:style>
  <w:style w:type="paragraph" w:styleId="19">
    <w:name w:val="toc 3"/>
    <w:basedOn w:val="1"/>
    <w:next w:val="1"/>
    <w:autoRedefine/>
    <w:unhideWhenUsed/>
    <w:qFormat/>
    <w:uiPriority w:val="39"/>
    <w:pPr>
      <w:ind w:left="840" w:leftChars="400"/>
    </w:pPr>
  </w:style>
  <w:style w:type="paragraph" w:styleId="20">
    <w:name w:val="Plain Text"/>
    <w:basedOn w:val="1"/>
    <w:link w:val="126"/>
    <w:autoRedefine/>
    <w:qFormat/>
    <w:uiPriority w:val="0"/>
    <w:pPr>
      <w:textAlignment w:val="baseline"/>
    </w:pPr>
    <w:rPr>
      <w:rFonts w:ascii="宋体" w:hAnsi="Courier New"/>
    </w:rPr>
  </w:style>
  <w:style w:type="paragraph" w:styleId="21">
    <w:name w:val="toc 8"/>
    <w:basedOn w:val="1"/>
    <w:next w:val="1"/>
    <w:autoRedefine/>
    <w:unhideWhenUsed/>
    <w:qFormat/>
    <w:uiPriority w:val="39"/>
    <w:pPr>
      <w:adjustRightInd/>
      <w:spacing w:line="240" w:lineRule="auto"/>
      <w:ind w:left="2940" w:leftChars="1400"/>
    </w:pPr>
    <w:rPr>
      <w:rFonts w:asciiTheme="minorHAnsi" w:hAnsiTheme="minorHAnsi" w:eastAsiaTheme="minorEastAsia" w:cstheme="minorBidi"/>
      <w:kern w:val="2"/>
      <w:szCs w:val="22"/>
    </w:rPr>
  </w:style>
  <w:style w:type="paragraph" w:styleId="22">
    <w:name w:val="Date"/>
    <w:basedOn w:val="1"/>
    <w:next w:val="1"/>
    <w:link w:val="86"/>
    <w:autoRedefine/>
    <w:semiHidden/>
    <w:unhideWhenUsed/>
    <w:qFormat/>
    <w:uiPriority w:val="99"/>
    <w:pPr>
      <w:ind w:left="100" w:leftChars="2500"/>
    </w:pPr>
  </w:style>
  <w:style w:type="paragraph" w:styleId="23">
    <w:name w:val="Body Text Indent 2"/>
    <w:basedOn w:val="1"/>
    <w:link w:val="84"/>
    <w:autoRedefine/>
    <w:unhideWhenUsed/>
    <w:qFormat/>
    <w:uiPriority w:val="99"/>
    <w:pPr>
      <w:spacing w:after="120" w:line="480" w:lineRule="auto"/>
      <w:ind w:left="420" w:leftChars="200"/>
      <w:jc w:val="left"/>
    </w:pPr>
  </w:style>
  <w:style w:type="paragraph" w:styleId="24">
    <w:name w:val="Balloon Text"/>
    <w:basedOn w:val="1"/>
    <w:link w:val="70"/>
    <w:autoRedefine/>
    <w:semiHidden/>
    <w:unhideWhenUsed/>
    <w:qFormat/>
    <w:uiPriority w:val="99"/>
    <w:pPr>
      <w:adjustRightInd/>
      <w:spacing w:line="240" w:lineRule="auto"/>
    </w:pPr>
    <w:rPr>
      <w:rFonts w:asciiTheme="minorHAnsi" w:hAnsiTheme="minorHAnsi" w:eastAsiaTheme="minorEastAsia" w:cstheme="minorBidi"/>
      <w:kern w:val="2"/>
      <w:sz w:val="18"/>
      <w:szCs w:val="18"/>
    </w:rPr>
  </w:style>
  <w:style w:type="paragraph" w:styleId="25">
    <w:name w:val="footer"/>
    <w:basedOn w:val="1"/>
    <w:link w:val="69"/>
    <w:autoRedefine/>
    <w:unhideWhenUsed/>
    <w:qFormat/>
    <w:uiPriority w:val="0"/>
    <w:pPr>
      <w:tabs>
        <w:tab w:val="center" w:pos="4153"/>
        <w:tab w:val="right" w:pos="8306"/>
      </w:tabs>
      <w:adjustRightInd/>
      <w:snapToGrid w:val="0"/>
      <w:spacing w:line="240" w:lineRule="auto"/>
      <w:jc w:val="left"/>
    </w:pPr>
    <w:rPr>
      <w:rFonts w:asciiTheme="minorHAnsi" w:hAnsiTheme="minorHAnsi" w:eastAsiaTheme="minorEastAsia" w:cstheme="minorBidi"/>
      <w:kern w:val="2"/>
      <w:sz w:val="18"/>
      <w:szCs w:val="18"/>
    </w:rPr>
  </w:style>
  <w:style w:type="paragraph" w:styleId="26">
    <w:name w:val="envelope return"/>
    <w:basedOn w:val="1"/>
    <w:qFormat/>
    <w:uiPriority w:val="0"/>
    <w:pPr>
      <w:snapToGrid w:val="0"/>
    </w:pPr>
    <w:rPr>
      <w:rFonts w:ascii="Arial" w:hAnsi="Arial"/>
    </w:rPr>
  </w:style>
  <w:style w:type="paragraph" w:styleId="27">
    <w:name w:val="header"/>
    <w:basedOn w:val="1"/>
    <w:link w:val="68"/>
    <w:autoRedefine/>
    <w:unhideWhenUsed/>
    <w:qFormat/>
    <w:uiPriority w:val="0"/>
    <w:pPr>
      <w:pBdr>
        <w:bottom w:val="single" w:color="auto" w:sz="6" w:space="1"/>
      </w:pBdr>
      <w:tabs>
        <w:tab w:val="center" w:pos="4153"/>
        <w:tab w:val="right" w:pos="8306"/>
      </w:tabs>
      <w:adjustRightInd/>
      <w:snapToGrid w:val="0"/>
      <w:spacing w:line="240" w:lineRule="auto"/>
      <w:jc w:val="center"/>
    </w:pPr>
    <w:rPr>
      <w:rFonts w:asciiTheme="minorHAnsi" w:hAnsiTheme="minorHAnsi" w:eastAsiaTheme="minorEastAsia" w:cstheme="minorBidi"/>
      <w:kern w:val="2"/>
      <w:sz w:val="18"/>
      <w:szCs w:val="18"/>
    </w:rPr>
  </w:style>
  <w:style w:type="paragraph" w:styleId="28">
    <w:name w:val="toc 1"/>
    <w:basedOn w:val="1"/>
    <w:next w:val="1"/>
    <w:autoRedefine/>
    <w:unhideWhenUsed/>
    <w:qFormat/>
    <w:uiPriority w:val="39"/>
  </w:style>
  <w:style w:type="paragraph" w:styleId="29">
    <w:name w:val="toc 4"/>
    <w:basedOn w:val="1"/>
    <w:next w:val="1"/>
    <w:autoRedefine/>
    <w:unhideWhenUsed/>
    <w:qFormat/>
    <w:uiPriority w:val="39"/>
    <w:pPr>
      <w:adjustRightInd/>
      <w:spacing w:line="240" w:lineRule="auto"/>
      <w:ind w:left="1260" w:leftChars="600"/>
    </w:pPr>
    <w:rPr>
      <w:rFonts w:asciiTheme="minorHAnsi" w:hAnsiTheme="minorHAnsi" w:eastAsiaTheme="minorEastAsia" w:cstheme="minorBidi"/>
      <w:kern w:val="2"/>
      <w:szCs w:val="22"/>
    </w:rPr>
  </w:style>
  <w:style w:type="paragraph" w:styleId="30">
    <w:name w:val="toc 6"/>
    <w:basedOn w:val="1"/>
    <w:next w:val="1"/>
    <w:autoRedefine/>
    <w:unhideWhenUsed/>
    <w:qFormat/>
    <w:uiPriority w:val="39"/>
    <w:pPr>
      <w:adjustRightInd/>
      <w:spacing w:line="240" w:lineRule="auto"/>
      <w:ind w:left="2100" w:leftChars="1000"/>
    </w:pPr>
    <w:rPr>
      <w:rFonts w:asciiTheme="minorHAnsi" w:hAnsiTheme="minorHAnsi" w:eastAsiaTheme="minorEastAsia" w:cstheme="minorBidi"/>
      <w:kern w:val="2"/>
      <w:szCs w:val="22"/>
    </w:rPr>
  </w:style>
  <w:style w:type="paragraph" w:styleId="31">
    <w:name w:val="Body Text Indent 3"/>
    <w:basedOn w:val="1"/>
    <w:link w:val="136"/>
    <w:autoRedefine/>
    <w:semiHidden/>
    <w:unhideWhenUsed/>
    <w:qFormat/>
    <w:uiPriority w:val="99"/>
    <w:pPr>
      <w:spacing w:after="120"/>
      <w:ind w:left="420" w:leftChars="200"/>
    </w:pPr>
    <w:rPr>
      <w:sz w:val="16"/>
      <w:szCs w:val="16"/>
    </w:rPr>
  </w:style>
  <w:style w:type="paragraph" w:styleId="32">
    <w:name w:val="toc 2"/>
    <w:basedOn w:val="1"/>
    <w:next w:val="1"/>
    <w:autoRedefine/>
    <w:qFormat/>
    <w:uiPriority w:val="39"/>
    <w:pPr>
      <w:ind w:left="420" w:leftChars="200"/>
    </w:pPr>
  </w:style>
  <w:style w:type="paragraph" w:styleId="33">
    <w:name w:val="toc 9"/>
    <w:basedOn w:val="1"/>
    <w:next w:val="1"/>
    <w:autoRedefine/>
    <w:unhideWhenUsed/>
    <w:qFormat/>
    <w:uiPriority w:val="39"/>
    <w:pPr>
      <w:adjustRightInd/>
      <w:spacing w:line="240" w:lineRule="auto"/>
      <w:ind w:left="3360" w:leftChars="1600"/>
    </w:pPr>
    <w:rPr>
      <w:rFonts w:asciiTheme="minorHAnsi" w:hAnsiTheme="minorHAnsi" w:eastAsiaTheme="minorEastAsia" w:cstheme="minorBidi"/>
      <w:kern w:val="2"/>
      <w:szCs w:val="22"/>
    </w:rPr>
  </w:style>
  <w:style w:type="paragraph" w:styleId="34">
    <w:name w:val="Body Text 2"/>
    <w:basedOn w:val="1"/>
    <w:qFormat/>
    <w:uiPriority w:val="0"/>
    <w:pPr>
      <w:widowControl/>
      <w:jc w:val="center"/>
    </w:pPr>
    <w:rPr>
      <w:rFonts w:ascii="楷体_GB2312" w:eastAsia="楷体_GB2312"/>
      <w:sz w:val="20"/>
    </w:rPr>
  </w:style>
  <w:style w:type="paragraph" w:styleId="35">
    <w:name w:val="Message Header"/>
    <w:basedOn w:val="1"/>
    <w:next w:val="20"/>
    <w:link w:val="127"/>
    <w:autoRedefine/>
    <w:qFormat/>
    <w:uiPriority w:val="0"/>
    <w:pPr>
      <w:pBdr>
        <w:top w:val="single" w:color="auto" w:sz="6" w:space="1"/>
        <w:left w:val="single" w:color="auto" w:sz="6" w:space="1"/>
        <w:bottom w:val="single" w:color="auto" w:sz="6" w:space="1"/>
        <w:right w:val="single" w:color="auto" w:sz="6" w:space="1"/>
      </w:pBdr>
      <w:shd w:val="pct20" w:color="auto" w:fill="auto"/>
      <w:adjustRightInd/>
      <w:spacing w:line="240" w:lineRule="auto"/>
      <w:ind w:left="1080" w:leftChars="500" w:hanging="1080" w:hangingChars="500"/>
    </w:pPr>
    <w:rPr>
      <w:rFonts w:ascii="Cambria" w:hAnsi="Cambria"/>
      <w:kern w:val="2"/>
      <w:sz w:val="24"/>
    </w:rPr>
  </w:style>
  <w:style w:type="paragraph" w:styleId="36">
    <w:name w:val="Normal (Web)"/>
    <w:basedOn w:val="1"/>
    <w:autoRedefine/>
    <w:qFormat/>
    <w:uiPriority w:val="0"/>
    <w:pPr>
      <w:adjustRightInd/>
      <w:spacing w:before="100" w:beforeAutospacing="1" w:after="100" w:afterAutospacing="1" w:line="240" w:lineRule="auto"/>
      <w:jc w:val="left"/>
    </w:pPr>
    <w:rPr>
      <w:rFonts w:ascii="Calibri" w:hAnsi="Calibri"/>
      <w:sz w:val="24"/>
      <w:szCs w:val="24"/>
    </w:rPr>
  </w:style>
  <w:style w:type="paragraph" w:styleId="37">
    <w:name w:val="index 1"/>
    <w:basedOn w:val="1"/>
    <w:next w:val="1"/>
    <w:autoRedefine/>
    <w:qFormat/>
    <w:uiPriority w:val="0"/>
    <w:rPr>
      <w:rFonts w:ascii="仿宋_GB2312" w:hAnsi="宋体" w:eastAsia="仿宋_GB2312"/>
      <w:sz w:val="30"/>
      <w:szCs w:val="24"/>
    </w:rPr>
  </w:style>
  <w:style w:type="paragraph" w:styleId="38">
    <w:name w:val="Body Text First Indent"/>
    <w:basedOn w:val="2"/>
    <w:link w:val="95"/>
    <w:autoRedefine/>
    <w:unhideWhenUsed/>
    <w:qFormat/>
    <w:uiPriority w:val="99"/>
    <w:pPr>
      <w:ind w:firstLine="420" w:firstLineChars="100"/>
    </w:pPr>
  </w:style>
  <w:style w:type="paragraph" w:styleId="39">
    <w:name w:val="Body Text First Indent 2"/>
    <w:basedOn w:val="16"/>
    <w:next w:val="1"/>
    <w:link w:val="94"/>
    <w:unhideWhenUsed/>
    <w:qFormat/>
    <w:uiPriority w:val="0"/>
    <w:pPr>
      <w:adjustRightInd/>
      <w:spacing w:after="120" w:line="240" w:lineRule="auto"/>
      <w:ind w:left="420" w:leftChars="200" w:firstLine="420" w:firstLineChars="200"/>
      <w:jc w:val="both"/>
    </w:pPr>
    <w:rPr>
      <w:kern w:val="2"/>
      <w:sz w:val="21"/>
      <w:szCs w:val="24"/>
      <w:lang w:bidi="ar-SA"/>
    </w:rPr>
  </w:style>
  <w:style w:type="table" w:styleId="41">
    <w:name w:val="Table Grid"/>
    <w:basedOn w:val="4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uiPriority w:val="0"/>
    <w:rPr>
      <w:b/>
    </w:rPr>
  </w:style>
  <w:style w:type="character" w:styleId="44">
    <w:name w:val="FollowedHyperlink"/>
    <w:basedOn w:val="42"/>
    <w:autoRedefine/>
    <w:semiHidden/>
    <w:unhideWhenUsed/>
    <w:qFormat/>
    <w:uiPriority w:val="99"/>
    <w:rPr>
      <w:color w:val="954F72"/>
      <w:u w:val="single"/>
    </w:rPr>
  </w:style>
  <w:style w:type="character" w:styleId="45">
    <w:name w:val="HTML Definition"/>
    <w:basedOn w:val="42"/>
    <w:semiHidden/>
    <w:unhideWhenUsed/>
    <w:qFormat/>
    <w:uiPriority w:val="99"/>
  </w:style>
  <w:style w:type="character" w:styleId="46">
    <w:name w:val="HTML Typewriter"/>
    <w:basedOn w:val="42"/>
    <w:semiHidden/>
    <w:unhideWhenUsed/>
    <w:qFormat/>
    <w:uiPriority w:val="99"/>
    <w:rPr>
      <w:rFonts w:hint="default" w:ascii="monospace" w:hAnsi="monospace" w:eastAsia="monospace" w:cs="monospace"/>
      <w:sz w:val="20"/>
    </w:rPr>
  </w:style>
  <w:style w:type="character" w:styleId="47">
    <w:name w:val="HTML Acronym"/>
    <w:basedOn w:val="42"/>
    <w:semiHidden/>
    <w:unhideWhenUsed/>
    <w:qFormat/>
    <w:uiPriority w:val="99"/>
  </w:style>
  <w:style w:type="character" w:styleId="48">
    <w:name w:val="HTML Variable"/>
    <w:basedOn w:val="42"/>
    <w:semiHidden/>
    <w:unhideWhenUsed/>
    <w:qFormat/>
    <w:uiPriority w:val="99"/>
  </w:style>
  <w:style w:type="character" w:styleId="49">
    <w:name w:val="Hyperlink"/>
    <w:basedOn w:val="42"/>
    <w:autoRedefine/>
    <w:unhideWhenUsed/>
    <w:qFormat/>
    <w:uiPriority w:val="99"/>
    <w:rPr>
      <w:color w:val="0000FF" w:themeColor="hyperlink"/>
      <w:u w:val="single"/>
      <w14:textFill>
        <w14:solidFill>
          <w14:schemeClr w14:val="hlink"/>
        </w14:solidFill>
      </w14:textFill>
    </w:rPr>
  </w:style>
  <w:style w:type="character" w:styleId="50">
    <w:name w:val="HTML Code"/>
    <w:basedOn w:val="42"/>
    <w:semiHidden/>
    <w:unhideWhenUsed/>
    <w:qFormat/>
    <w:uiPriority w:val="99"/>
    <w:rPr>
      <w:rFonts w:ascii="monospace" w:hAnsi="monospace" w:eastAsia="monospace" w:cs="monospace"/>
      <w:sz w:val="20"/>
    </w:rPr>
  </w:style>
  <w:style w:type="character" w:styleId="51">
    <w:name w:val="annotation reference"/>
    <w:autoRedefine/>
    <w:semiHidden/>
    <w:qFormat/>
    <w:uiPriority w:val="0"/>
    <w:rPr>
      <w:sz w:val="21"/>
      <w:szCs w:val="21"/>
    </w:rPr>
  </w:style>
  <w:style w:type="character" w:styleId="52">
    <w:name w:val="HTML Cite"/>
    <w:basedOn w:val="42"/>
    <w:semiHidden/>
    <w:unhideWhenUsed/>
    <w:qFormat/>
    <w:uiPriority w:val="99"/>
  </w:style>
  <w:style w:type="character" w:styleId="53">
    <w:name w:val="footnote reference"/>
    <w:autoRedefine/>
    <w:qFormat/>
    <w:uiPriority w:val="0"/>
    <w:rPr>
      <w:vertAlign w:val="superscript"/>
    </w:rPr>
  </w:style>
  <w:style w:type="character" w:styleId="54">
    <w:name w:val="HTML Keyboard"/>
    <w:basedOn w:val="42"/>
    <w:semiHidden/>
    <w:unhideWhenUsed/>
    <w:qFormat/>
    <w:uiPriority w:val="99"/>
    <w:rPr>
      <w:rFonts w:hint="default" w:ascii="monospace" w:hAnsi="monospace" w:eastAsia="monospace" w:cs="monospace"/>
      <w:sz w:val="20"/>
    </w:rPr>
  </w:style>
  <w:style w:type="character" w:styleId="55">
    <w:name w:val="HTML Sample"/>
    <w:basedOn w:val="42"/>
    <w:semiHidden/>
    <w:unhideWhenUsed/>
    <w:qFormat/>
    <w:uiPriority w:val="99"/>
    <w:rPr>
      <w:rFonts w:hint="default" w:ascii="monospace" w:hAnsi="monospace" w:eastAsia="monospace" w:cs="monospace"/>
    </w:rPr>
  </w:style>
  <w:style w:type="paragraph" w:customStyle="1" w:styleId="56">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paragraph" w:customStyle="1" w:styleId="57">
    <w:name w:val="*正文"/>
    <w:basedOn w:val="13"/>
    <w:qFormat/>
    <w:uiPriority w:val="0"/>
    <w:pPr>
      <w:ind w:firstLine="200"/>
    </w:pPr>
    <w:rPr>
      <w:rFonts w:ascii="宋体" w:hAnsi="宋体" w:eastAsia="宋体" w:cs="Times New Roman"/>
      <w:color w:val="000000"/>
    </w:rPr>
  </w:style>
  <w:style w:type="paragraph" w:customStyle="1" w:styleId="58">
    <w:name w:val="正文 New"/>
    <w:basedOn w:val="1"/>
    <w:autoRedefine/>
    <w:qFormat/>
    <w:uiPriority w:val="0"/>
    <w:pPr>
      <w:spacing w:before="100" w:beforeAutospacing="1" w:after="100" w:afterAutospacing="1" w:line="440" w:lineRule="exact"/>
      <w:ind w:left="357" w:hanging="357"/>
    </w:pPr>
    <w:rPr>
      <w:szCs w:val="21"/>
    </w:rPr>
  </w:style>
  <w:style w:type="character" w:customStyle="1" w:styleId="59">
    <w:name w:val="标题 1 字符"/>
    <w:basedOn w:val="42"/>
    <w:link w:val="3"/>
    <w:autoRedefine/>
    <w:qFormat/>
    <w:uiPriority w:val="9"/>
    <w:rPr>
      <w:rFonts w:ascii="Times New Roman" w:hAnsi="Times New Roman" w:eastAsia="微软雅黑" w:cs="Times New Roman"/>
      <w:b/>
      <w:bCs/>
      <w:kern w:val="44"/>
      <w:sz w:val="32"/>
      <w:szCs w:val="44"/>
    </w:rPr>
  </w:style>
  <w:style w:type="character" w:customStyle="1" w:styleId="60">
    <w:name w:val="标题 2 字符"/>
    <w:basedOn w:val="42"/>
    <w:link w:val="4"/>
    <w:autoRedefine/>
    <w:qFormat/>
    <w:uiPriority w:val="9"/>
    <w:rPr>
      <w:rFonts w:eastAsia="微软雅黑" w:asciiTheme="majorHAnsi" w:hAnsiTheme="majorHAnsi" w:cstheme="majorBidi"/>
      <w:b/>
      <w:bCs/>
      <w:kern w:val="0"/>
      <w:sz w:val="30"/>
      <w:szCs w:val="32"/>
    </w:rPr>
  </w:style>
  <w:style w:type="character" w:customStyle="1" w:styleId="61">
    <w:name w:val="标题 3 字符"/>
    <w:basedOn w:val="42"/>
    <w:link w:val="5"/>
    <w:autoRedefine/>
    <w:qFormat/>
    <w:uiPriority w:val="0"/>
    <w:rPr>
      <w:rFonts w:ascii="Times New Roman" w:hAnsi="Times New Roman" w:eastAsia="微软雅黑" w:cs="Times New Roman"/>
      <w:b/>
      <w:bCs/>
      <w:kern w:val="0"/>
      <w:sz w:val="28"/>
      <w:szCs w:val="32"/>
    </w:rPr>
  </w:style>
  <w:style w:type="character" w:customStyle="1" w:styleId="62">
    <w:name w:val="标题 4 字符"/>
    <w:basedOn w:val="42"/>
    <w:link w:val="6"/>
    <w:autoRedefine/>
    <w:qFormat/>
    <w:uiPriority w:val="9"/>
    <w:rPr>
      <w:rFonts w:eastAsia="微软雅黑" w:asciiTheme="majorHAnsi" w:hAnsiTheme="majorHAnsi" w:cstheme="majorBidi"/>
      <w:b/>
      <w:bCs/>
      <w:kern w:val="0"/>
      <w:sz w:val="24"/>
      <w:szCs w:val="28"/>
    </w:rPr>
  </w:style>
  <w:style w:type="character" w:customStyle="1" w:styleId="63">
    <w:name w:val="标题 5 字符"/>
    <w:basedOn w:val="42"/>
    <w:link w:val="7"/>
    <w:autoRedefine/>
    <w:qFormat/>
    <w:uiPriority w:val="9"/>
    <w:rPr>
      <w:rFonts w:ascii="Times New Roman" w:hAnsi="Times New Roman" w:eastAsia="宋体" w:cs="Times New Roman"/>
      <w:b/>
      <w:bCs/>
      <w:sz w:val="28"/>
      <w:szCs w:val="28"/>
    </w:rPr>
  </w:style>
  <w:style w:type="character" w:customStyle="1" w:styleId="64">
    <w:name w:val="标题 6 字符"/>
    <w:basedOn w:val="42"/>
    <w:link w:val="8"/>
    <w:autoRedefine/>
    <w:qFormat/>
    <w:uiPriority w:val="9"/>
    <w:rPr>
      <w:rFonts w:ascii="Arial" w:hAnsi="Arial" w:eastAsia="黑体" w:cs="Times New Roman"/>
      <w:b/>
      <w:bCs/>
      <w:sz w:val="24"/>
      <w:szCs w:val="24"/>
    </w:rPr>
  </w:style>
  <w:style w:type="character" w:customStyle="1" w:styleId="65">
    <w:name w:val="标题 7 字符"/>
    <w:basedOn w:val="42"/>
    <w:link w:val="9"/>
    <w:autoRedefine/>
    <w:qFormat/>
    <w:uiPriority w:val="0"/>
    <w:rPr>
      <w:rFonts w:ascii="Times New Roman" w:hAnsi="Times New Roman" w:eastAsia="宋体" w:cs="Times New Roman"/>
      <w:b/>
      <w:bCs/>
      <w:sz w:val="24"/>
      <w:szCs w:val="24"/>
    </w:rPr>
  </w:style>
  <w:style w:type="character" w:customStyle="1" w:styleId="66">
    <w:name w:val="标题 8 字符"/>
    <w:basedOn w:val="42"/>
    <w:link w:val="10"/>
    <w:autoRedefine/>
    <w:qFormat/>
    <w:uiPriority w:val="0"/>
    <w:rPr>
      <w:rFonts w:ascii="Arial" w:hAnsi="Arial" w:eastAsia="黑体" w:cs="Times New Roman"/>
      <w:sz w:val="24"/>
      <w:szCs w:val="24"/>
    </w:rPr>
  </w:style>
  <w:style w:type="character" w:customStyle="1" w:styleId="67">
    <w:name w:val="标题 9 字符"/>
    <w:basedOn w:val="42"/>
    <w:link w:val="11"/>
    <w:autoRedefine/>
    <w:qFormat/>
    <w:uiPriority w:val="9"/>
    <w:rPr>
      <w:rFonts w:ascii="Arial" w:hAnsi="Arial" w:eastAsia="黑体" w:cs="Times New Roman"/>
      <w:szCs w:val="21"/>
    </w:rPr>
  </w:style>
  <w:style w:type="character" w:customStyle="1" w:styleId="68">
    <w:name w:val="页眉 字符"/>
    <w:basedOn w:val="42"/>
    <w:link w:val="27"/>
    <w:autoRedefine/>
    <w:qFormat/>
    <w:uiPriority w:val="0"/>
    <w:rPr>
      <w:sz w:val="18"/>
      <w:szCs w:val="18"/>
    </w:rPr>
  </w:style>
  <w:style w:type="character" w:customStyle="1" w:styleId="69">
    <w:name w:val="页脚 字符"/>
    <w:basedOn w:val="42"/>
    <w:link w:val="25"/>
    <w:autoRedefine/>
    <w:qFormat/>
    <w:uiPriority w:val="0"/>
    <w:rPr>
      <w:sz w:val="18"/>
      <w:szCs w:val="18"/>
    </w:rPr>
  </w:style>
  <w:style w:type="character" w:customStyle="1" w:styleId="70">
    <w:name w:val="批注框文本 字符"/>
    <w:basedOn w:val="42"/>
    <w:link w:val="24"/>
    <w:autoRedefine/>
    <w:semiHidden/>
    <w:qFormat/>
    <w:uiPriority w:val="99"/>
    <w:rPr>
      <w:sz w:val="18"/>
      <w:szCs w:val="18"/>
    </w:rPr>
  </w:style>
  <w:style w:type="character" w:customStyle="1" w:styleId="71">
    <w:name w:val="正文文本缩进 字符"/>
    <w:basedOn w:val="42"/>
    <w:link w:val="16"/>
    <w:autoRedefine/>
    <w:qFormat/>
    <w:uiPriority w:val="0"/>
    <w:rPr>
      <w:rFonts w:ascii="Times New Roman" w:hAnsi="Times New Roman" w:eastAsia="宋体" w:cs="Times New Roman"/>
      <w:kern w:val="0"/>
      <w:sz w:val="20"/>
      <w:szCs w:val="20"/>
      <w:lang w:bidi="he-IL"/>
    </w:rPr>
  </w:style>
  <w:style w:type="paragraph" w:styleId="72">
    <w:name w:val="List Paragraph"/>
    <w:basedOn w:val="1"/>
    <w:link w:val="73"/>
    <w:autoRedefine/>
    <w:qFormat/>
    <w:uiPriority w:val="34"/>
    <w:pPr>
      <w:snapToGrid w:val="0"/>
      <w:spacing w:line="360" w:lineRule="auto"/>
      <w:jc w:val="left"/>
    </w:pPr>
    <w:rPr>
      <w:rFonts w:eastAsia="微软雅黑"/>
      <w:b/>
      <w:sz w:val="30"/>
    </w:rPr>
  </w:style>
  <w:style w:type="character" w:customStyle="1" w:styleId="73">
    <w:name w:val="列出段落 字符"/>
    <w:link w:val="72"/>
    <w:autoRedefine/>
    <w:qFormat/>
    <w:uiPriority w:val="34"/>
    <w:rPr>
      <w:rFonts w:ascii="Times New Roman" w:hAnsi="Times New Roman" w:eastAsia="微软雅黑" w:cs="Times New Roman"/>
      <w:b/>
      <w:kern w:val="0"/>
      <w:sz w:val="30"/>
      <w:szCs w:val="20"/>
    </w:rPr>
  </w:style>
  <w:style w:type="character" w:customStyle="1" w:styleId="74">
    <w:name w:val="不明显强调1"/>
    <w:basedOn w:val="42"/>
    <w:autoRedefine/>
    <w:qFormat/>
    <w:uiPriority w:val="19"/>
    <w:rPr>
      <w:i/>
      <w:iCs/>
      <w:color w:val="404040" w:themeColor="text1" w:themeTint="BF"/>
      <w14:textFill>
        <w14:solidFill>
          <w14:schemeClr w14:val="tx1">
            <w14:lumMod w14:val="75000"/>
            <w14:lumOff w14:val="25000"/>
          </w14:schemeClr>
        </w14:solidFill>
      </w14:textFill>
    </w:rPr>
  </w:style>
  <w:style w:type="paragraph" w:customStyle="1" w:styleId="75">
    <w:name w:val="普通正文"/>
    <w:basedOn w:val="1"/>
    <w:autoRedefine/>
    <w:qFormat/>
    <w:uiPriority w:val="0"/>
    <w:pPr>
      <w:spacing w:before="120" w:after="120" w:line="360" w:lineRule="auto"/>
      <w:ind w:firstLine="480"/>
      <w:jc w:val="left"/>
      <w:textAlignment w:val="baseline"/>
    </w:pPr>
    <w:rPr>
      <w:rFonts w:ascii="Arial" w:hAnsi="Arial"/>
      <w:sz w:val="24"/>
      <w:szCs w:val="24"/>
    </w:rPr>
  </w:style>
  <w:style w:type="paragraph" w:customStyle="1" w:styleId="76">
    <w:name w:val="TOC 标题1"/>
    <w:basedOn w:val="3"/>
    <w:next w:val="1"/>
    <w:autoRedefine/>
    <w:semiHidden/>
    <w:unhideWhenUsed/>
    <w:qFormat/>
    <w:uiPriority w:val="39"/>
    <w:pPr>
      <w:widowControl/>
      <w:adjustRightInd/>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77">
    <w:name w:val="Body text|1_"/>
    <w:link w:val="78"/>
    <w:autoRedefine/>
    <w:qFormat/>
    <w:uiPriority w:val="0"/>
    <w:rPr>
      <w:rFonts w:ascii="宋体" w:hAnsi="宋体" w:cs="宋体"/>
      <w:sz w:val="28"/>
      <w:szCs w:val="28"/>
      <w:lang w:val="zh-TW" w:eastAsia="zh-TW" w:bidi="zh-TW"/>
    </w:rPr>
  </w:style>
  <w:style w:type="paragraph" w:customStyle="1" w:styleId="78">
    <w:name w:val="Body text|1"/>
    <w:basedOn w:val="1"/>
    <w:link w:val="77"/>
    <w:autoRedefine/>
    <w:qFormat/>
    <w:uiPriority w:val="0"/>
    <w:pPr>
      <w:adjustRightInd/>
      <w:spacing w:line="403" w:lineRule="auto"/>
      <w:ind w:firstLine="400"/>
      <w:jc w:val="left"/>
    </w:pPr>
    <w:rPr>
      <w:rFonts w:ascii="宋体" w:hAnsi="宋体" w:cs="宋体" w:eastAsiaTheme="minorEastAsia"/>
      <w:kern w:val="2"/>
      <w:sz w:val="28"/>
      <w:szCs w:val="28"/>
      <w:lang w:val="zh-TW" w:eastAsia="zh-TW" w:bidi="zh-TW"/>
    </w:rPr>
  </w:style>
  <w:style w:type="character" w:customStyle="1" w:styleId="79">
    <w:name w:val="Header or footer|1_"/>
    <w:link w:val="80"/>
    <w:autoRedefine/>
    <w:qFormat/>
    <w:uiPriority w:val="0"/>
    <w:rPr>
      <w:sz w:val="22"/>
      <w:lang w:val="zh-TW" w:eastAsia="zh-TW" w:bidi="zh-TW"/>
    </w:rPr>
  </w:style>
  <w:style w:type="paragraph" w:customStyle="1" w:styleId="80">
    <w:name w:val="Header or footer|1"/>
    <w:basedOn w:val="1"/>
    <w:link w:val="79"/>
    <w:autoRedefine/>
    <w:qFormat/>
    <w:uiPriority w:val="0"/>
    <w:pPr>
      <w:adjustRightInd/>
      <w:spacing w:line="240" w:lineRule="auto"/>
      <w:jc w:val="left"/>
    </w:pPr>
    <w:rPr>
      <w:rFonts w:asciiTheme="minorHAnsi" w:hAnsiTheme="minorHAnsi" w:eastAsiaTheme="minorEastAsia" w:cstheme="minorBidi"/>
      <w:kern w:val="2"/>
      <w:sz w:val="22"/>
      <w:szCs w:val="22"/>
      <w:lang w:val="zh-TW" w:eastAsia="zh-TW" w:bidi="zh-TW"/>
    </w:rPr>
  </w:style>
  <w:style w:type="character" w:customStyle="1" w:styleId="81">
    <w:name w:val="正文文本 3 字符"/>
    <w:basedOn w:val="42"/>
    <w:link w:val="15"/>
    <w:autoRedefine/>
    <w:semiHidden/>
    <w:qFormat/>
    <w:uiPriority w:val="99"/>
    <w:rPr>
      <w:rFonts w:ascii="Times New Roman" w:hAnsi="Times New Roman" w:eastAsia="宋体" w:cs="Times New Roman"/>
      <w:kern w:val="0"/>
      <w:sz w:val="16"/>
      <w:szCs w:val="16"/>
    </w:rPr>
  </w:style>
  <w:style w:type="character" w:customStyle="1" w:styleId="82">
    <w:name w:val="fontstyle01"/>
    <w:basedOn w:val="42"/>
    <w:autoRedefine/>
    <w:qFormat/>
    <w:uiPriority w:val="0"/>
    <w:rPr>
      <w:rFonts w:hint="eastAsia" w:ascii="宋体" w:hAnsi="宋体" w:eastAsia="宋体"/>
      <w:color w:val="000000"/>
      <w:sz w:val="44"/>
      <w:szCs w:val="44"/>
    </w:rPr>
  </w:style>
  <w:style w:type="character" w:customStyle="1" w:styleId="83">
    <w:name w:val="fontstyle21"/>
    <w:basedOn w:val="42"/>
    <w:autoRedefine/>
    <w:qFormat/>
    <w:uiPriority w:val="0"/>
    <w:rPr>
      <w:rFonts w:hint="default" w:ascii="Wingdings-Regular" w:hAnsi="Wingdings-Regular"/>
      <w:color w:val="000000"/>
      <w:sz w:val="22"/>
      <w:szCs w:val="22"/>
    </w:rPr>
  </w:style>
  <w:style w:type="character" w:customStyle="1" w:styleId="84">
    <w:name w:val="正文文本缩进 2 字符"/>
    <w:basedOn w:val="42"/>
    <w:link w:val="23"/>
    <w:autoRedefine/>
    <w:qFormat/>
    <w:uiPriority w:val="99"/>
    <w:rPr>
      <w:rFonts w:ascii="Times New Roman" w:hAnsi="Times New Roman" w:eastAsia="宋体" w:cs="Times New Roman"/>
      <w:kern w:val="0"/>
      <w:szCs w:val="20"/>
    </w:rPr>
  </w:style>
  <w:style w:type="character" w:customStyle="1" w:styleId="85">
    <w:name w:val="Unresolved Mention"/>
    <w:basedOn w:val="42"/>
    <w:autoRedefine/>
    <w:semiHidden/>
    <w:unhideWhenUsed/>
    <w:qFormat/>
    <w:uiPriority w:val="99"/>
    <w:rPr>
      <w:color w:val="605E5C"/>
      <w:shd w:val="clear" w:color="auto" w:fill="E1DFDD"/>
    </w:rPr>
  </w:style>
  <w:style w:type="character" w:customStyle="1" w:styleId="86">
    <w:name w:val="日期 字符"/>
    <w:basedOn w:val="42"/>
    <w:link w:val="22"/>
    <w:autoRedefine/>
    <w:semiHidden/>
    <w:qFormat/>
    <w:uiPriority w:val="99"/>
    <w:rPr>
      <w:rFonts w:ascii="Times New Roman" w:hAnsi="Times New Roman" w:eastAsia="宋体" w:cs="Times New Roman"/>
      <w:kern w:val="0"/>
      <w:szCs w:val="20"/>
    </w:rPr>
  </w:style>
  <w:style w:type="character" w:customStyle="1" w:styleId="87">
    <w:name w:val="正文缩进 字符"/>
    <w:link w:val="13"/>
    <w:autoRedefine/>
    <w:qFormat/>
    <w:uiPriority w:val="0"/>
    <w:rPr>
      <w:rFonts w:ascii="宋体"/>
      <w:sz w:val="24"/>
    </w:rPr>
  </w:style>
  <w:style w:type="character" w:customStyle="1" w:styleId="88">
    <w:name w:val="正文文本 字符"/>
    <w:basedOn w:val="42"/>
    <w:link w:val="2"/>
    <w:autoRedefine/>
    <w:qFormat/>
    <w:uiPriority w:val="0"/>
    <w:rPr>
      <w:rFonts w:ascii="Times New Roman" w:hAnsi="Times New Roman" w:eastAsia="宋体" w:cs="Times New Roman"/>
      <w:kern w:val="0"/>
      <w:szCs w:val="20"/>
    </w:rPr>
  </w:style>
  <w:style w:type="paragraph" w:customStyle="1" w:styleId="89">
    <w:name w:val="Char Char Char Char Char Char Char Char"/>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90">
    <w:name w:val="WPSOffice手动目录 1"/>
    <w:autoRedefine/>
    <w:qFormat/>
    <w:uiPriority w:val="0"/>
    <w:rPr>
      <w:rFonts w:ascii="Times New Roman" w:hAnsi="Times New Roman" w:eastAsia="宋体" w:cs="Times New Roman"/>
      <w:lang w:val="en-US" w:eastAsia="zh-CN" w:bidi="ar-SA"/>
    </w:rPr>
  </w:style>
  <w:style w:type="paragraph" w:customStyle="1" w:styleId="91">
    <w:name w:val="Char Char Char Char Char Char Char Char1"/>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92">
    <w:name w:val="Char Char Char Char Char Char Char Char2"/>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93">
    <w:name w:val="Char Char Char Char Char Char Char Char3"/>
    <w:basedOn w:val="1"/>
    <w:autoRedefine/>
    <w:qFormat/>
    <w:uiPriority w:val="0"/>
    <w:pPr>
      <w:adjustRightInd/>
      <w:spacing w:after="160" w:line="240" w:lineRule="exact"/>
      <w:jc w:val="left"/>
    </w:pPr>
    <w:rPr>
      <w:rFonts w:ascii="Calibri" w:hAnsi="Calibri" w:eastAsia="微软雅黑"/>
      <w:kern w:val="2"/>
      <w:szCs w:val="22"/>
    </w:rPr>
  </w:style>
  <w:style w:type="character" w:customStyle="1" w:styleId="94">
    <w:name w:val="正文首行缩进 2 字符"/>
    <w:basedOn w:val="71"/>
    <w:link w:val="39"/>
    <w:autoRedefine/>
    <w:qFormat/>
    <w:uiPriority w:val="0"/>
    <w:rPr>
      <w:rFonts w:ascii="Times New Roman" w:hAnsi="Times New Roman" w:eastAsia="宋体" w:cs="Times New Roman"/>
      <w:kern w:val="0"/>
      <w:sz w:val="20"/>
      <w:szCs w:val="24"/>
      <w:lang w:bidi="he-IL"/>
    </w:rPr>
  </w:style>
  <w:style w:type="character" w:customStyle="1" w:styleId="95">
    <w:name w:val="正文首行缩进 字符"/>
    <w:basedOn w:val="88"/>
    <w:link w:val="38"/>
    <w:autoRedefine/>
    <w:semiHidden/>
    <w:qFormat/>
    <w:uiPriority w:val="99"/>
    <w:rPr>
      <w:rFonts w:ascii="Times New Roman" w:hAnsi="Times New Roman" w:eastAsia="宋体" w:cs="Times New Roman"/>
      <w:kern w:val="0"/>
      <w:szCs w:val="20"/>
    </w:rPr>
  </w:style>
  <w:style w:type="paragraph" w:customStyle="1" w:styleId="96">
    <w:name w:val="msonormal"/>
    <w:basedOn w:val="1"/>
    <w:autoRedefine/>
    <w:qFormat/>
    <w:uiPriority w:val="0"/>
    <w:pPr>
      <w:widowControl/>
      <w:adjustRightInd/>
      <w:spacing w:before="100" w:beforeAutospacing="1" w:after="100" w:afterAutospacing="1" w:line="240" w:lineRule="auto"/>
      <w:jc w:val="left"/>
    </w:pPr>
    <w:rPr>
      <w:rFonts w:ascii="宋体" w:hAnsi="宋体" w:cs="宋体"/>
      <w:sz w:val="24"/>
      <w:szCs w:val="24"/>
    </w:rPr>
  </w:style>
  <w:style w:type="paragraph" w:customStyle="1" w:styleId="97">
    <w:name w:val="font5"/>
    <w:basedOn w:val="1"/>
    <w:autoRedefine/>
    <w:qFormat/>
    <w:uiPriority w:val="0"/>
    <w:pPr>
      <w:widowControl/>
      <w:adjustRightInd/>
      <w:spacing w:before="100" w:beforeAutospacing="1" w:after="100" w:afterAutospacing="1" w:line="240" w:lineRule="auto"/>
      <w:jc w:val="left"/>
    </w:pPr>
    <w:rPr>
      <w:rFonts w:ascii="等线" w:hAnsi="等线" w:eastAsia="等线" w:cs="宋体"/>
      <w:sz w:val="18"/>
      <w:szCs w:val="18"/>
    </w:rPr>
  </w:style>
  <w:style w:type="paragraph" w:customStyle="1" w:styleId="98">
    <w:name w:val="xl63"/>
    <w:basedOn w:val="1"/>
    <w:autoRedefine/>
    <w:qFormat/>
    <w:uiPriority w:val="0"/>
    <w:pPr>
      <w:widowControl/>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99">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00">
    <w:name w:val="xl6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color w:val="000000"/>
      <w:sz w:val="20"/>
    </w:rPr>
  </w:style>
  <w:style w:type="paragraph" w:customStyle="1" w:styleId="1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0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0"/>
    </w:rPr>
  </w:style>
  <w:style w:type="paragraph" w:customStyle="1" w:styleId="104">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6">
    <w:name w:val="xl7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0"/>
    </w:rPr>
  </w:style>
  <w:style w:type="paragraph" w:customStyle="1" w:styleId="107">
    <w:name w:val="xl7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b/>
      <w:bCs/>
      <w:color w:val="000000"/>
      <w:sz w:val="24"/>
      <w:szCs w:val="24"/>
    </w:rPr>
  </w:style>
  <w:style w:type="paragraph" w:customStyle="1" w:styleId="108">
    <w:name w:val="xl7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b/>
      <w:bCs/>
      <w:color w:val="000000"/>
      <w:sz w:val="24"/>
      <w:szCs w:val="24"/>
    </w:rPr>
  </w:style>
  <w:style w:type="paragraph" w:customStyle="1" w:styleId="109">
    <w:name w:val="xl75"/>
    <w:basedOn w:val="1"/>
    <w:autoRedefine/>
    <w:qFormat/>
    <w:uiPriority w:val="0"/>
    <w:pPr>
      <w:widowControl/>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4"/>
      <w:szCs w:val="24"/>
    </w:rPr>
  </w:style>
  <w:style w:type="paragraph" w:customStyle="1" w:styleId="11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4"/>
      <w:szCs w:val="24"/>
    </w:rPr>
  </w:style>
  <w:style w:type="paragraph" w:customStyle="1" w:styleId="11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4"/>
      <w:szCs w:val="24"/>
    </w:rPr>
  </w:style>
  <w:style w:type="paragraph" w:customStyle="1" w:styleId="113">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Cs w:val="21"/>
    </w:rPr>
  </w:style>
  <w:style w:type="paragraph" w:customStyle="1" w:styleId="114">
    <w:name w:val="xl8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center"/>
    </w:pPr>
    <w:rPr>
      <w:rFonts w:ascii="宋体" w:hAnsi="宋体" w:cs="宋体"/>
      <w:sz w:val="20"/>
    </w:rPr>
  </w:style>
  <w:style w:type="paragraph" w:customStyle="1" w:styleId="115">
    <w:name w:val="xl8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1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17">
    <w:name w:val="xl83"/>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8">
    <w:name w:val="xl84"/>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9">
    <w:name w:val="xl85"/>
    <w:basedOn w:val="1"/>
    <w:qFormat/>
    <w:uiPriority w:val="0"/>
    <w:pPr>
      <w:widowControl/>
      <w:pBdr>
        <w:top w:val="single" w:color="auto" w:sz="4" w:space="0"/>
        <w:bottom w:val="single" w:color="auto" w:sz="4" w:space="0"/>
      </w:pBdr>
      <w:adjustRightInd/>
      <w:spacing w:before="100" w:beforeAutospacing="1" w:after="100" w:afterAutospacing="1" w:line="240" w:lineRule="auto"/>
      <w:jc w:val="right"/>
      <w:textAlignment w:val="center"/>
    </w:pPr>
    <w:rPr>
      <w:rFonts w:ascii="宋体" w:hAnsi="宋体" w:cs="宋体"/>
      <w:sz w:val="24"/>
      <w:szCs w:val="24"/>
    </w:rPr>
  </w:style>
  <w:style w:type="paragraph" w:customStyle="1" w:styleId="120">
    <w:name w:val="xl86"/>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21">
    <w:name w:val="xl87"/>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22">
    <w:name w:val="xl88"/>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23">
    <w:name w:val="xl89"/>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24">
    <w:name w:val="xl9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character" w:customStyle="1" w:styleId="125">
    <w:name w:val="批注文字 字符"/>
    <w:basedOn w:val="42"/>
    <w:link w:val="14"/>
    <w:autoRedefine/>
    <w:qFormat/>
    <w:uiPriority w:val="0"/>
    <w:rPr>
      <w:rFonts w:ascii="Times New Roman" w:hAnsi="Times New Roman" w:eastAsia="宋体" w:cs="Times New Roman"/>
      <w:kern w:val="0"/>
      <w:sz w:val="20"/>
      <w:szCs w:val="20"/>
    </w:rPr>
  </w:style>
  <w:style w:type="character" w:customStyle="1" w:styleId="126">
    <w:name w:val="纯文本 字符"/>
    <w:basedOn w:val="42"/>
    <w:link w:val="20"/>
    <w:autoRedefine/>
    <w:qFormat/>
    <w:uiPriority w:val="0"/>
    <w:rPr>
      <w:rFonts w:ascii="宋体" w:hAnsi="Courier New" w:eastAsia="宋体" w:cs="Times New Roman"/>
      <w:kern w:val="0"/>
      <w:szCs w:val="20"/>
    </w:rPr>
  </w:style>
  <w:style w:type="character" w:customStyle="1" w:styleId="127">
    <w:name w:val="信息标题 字符"/>
    <w:basedOn w:val="42"/>
    <w:link w:val="35"/>
    <w:autoRedefine/>
    <w:qFormat/>
    <w:uiPriority w:val="0"/>
    <w:rPr>
      <w:rFonts w:ascii="Cambria" w:hAnsi="Cambria" w:eastAsia="宋体" w:cs="Times New Roman"/>
      <w:sz w:val="24"/>
      <w:szCs w:val="20"/>
      <w:shd w:val="pct20" w:color="auto" w:fill="auto"/>
    </w:rPr>
  </w:style>
  <w:style w:type="character" w:customStyle="1" w:styleId="128">
    <w:name w:val="font41"/>
    <w:basedOn w:val="42"/>
    <w:autoRedefine/>
    <w:qFormat/>
    <w:uiPriority w:val="0"/>
    <w:rPr>
      <w:rFonts w:hint="eastAsia" w:ascii="黑体" w:eastAsia="黑体" w:cs="黑体"/>
      <w:color w:val="000000"/>
      <w:sz w:val="18"/>
      <w:szCs w:val="18"/>
      <w:u w:val="none"/>
    </w:rPr>
  </w:style>
  <w:style w:type="character" w:customStyle="1" w:styleId="129">
    <w:name w:val="font31"/>
    <w:basedOn w:val="42"/>
    <w:autoRedefine/>
    <w:qFormat/>
    <w:uiPriority w:val="0"/>
    <w:rPr>
      <w:rFonts w:hint="eastAsia" w:ascii="宋体" w:hAnsi="宋体" w:eastAsia="宋体" w:cs="宋体"/>
      <w:color w:val="000000"/>
      <w:sz w:val="18"/>
      <w:szCs w:val="18"/>
      <w:u w:val="none"/>
    </w:rPr>
  </w:style>
  <w:style w:type="character" w:customStyle="1" w:styleId="130">
    <w:name w:val="NormalCharacter"/>
    <w:autoRedefine/>
    <w:semiHidden/>
    <w:qFormat/>
    <w:uiPriority w:val="0"/>
    <w:rPr>
      <w:rFonts w:ascii="Calibri" w:hAnsi="Calibri" w:cs="新宋体"/>
      <w:b/>
      <w:bCs/>
      <w:kern w:val="2"/>
      <w:sz w:val="28"/>
      <w:szCs w:val="36"/>
      <w:lang w:val="en-US" w:eastAsia="zh-CN" w:bidi="ar-SA"/>
    </w:rPr>
  </w:style>
  <w:style w:type="character" w:customStyle="1" w:styleId="131">
    <w:name w:val="font11"/>
    <w:basedOn w:val="42"/>
    <w:autoRedefine/>
    <w:qFormat/>
    <w:uiPriority w:val="0"/>
    <w:rPr>
      <w:rFonts w:hint="eastAsia" w:ascii="宋体" w:hAnsi="宋体" w:eastAsia="宋体"/>
      <w:b/>
      <w:color w:val="000000"/>
      <w:kern w:val="2"/>
      <w:sz w:val="18"/>
      <w:u w:val="none"/>
    </w:rPr>
  </w:style>
  <w:style w:type="paragraph" w:customStyle="1" w:styleId="132">
    <w:name w:val="模板普通正文"/>
    <w:basedOn w:val="16"/>
    <w:autoRedefine/>
    <w:qFormat/>
    <w:uiPriority w:val="0"/>
    <w:pPr>
      <w:adjustRightInd/>
      <w:spacing w:beforeLines="50" w:after="10" w:line="240" w:lineRule="auto"/>
      <w:ind w:left="0" w:firstLine="490" w:firstLineChars="175"/>
    </w:pPr>
    <w:rPr>
      <w:kern w:val="2"/>
      <w:lang w:bidi="ar-SA"/>
    </w:rPr>
  </w:style>
  <w:style w:type="paragraph" w:customStyle="1" w:styleId="133">
    <w:name w:val="正文 New New New New"/>
    <w:autoRedefine/>
    <w:qFormat/>
    <w:uiPriority w:val="0"/>
    <w:pPr>
      <w:widowControl w:val="0"/>
      <w:jc w:val="both"/>
    </w:pPr>
    <w:rPr>
      <w:rFonts w:ascii="Times New Roman" w:hAnsi="Times New Roman" w:eastAsia="宋体" w:cs="Times New Roman"/>
      <w:szCs w:val="24"/>
      <w:lang w:val="en-US" w:eastAsia="zh-CN" w:bidi="ar-SA"/>
    </w:rPr>
  </w:style>
  <w:style w:type="paragraph" w:customStyle="1" w:styleId="134">
    <w:name w:val="Char Char Char Char Char Char Char1 Char"/>
    <w:basedOn w:val="1"/>
    <w:autoRedefine/>
    <w:qFormat/>
    <w:uiPriority w:val="0"/>
    <w:pPr>
      <w:adjustRightInd/>
      <w:spacing w:line="240" w:lineRule="auto"/>
    </w:pPr>
    <w:rPr>
      <w:rFonts w:ascii="Tahoma" w:hAnsi="Tahoma"/>
      <w:kern w:val="2"/>
      <w:sz w:val="24"/>
    </w:rPr>
  </w:style>
  <w:style w:type="paragraph" w:customStyle="1" w:styleId="135">
    <w:name w:val="无间隔1"/>
    <w:autoRedefine/>
    <w:qFormat/>
    <w:uiPriority w:val="1"/>
    <w:rPr>
      <w:rFonts w:ascii="Calibri" w:hAnsi="Calibri" w:eastAsia="宋体" w:cs="黑体"/>
      <w:sz w:val="22"/>
      <w:szCs w:val="22"/>
      <w:lang w:val="en-US" w:eastAsia="zh-CN" w:bidi="ar-SA"/>
    </w:rPr>
  </w:style>
  <w:style w:type="character" w:customStyle="1" w:styleId="136">
    <w:name w:val="正文文本缩进 3 字符"/>
    <w:basedOn w:val="42"/>
    <w:link w:val="31"/>
    <w:autoRedefine/>
    <w:semiHidden/>
    <w:qFormat/>
    <w:uiPriority w:val="99"/>
    <w:rPr>
      <w:rFonts w:ascii="Times New Roman" w:hAnsi="Times New Roman" w:eastAsia="宋体" w:cs="Times New Roman"/>
      <w:kern w:val="0"/>
      <w:sz w:val="16"/>
      <w:szCs w:val="16"/>
    </w:rPr>
  </w:style>
  <w:style w:type="paragraph" w:customStyle="1" w:styleId="137">
    <w:name w:val="文本"/>
    <w:basedOn w:val="1"/>
    <w:link w:val="138"/>
    <w:autoRedefine/>
    <w:qFormat/>
    <w:uiPriority w:val="0"/>
    <w:pPr>
      <w:adjustRightInd/>
      <w:spacing w:line="360" w:lineRule="auto"/>
      <w:ind w:firstLine="480" w:firstLineChars="200"/>
    </w:pPr>
    <w:rPr>
      <w:rFonts w:ascii="仿宋_GB2312" w:eastAsia="仿宋_GB2312"/>
      <w:kern w:val="2"/>
      <w:sz w:val="24"/>
      <w:szCs w:val="24"/>
    </w:rPr>
  </w:style>
  <w:style w:type="character" w:customStyle="1" w:styleId="138">
    <w:name w:val="文本 Char"/>
    <w:link w:val="137"/>
    <w:autoRedefine/>
    <w:qFormat/>
    <w:uiPriority w:val="0"/>
    <w:rPr>
      <w:rFonts w:ascii="仿宋_GB2312" w:hAnsi="Times New Roman" w:eastAsia="仿宋_GB2312" w:cs="Times New Roman"/>
      <w:sz w:val="24"/>
      <w:szCs w:val="24"/>
    </w:rPr>
  </w:style>
  <w:style w:type="paragraph" w:customStyle="1" w:styleId="139">
    <w:name w:val="TJ方案正文"/>
    <w:basedOn w:val="1"/>
    <w:autoRedefine/>
    <w:qFormat/>
    <w:uiPriority w:val="0"/>
    <w:pPr>
      <w:adjustRightInd/>
      <w:spacing w:line="360" w:lineRule="auto"/>
      <w:ind w:firstLine="476" w:firstLineChars="200"/>
    </w:pPr>
    <w:rPr>
      <w:rFonts w:ascii="Calibri" w:hAnsi="Calibri"/>
      <w:kern w:val="2"/>
      <w:sz w:val="24"/>
      <w:szCs w:val="24"/>
    </w:rPr>
  </w:style>
  <w:style w:type="paragraph" w:styleId="140">
    <w:name w:val="No Spacing"/>
    <w:autoRedefine/>
    <w:qFormat/>
    <w:uiPriority w:val="1"/>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141">
    <w:name w:val="D&amp;L"/>
    <w:basedOn w:val="27"/>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table" w:customStyle="1" w:styleId="142">
    <w:name w:val="网格型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3">
    <w:name w:val="纯文本1"/>
    <w:basedOn w:val="1"/>
    <w:autoRedefine/>
    <w:qFormat/>
    <w:uiPriority w:val="0"/>
    <w:pPr>
      <w:adjustRightInd w:val="0"/>
      <w:textAlignment w:val="baseline"/>
    </w:pPr>
    <w:rPr>
      <w:rFonts w:ascii="宋体" w:hAnsi="宋体" w:eastAsia="楷体_GB2312" w:cs="宋体"/>
      <w:sz w:val="28"/>
    </w:rPr>
  </w:style>
  <w:style w:type="paragraph" w:customStyle="1" w:styleId="144">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5">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146">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47">
    <w:name w:val="列出段落1"/>
    <w:basedOn w:val="1"/>
    <w:autoRedefine/>
    <w:qFormat/>
    <w:uiPriority w:val="0"/>
    <w:pPr>
      <w:ind w:firstLine="420" w:firstLineChars="200"/>
    </w:pPr>
    <w:rPr>
      <w:szCs w:val="21"/>
    </w:rPr>
  </w:style>
  <w:style w:type="character" w:customStyle="1" w:styleId="148">
    <w:name w:val="font21"/>
    <w:basedOn w:val="42"/>
    <w:qFormat/>
    <w:uiPriority w:val="0"/>
    <w:rPr>
      <w:rFonts w:hint="eastAsia" w:ascii="微软雅黑" w:hAnsi="微软雅黑" w:eastAsia="微软雅黑" w:cs="微软雅黑"/>
      <w:b/>
      <w:bCs/>
      <w:color w:val="000000"/>
      <w:sz w:val="20"/>
      <w:szCs w:val="20"/>
      <w:u w:val="none"/>
    </w:rPr>
  </w:style>
  <w:style w:type="character" w:customStyle="1" w:styleId="149">
    <w:name w:val="font61"/>
    <w:basedOn w:val="42"/>
    <w:qFormat/>
    <w:uiPriority w:val="0"/>
    <w:rPr>
      <w:rFonts w:hint="eastAsia" w:ascii="宋体" w:hAnsi="宋体" w:eastAsia="宋体" w:cs="宋体"/>
      <w:color w:val="000000"/>
      <w:sz w:val="20"/>
      <w:szCs w:val="20"/>
      <w:u w:val="none"/>
    </w:rPr>
  </w:style>
  <w:style w:type="character" w:customStyle="1" w:styleId="150">
    <w:name w:val="first-child"/>
    <w:basedOn w:val="42"/>
    <w:qFormat/>
    <w:uiPriority w:val="0"/>
  </w:style>
  <w:style w:type="character" w:customStyle="1" w:styleId="151">
    <w:name w:val="layui-layer-tabnow"/>
    <w:basedOn w:val="42"/>
    <w:qFormat/>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01247E-442F-4284-9537-DBA7EB3153D2}">
  <ds:schemaRefs/>
</ds:datastoreItem>
</file>

<file path=docProps/app.xml><?xml version="1.0" encoding="utf-8"?>
<Properties xmlns="http://schemas.openxmlformats.org/officeDocument/2006/extended-properties" xmlns:vt="http://schemas.openxmlformats.org/officeDocument/2006/docPropsVTypes">
  <Template>Normal</Template>
  <Manager>陈婷</Manager>
  <Company>南京索象环境科技有限公司</Company>
  <Pages>41</Pages>
  <Words>2290</Words>
  <Characters>2564</Characters>
  <Lines>29</Lines>
  <Paragraphs>8</Paragraphs>
  <TotalTime>1</TotalTime>
  <ScaleCrop>false</ScaleCrop>
  <LinksUpToDate>false</LinksUpToDate>
  <CharactersWithSpaces>2734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2015-02-04T14:38:00Z</dcterms:created>
  <dc:creator>sosum</dc:creator>
  <dc:description>sosum</dc:description>
  <cp:lastModifiedBy>品诺酒店用品</cp:lastModifiedBy>
  <cp:lastPrinted>2022-08-19T09:30:00Z</cp:lastPrinted>
  <dcterms:modified xsi:type="dcterms:W3CDTF">2026-07-15T09:30:53Z</dcterms:modified>
  <dc:subject>合同文本</dc:subject>
  <cp:revision>721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2C6F60FFBB6C4EFA95EA4EE8D3FA3AA4_13</vt:lpwstr>
  </property>
  <property fmtid="{D5CDD505-2E9C-101B-9397-08002B2CF9AE}" pid="4" name="KSOTemplateDocerSaveRecord">
    <vt:lpwstr>eyJoZGlkIjoiNDFjNjc4MzM2NGNhOTY1ZjQ2ZmNmMWE4MmVlYzQxYjkiLCJ1c2VySWQiOiIzMDI1ODcyMjYifQ==</vt:lpwstr>
  </property>
</Properties>
</file>