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s="宋体"/>
        </w:rPr>
      </w:pPr>
      <w:r>
        <w:rPr>
          <w:rFonts w:hint="eastAsia" w:ascii="宋体" w:hAnsi="宋体" w:cs="宋体"/>
        </w:rPr>
        <w:t>公务用车采购需求</w:t>
      </w:r>
    </w:p>
    <w:p>
      <w:pPr>
        <w:rPr>
          <w:rFonts w:ascii="宋体" w:hAnsi="宋体" w:cs="宋体"/>
          <w:b/>
          <w:sz w:val="24"/>
        </w:rPr>
      </w:pPr>
      <w:bookmarkStart w:id="0" w:name="_Toc406757114"/>
      <w:bookmarkStart w:id="1" w:name="_Toc441821526"/>
      <w:bookmarkStart w:id="2" w:name="_Toc406757372"/>
      <w:bookmarkStart w:id="3" w:name="_Toc334004011"/>
      <w:bookmarkStart w:id="4" w:name="_Toc334018657"/>
      <w:r>
        <w:rPr>
          <w:rFonts w:hint="eastAsia" w:ascii="宋体" w:hAnsi="宋体" w:cs="宋体"/>
          <w:sz w:val="24"/>
        </w:rPr>
        <w:t>一、项目内容</w:t>
      </w:r>
      <w:bookmarkEnd w:id="0"/>
      <w:bookmarkEnd w:id="1"/>
      <w:bookmarkEnd w:id="2"/>
    </w:p>
    <w:p>
      <w:pPr>
        <w:spacing w:line="360" w:lineRule="auto"/>
        <w:ind w:firstLine="240" w:firstLineChars="100"/>
        <w:outlineLvl w:val="1"/>
        <w:rPr>
          <w:rFonts w:ascii="宋体" w:hAnsi="宋体" w:cs="宋体"/>
          <w:snapToGrid w:val="0"/>
          <w:kern w:val="0"/>
          <w:sz w:val="24"/>
        </w:rPr>
      </w:pPr>
      <w:bookmarkStart w:id="5" w:name="_Toc411539407"/>
      <w:r>
        <w:rPr>
          <w:rFonts w:hint="eastAsia" w:ascii="宋体" w:hAnsi="宋体" w:cs="宋体"/>
          <w:sz w:val="24"/>
        </w:rPr>
        <w:t>1、项目名称：桐城师范高等专科学校公务用车租赁服务项目。</w:t>
      </w:r>
    </w:p>
    <w:p>
      <w:pPr>
        <w:spacing w:line="360" w:lineRule="auto"/>
        <w:ind w:firstLine="240" w:firstLineChars="100"/>
        <w:outlineLvl w:val="1"/>
        <w:rPr>
          <w:rFonts w:ascii="宋体" w:hAnsi="宋体" w:cs="宋体"/>
          <w:snapToGrid w:val="0"/>
          <w:kern w:val="0"/>
          <w:sz w:val="24"/>
        </w:rPr>
      </w:pPr>
      <w:r>
        <w:rPr>
          <w:rFonts w:hint="eastAsia" w:ascii="宋体" w:hAnsi="宋体" w:cs="宋体"/>
          <w:sz w:val="24"/>
        </w:rPr>
        <w:t>2、项目概述：本项目是对桐城师范高等专科学校公务外出用车租赁服务进行采购。</w:t>
      </w:r>
    </w:p>
    <w:p>
      <w:pPr>
        <w:spacing w:line="360" w:lineRule="auto"/>
        <w:ind w:firstLine="240" w:firstLineChars="100"/>
        <w:outlineLvl w:val="1"/>
        <w:rPr>
          <w:rFonts w:ascii="宋体" w:hAnsi="宋体" w:cs="宋体"/>
          <w:snapToGrid w:val="0"/>
          <w:kern w:val="0"/>
          <w:sz w:val="24"/>
        </w:rPr>
      </w:pPr>
      <w:r>
        <w:rPr>
          <w:rFonts w:hint="eastAsia" w:ascii="宋体" w:hAnsi="宋体" w:cs="宋体"/>
          <w:sz w:val="24"/>
        </w:rPr>
        <w:t>3、项目预算：25万元/年（按实结算）。</w:t>
      </w:r>
    </w:p>
    <w:p>
      <w:pPr>
        <w:spacing w:line="360" w:lineRule="auto"/>
        <w:ind w:firstLine="240" w:firstLineChars="100"/>
        <w:outlineLvl w:val="1"/>
        <w:rPr>
          <w:rFonts w:ascii="宋体" w:hAnsi="宋体" w:cs="宋体"/>
          <w:snapToGrid w:val="0"/>
          <w:kern w:val="0"/>
          <w:sz w:val="24"/>
        </w:rPr>
      </w:pPr>
      <w:r>
        <w:rPr>
          <w:rFonts w:hint="eastAsia" w:ascii="宋体" w:hAnsi="宋体" w:cs="宋体"/>
          <w:sz w:val="24"/>
        </w:rPr>
        <w:t>4、最高单价限价：详见“服务车型及最高限价”。</w:t>
      </w:r>
    </w:p>
    <w:p>
      <w:pPr>
        <w:spacing w:line="360" w:lineRule="auto"/>
        <w:ind w:firstLine="240" w:firstLineChars="100"/>
        <w:outlineLvl w:val="1"/>
        <w:rPr>
          <w:rFonts w:ascii="宋体" w:hAnsi="宋体" w:cs="宋体"/>
          <w:snapToGrid w:val="0"/>
          <w:kern w:val="0"/>
          <w:sz w:val="24"/>
        </w:rPr>
      </w:pPr>
      <w:r>
        <w:rPr>
          <w:rFonts w:hint="eastAsia" w:ascii="宋体" w:hAnsi="宋体" w:cs="宋体"/>
          <w:sz w:val="24"/>
        </w:rPr>
        <w:t>5、服务期限：签订合同之日起一年，若中标人在服务期内服务情况良好，招标人可有权与其续签一年。</w:t>
      </w:r>
    </w:p>
    <w:p>
      <w:pPr>
        <w:spacing w:line="360" w:lineRule="auto"/>
        <w:ind w:firstLine="240" w:firstLineChars="100"/>
        <w:outlineLvl w:val="1"/>
        <w:rPr>
          <w:rFonts w:ascii="宋体" w:hAnsi="宋体" w:cs="宋体"/>
          <w:sz w:val="24"/>
        </w:rPr>
      </w:pPr>
      <w:r>
        <w:rPr>
          <w:rFonts w:hint="eastAsia" w:ascii="宋体" w:hAnsi="宋体" w:cs="宋体"/>
          <w:sz w:val="24"/>
        </w:rPr>
        <w:t>6、服务地点：采购人指定地点。</w:t>
      </w:r>
    </w:p>
    <w:p>
      <w:pPr>
        <w:spacing w:line="360" w:lineRule="auto"/>
        <w:ind w:firstLine="240" w:firstLineChars="100"/>
        <w:outlineLvl w:val="1"/>
        <w:rPr>
          <w:rFonts w:ascii="宋体" w:hAnsi="宋体" w:cs="宋体"/>
          <w:sz w:val="24"/>
        </w:rPr>
      </w:pPr>
      <w:r>
        <w:rPr>
          <w:rFonts w:hint="eastAsia" w:ascii="宋体" w:hAnsi="宋体" w:cs="宋体"/>
          <w:sz w:val="24"/>
        </w:rPr>
        <w:t>7、供应商应对同一个项目的全部货物和服务报价，不允许对项目内部分内容进行报价。</w:t>
      </w:r>
    </w:p>
    <w:p>
      <w:pPr>
        <w:rPr>
          <w:rFonts w:ascii="宋体" w:hAnsi="宋体" w:cs="宋体"/>
          <w:b/>
          <w:sz w:val="24"/>
        </w:rPr>
      </w:pPr>
      <w:r>
        <w:rPr>
          <w:rFonts w:hint="eastAsia" w:ascii="宋体" w:hAnsi="宋体" w:cs="宋体"/>
          <w:sz w:val="24"/>
        </w:rPr>
        <w:t>二、项目总体要求</w:t>
      </w:r>
    </w:p>
    <w:bookmarkEnd w:id="5"/>
    <w:p>
      <w:pPr>
        <w:spacing w:line="360" w:lineRule="auto"/>
        <w:ind w:firstLine="240" w:firstLineChars="100"/>
        <w:outlineLvl w:val="1"/>
        <w:rPr>
          <w:rFonts w:ascii="宋体" w:hAnsi="宋体" w:cs="宋体"/>
          <w:color w:val="FFFFFF"/>
          <w:sz w:val="24"/>
        </w:rPr>
      </w:pPr>
      <w:r>
        <w:rPr>
          <w:rFonts w:hint="eastAsia" w:ascii="宋体" w:hAnsi="宋体" w:cs="宋体"/>
          <w:sz w:val="24"/>
        </w:rPr>
        <w:t>1、供应商的报价应包含车辆的车船使用税、相关保险、年审、轮胎、维修保养、路桥费、年票、税费、租赁费、管理费、司机工资福利及餐费、燃油费、车辆购置费、利润、停车费、高速公路通行费，购置足够额度道路客运承运人责任保险第三者商业责任险等一切费用。</w:t>
      </w:r>
      <w:r>
        <w:rPr>
          <w:rFonts w:hint="eastAsia" w:ascii="宋体" w:hAnsi="宋体" w:cs="宋体"/>
          <w:color w:val="FFFFFF"/>
          <w:sz w:val="24"/>
        </w:rPr>
        <w:t>csA</w:t>
      </w:r>
    </w:p>
    <w:p>
      <w:pPr>
        <w:spacing w:line="360" w:lineRule="auto"/>
        <w:ind w:firstLine="240" w:firstLineChars="100"/>
        <w:outlineLvl w:val="1"/>
        <w:rPr>
          <w:rFonts w:ascii="宋体" w:hAnsi="宋体" w:cs="宋体"/>
          <w:color w:val="FFFFFF"/>
          <w:sz w:val="24"/>
        </w:rPr>
      </w:pPr>
      <w:r>
        <w:rPr>
          <w:rFonts w:hint="eastAsia" w:ascii="宋体" w:hAnsi="宋体" w:cs="宋体"/>
          <w:sz w:val="24"/>
        </w:rPr>
        <w:t xml:space="preserve">2、采购人有权根据实际情况，对发车时刻及经停地点等作出调整。如成交供应商在中标并签署合同后，在项目实施过程中出现任何遗漏，均由成交供应商负责，采购人不再支付任何费用。 </w:t>
      </w:r>
      <w:r>
        <w:rPr>
          <w:rFonts w:hint="eastAsia" w:ascii="宋体" w:hAnsi="宋体" w:cs="宋体"/>
          <w:color w:val="FFFFFF"/>
          <w:sz w:val="24"/>
        </w:rPr>
        <w:t>qotL69pBkh</w:t>
      </w:r>
    </w:p>
    <w:p>
      <w:pPr>
        <w:spacing w:line="360" w:lineRule="auto"/>
        <w:ind w:firstLine="240" w:firstLineChars="100"/>
        <w:outlineLvl w:val="1"/>
        <w:rPr>
          <w:rFonts w:ascii="宋体" w:hAnsi="宋体" w:cs="宋体"/>
          <w:color w:val="FFFFFF"/>
          <w:sz w:val="24"/>
        </w:rPr>
      </w:pPr>
      <w:r>
        <w:rPr>
          <w:rFonts w:hint="eastAsia" w:ascii="宋体" w:hAnsi="宋体" w:cs="宋体"/>
          <w:sz w:val="24"/>
        </w:rPr>
        <w:t>3、车辆在行车过程中因发生意外或机械故障所造成的所有经济损失，全部由中标服务商负责赔偿，与采购人无关。</w:t>
      </w:r>
    </w:p>
    <w:p>
      <w:pPr>
        <w:spacing w:line="360" w:lineRule="auto"/>
        <w:ind w:firstLine="240" w:firstLineChars="100"/>
        <w:outlineLvl w:val="1"/>
        <w:rPr>
          <w:rFonts w:ascii="宋体" w:hAnsi="宋体" w:cs="宋体"/>
          <w:sz w:val="24"/>
        </w:rPr>
      </w:pPr>
      <w:r>
        <w:rPr>
          <w:rFonts w:hint="eastAsia" w:ascii="宋体" w:hAnsi="宋体" w:cs="宋体"/>
          <w:sz w:val="24"/>
        </w:rPr>
        <w:t>4、供应商应保证服务车辆不低于投标书所报的标准；中标后不得分包、转包。</w:t>
      </w:r>
    </w:p>
    <w:p>
      <w:pPr>
        <w:rPr>
          <w:rFonts w:ascii="宋体" w:hAnsi="宋体" w:cs="宋体"/>
          <w:b/>
          <w:sz w:val="24"/>
        </w:rPr>
      </w:pPr>
      <w:r>
        <w:rPr>
          <w:rFonts w:hint="eastAsia" w:ascii="宋体" w:hAnsi="宋体" w:cs="宋体"/>
          <w:sz w:val="24"/>
        </w:rPr>
        <w:t>三、项目采购范围及服务要求</w:t>
      </w:r>
    </w:p>
    <w:p>
      <w:pPr>
        <w:spacing w:line="360" w:lineRule="auto"/>
        <w:ind w:firstLine="240" w:firstLineChars="100"/>
        <w:outlineLvl w:val="1"/>
        <w:rPr>
          <w:rFonts w:ascii="宋体" w:hAnsi="宋体" w:cs="宋体"/>
          <w:b/>
          <w:bCs/>
          <w:sz w:val="24"/>
        </w:rPr>
      </w:pPr>
      <w:r>
        <w:rPr>
          <w:rFonts w:hint="eastAsia" w:ascii="宋体" w:hAnsi="宋体" w:cs="宋体"/>
          <w:sz w:val="24"/>
        </w:rPr>
        <w:t>1、采购范围</w:t>
      </w:r>
    </w:p>
    <w:p>
      <w:pPr>
        <w:snapToGrid w:val="0"/>
        <w:spacing w:line="360" w:lineRule="auto"/>
        <w:rPr>
          <w:rFonts w:ascii="宋体" w:hAnsi="宋体" w:cs="宋体"/>
          <w:sz w:val="24"/>
        </w:rPr>
      </w:pPr>
      <w:r>
        <w:rPr>
          <w:rFonts w:hint="eastAsia" w:ascii="宋体" w:hAnsi="宋体" w:cs="宋体"/>
          <w:sz w:val="24"/>
        </w:rPr>
        <w:t xml:space="preserve">   负责桐城师范高等专科学校公务外出交通用车承运服务工作，内容包括：</w:t>
      </w:r>
    </w:p>
    <w:p>
      <w:pPr>
        <w:snapToGrid w:val="0"/>
        <w:spacing w:line="360" w:lineRule="auto"/>
        <w:ind w:firstLine="240" w:firstLineChars="100"/>
        <w:rPr>
          <w:rFonts w:ascii="宋体" w:hAnsi="宋体" w:cs="宋体"/>
          <w:sz w:val="24"/>
        </w:rPr>
      </w:pPr>
      <w:r>
        <w:rPr>
          <w:rFonts w:hint="eastAsia" w:ascii="宋体" w:hAnsi="宋体" w:cs="宋体"/>
          <w:sz w:val="24"/>
        </w:rPr>
        <w:t>（1）新生集中接待用车；</w:t>
      </w:r>
    </w:p>
    <w:p>
      <w:pPr>
        <w:snapToGrid w:val="0"/>
        <w:spacing w:line="360" w:lineRule="auto"/>
        <w:ind w:firstLine="240" w:firstLineChars="100"/>
        <w:rPr>
          <w:rFonts w:ascii="宋体" w:hAnsi="宋体" w:cs="宋体"/>
          <w:sz w:val="24"/>
        </w:rPr>
      </w:pPr>
      <w:r>
        <w:rPr>
          <w:rFonts w:hint="eastAsia" w:ascii="宋体" w:hAnsi="宋体" w:cs="宋体"/>
          <w:sz w:val="24"/>
        </w:rPr>
        <w:t>（2）师生校外活动用车；</w:t>
      </w:r>
    </w:p>
    <w:p>
      <w:pPr>
        <w:snapToGrid w:val="0"/>
        <w:spacing w:line="360" w:lineRule="auto"/>
        <w:ind w:firstLine="240" w:firstLineChars="100"/>
        <w:rPr>
          <w:rFonts w:ascii="宋体" w:hAnsi="宋体" w:cs="宋体"/>
          <w:sz w:val="24"/>
        </w:rPr>
      </w:pPr>
      <w:r>
        <w:rPr>
          <w:rFonts w:hint="eastAsia" w:ascii="宋体" w:hAnsi="宋体" w:cs="宋体"/>
          <w:sz w:val="24"/>
        </w:rPr>
        <w:t>（3）职工集中因公外出用车；</w:t>
      </w:r>
    </w:p>
    <w:p>
      <w:pPr>
        <w:snapToGrid w:val="0"/>
        <w:spacing w:line="360" w:lineRule="auto"/>
        <w:ind w:firstLine="240" w:firstLineChars="100"/>
        <w:rPr>
          <w:rFonts w:ascii="宋体" w:hAnsi="宋体" w:cs="宋体"/>
          <w:sz w:val="24"/>
        </w:rPr>
      </w:pPr>
      <w:r>
        <w:rPr>
          <w:rFonts w:hint="eastAsia" w:ascii="宋体" w:hAnsi="宋体" w:cs="宋体"/>
          <w:sz w:val="24"/>
        </w:rPr>
        <w:t>（4）校区间集中交流用车；</w:t>
      </w:r>
    </w:p>
    <w:p>
      <w:pPr>
        <w:snapToGrid w:val="0"/>
        <w:spacing w:line="360" w:lineRule="auto"/>
        <w:ind w:firstLine="240" w:firstLineChars="100"/>
        <w:rPr>
          <w:rFonts w:ascii="宋体" w:hAnsi="宋体" w:cs="宋体"/>
          <w:sz w:val="24"/>
        </w:rPr>
      </w:pPr>
      <w:r>
        <w:rPr>
          <w:rFonts w:hint="eastAsia" w:ascii="宋体" w:hAnsi="宋体" w:cs="宋体"/>
          <w:sz w:val="24"/>
        </w:rPr>
        <w:t>（5）其它用车。</w:t>
      </w:r>
    </w:p>
    <w:p>
      <w:pPr>
        <w:spacing w:line="360" w:lineRule="auto"/>
        <w:ind w:firstLine="240" w:firstLineChars="100"/>
        <w:outlineLvl w:val="1"/>
        <w:rPr>
          <w:rFonts w:ascii="宋体" w:hAnsi="宋体" w:cs="宋体"/>
          <w:b/>
          <w:bCs/>
          <w:sz w:val="24"/>
        </w:rPr>
      </w:pPr>
      <w:r>
        <w:rPr>
          <w:rFonts w:hint="eastAsia" w:ascii="宋体" w:hAnsi="宋体" w:cs="宋体"/>
          <w:sz w:val="24"/>
        </w:rPr>
        <w:t xml:space="preserve"> 2、服务要求</w:t>
      </w:r>
    </w:p>
    <w:p>
      <w:pPr>
        <w:snapToGrid w:val="0"/>
        <w:spacing w:line="360" w:lineRule="auto"/>
        <w:ind w:firstLine="240" w:firstLineChars="100"/>
        <w:rPr>
          <w:rFonts w:ascii="宋体" w:hAnsi="宋体" w:cs="宋体"/>
          <w:bCs/>
          <w:sz w:val="24"/>
        </w:rPr>
      </w:pPr>
      <w:r>
        <w:rPr>
          <w:rFonts w:hint="eastAsia" w:ascii="宋体" w:hAnsi="宋体" w:cs="宋体"/>
          <w:sz w:val="24"/>
        </w:rPr>
        <w:t>（1）对服务车辆的要求</w:t>
      </w:r>
    </w:p>
    <w:p>
      <w:pPr>
        <w:snapToGrid w:val="0"/>
        <w:spacing w:line="360" w:lineRule="auto"/>
        <w:ind w:firstLine="720" w:firstLineChars="300"/>
        <w:rPr>
          <w:rFonts w:ascii="宋体" w:hAnsi="宋体" w:cs="宋体"/>
          <w:sz w:val="24"/>
        </w:rPr>
      </w:pPr>
      <w:r>
        <w:rPr>
          <w:rFonts w:hint="eastAsia" w:ascii="宋体" w:hAnsi="宋体" w:cs="宋体"/>
          <w:sz w:val="24"/>
        </w:rPr>
        <w:t>1）车辆为大型、中型空调客车、商务车，车龄在5年以内，车况经采购人认可，整车整洁卫生；</w:t>
      </w:r>
    </w:p>
    <w:p>
      <w:pPr>
        <w:snapToGrid w:val="0"/>
        <w:spacing w:line="360" w:lineRule="auto"/>
        <w:ind w:firstLine="720" w:firstLineChars="300"/>
        <w:rPr>
          <w:rFonts w:ascii="宋体" w:hAnsi="宋体" w:cs="宋体"/>
          <w:color w:val="FFFFFF"/>
          <w:sz w:val="24"/>
        </w:rPr>
      </w:pPr>
      <w:r>
        <w:rPr>
          <w:rFonts w:hint="eastAsia" w:ascii="宋体" w:hAnsi="宋体" w:cs="宋体"/>
          <w:sz w:val="24"/>
        </w:rPr>
        <w:t>2）车辆符合国家有关标准，配备逃生锤、灭火器、急救箱等安全设备和按照规定安装具有行驶记录功能的卫星定位装置；</w:t>
      </w:r>
    </w:p>
    <w:p>
      <w:pPr>
        <w:snapToGrid w:val="0"/>
        <w:spacing w:line="360" w:lineRule="auto"/>
        <w:ind w:firstLine="720" w:firstLineChars="300"/>
        <w:rPr>
          <w:rFonts w:ascii="宋体" w:hAnsi="宋体" w:cs="宋体"/>
          <w:sz w:val="24"/>
        </w:rPr>
      </w:pPr>
      <w:r>
        <w:rPr>
          <w:rFonts w:hint="eastAsia" w:ascii="宋体" w:hAnsi="宋体" w:cs="宋体"/>
          <w:sz w:val="24"/>
        </w:rPr>
        <w:t>3）车辆保险齐全，应缴纳的保险费应当包括：第三者责任险、交通强制险、道路客运承运人责任保险等险种；</w:t>
      </w:r>
    </w:p>
    <w:p>
      <w:pPr>
        <w:snapToGrid w:val="0"/>
        <w:spacing w:line="360" w:lineRule="auto"/>
        <w:ind w:firstLine="720" w:firstLineChars="300"/>
        <w:rPr>
          <w:rFonts w:ascii="宋体" w:hAnsi="宋体" w:cs="宋体"/>
          <w:color w:val="FFFFFF"/>
          <w:sz w:val="24"/>
        </w:rPr>
      </w:pPr>
      <w:r>
        <w:rPr>
          <w:rFonts w:hint="eastAsia" w:ascii="宋体" w:hAnsi="宋体" w:cs="宋体"/>
          <w:sz w:val="24"/>
        </w:rPr>
        <w:t>4）供应商提供用于接送师生的车辆必须保证是具有合法运营资格，车况良好的拥有自有产权的皖（X）牌载客车辆，符合客运安全标准。（提供承诺函）</w:t>
      </w:r>
      <w:r>
        <w:rPr>
          <w:rFonts w:hint="eastAsia" w:ascii="宋体" w:hAnsi="宋体" w:cs="宋体"/>
          <w:color w:val="FFFFFF"/>
          <w:sz w:val="24"/>
        </w:rPr>
        <w:t>6craEmRE2k</w:t>
      </w:r>
    </w:p>
    <w:p>
      <w:pPr>
        <w:snapToGrid w:val="0"/>
        <w:spacing w:line="360" w:lineRule="auto"/>
        <w:ind w:firstLine="240" w:firstLineChars="100"/>
        <w:rPr>
          <w:rFonts w:ascii="宋体" w:hAnsi="宋体" w:cs="宋体"/>
          <w:bCs/>
          <w:sz w:val="24"/>
        </w:rPr>
      </w:pPr>
      <w:r>
        <w:rPr>
          <w:rFonts w:hint="eastAsia" w:ascii="宋体" w:hAnsi="宋体" w:cs="宋体"/>
          <w:sz w:val="24"/>
        </w:rPr>
        <w:t>（2）对驾驶员要求</w:t>
      </w:r>
    </w:p>
    <w:p>
      <w:pPr>
        <w:snapToGrid w:val="0"/>
        <w:spacing w:line="360" w:lineRule="auto"/>
        <w:ind w:firstLine="720" w:firstLineChars="300"/>
        <w:rPr>
          <w:rFonts w:ascii="宋体" w:hAnsi="宋体" w:cs="宋体"/>
          <w:bCs/>
          <w:sz w:val="24"/>
        </w:rPr>
      </w:pPr>
      <w:r>
        <w:rPr>
          <w:rFonts w:hint="eastAsia" w:ascii="宋体" w:hAnsi="宋体" w:cs="宋体"/>
          <w:sz w:val="24"/>
        </w:rPr>
        <w:t>1）随车驾驶员必须符合国家相关规定，所有证件齐全。车辆驾驶员与供应商之间必须具有明确的劳动合同关系。</w:t>
      </w:r>
    </w:p>
    <w:p>
      <w:pPr>
        <w:snapToGrid w:val="0"/>
        <w:spacing w:line="360" w:lineRule="auto"/>
        <w:ind w:firstLine="720" w:firstLineChars="300"/>
        <w:rPr>
          <w:rFonts w:ascii="宋体" w:hAnsi="宋体" w:cs="宋体"/>
          <w:bCs/>
          <w:sz w:val="24"/>
        </w:rPr>
      </w:pPr>
      <w:r>
        <w:rPr>
          <w:rFonts w:hint="eastAsia" w:ascii="宋体" w:hAnsi="宋体" w:cs="宋体"/>
          <w:sz w:val="24"/>
        </w:rPr>
        <w:t>2）车辆驾驶员必须具有五年以上相应牌照驾驶经验，身体健康，熟悉道路，安全文明驾驶，并保持车辆整洁。</w:t>
      </w:r>
    </w:p>
    <w:p>
      <w:pPr>
        <w:snapToGrid w:val="0"/>
        <w:spacing w:line="360" w:lineRule="auto"/>
        <w:ind w:firstLine="720" w:firstLineChars="300"/>
        <w:rPr>
          <w:rFonts w:ascii="宋体" w:hAnsi="宋体" w:cs="宋体"/>
          <w:bCs/>
          <w:sz w:val="24"/>
        </w:rPr>
      </w:pPr>
      <w:r>
        <w:rPr>
          <w:rFonts w:hint="eastAsia" w:ascii="宋体" w:hAnsi="宋体" w:cs="宋体"/>
          <w:sz w:val="24"/>
        </w:rPr>
        <w:t>3）车辆驾驶员驾驶车辆时快慢适宜，不擅改路线和上下车地点，不疲劳驾驶，确保安全。</w:t>
      </w:r>
    </w:p>
    <w:p>
      <w:pPr>
        <w:snapToGrid w:val="0"/>
        <w:spacing w:line="360" w:lineRule="auto"/>
        <w:ind w:firstLine="240" w:firstLineChars="100"/>
        <w:rPr>
          <w:rFonts w:ascii="宋体" w:hAnsi="宋体" w:cs="宋体"/>
          <w:bCs/>
          <w:sz w:val="24"/>
        </w:rPr>
      </w:pPr>
      <w:r>
        <w:rPr>
          <w:rFonts w:hint="eastAsia" w:ascii="宋体" w:hAnsi="宋体" w:cs="宋体"/>
          <w:sz w:val="24"/>
        </w:rPr>
        <w:t>（3）具体服务要求</w:t>
      </w:r>
    </w:p>
    <w:p>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1）车辆驾驶员必须严格遵守采购人与车辆管理相关的各项管理制度，并按照租赁合同要求完成采购人的工作安排。</w:t>
      </w:r>
      <w:r>
        <w:rPr>
          <w:rFonts w:hint="eastAsia" w:ascii="宋体" w:hAnsi="宋体" w:cs="宋体"/>
          <w:bCs/>
          <w:color w:val="FFFFFF"/>
          <w:sz w:val="24"/>
          <w:lang w:val="zh-CN"/>
        </w:rPr>
        <w:t>k8qia6lFh1</w:t>
      </w:r>
    </w:p>
    <w:p>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2）供应商的车辆应严格按照采购人的用车方案安排的时间执行，必须在规定时间到达出发位置，如果出现误点，供应商除按要求将使用人送至指定地点外，还须承担违约责任：误点时间不超过10分钟，给予供应商警告，并要求加强监管；误点时间超过10分钟，供应商应予以支付违约金，违约金额为单次出车费用的20%；如若误点时间超过30分钟，违约金额为单次出车费用的50%，如若误点时间超过60分钟，采购人不予支付本次租车费用。</w:t>
      </w:r>
      <w:r>
        <w:rPr>
          <w:rFonts w:hint="eastAsia" w:ascii="宋体" w:hAnsi="宋体" w:cs="宋体"/>
          <w:bCs/>
          <w:color w:val="FFFFFF"/>
          <w:sz w:val="24"/>
          <w:lang w:val="zh-CN"/>
        </w:rPr>
        <w:t>y3qrGQOGwI</w:t>
      </w:r>
    </w:p>
    <w:p>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3）如车辆在行驶过程中发生事故或机械故障，需处理事故或维修的，若维修时间超过60分钟的，供应商必须及时并免费调度其他车辆完成采购人工作安排，由此所产生的费用由成交供应商承担。</w:t>
      </w:r>
    </w:p>
    <w:p>
      <w:pPr>
        <w:snapToGrid w:val="0"/>
        <w:spacing w:line="360" w:lineRule="auto"/>
        <w:ind w:firstLine="240" w:firstLineChars="100"/>
        <w:rPr>
          <w:rFonts w:ascii="宋体" w:hAnsi="宋体" w:cs="宋体"/>
          <w:bCs/>
          <w:sz w:val="24"/>
        </w:rPr>
      </w:pPr>
      <w:r>
        <w:rPr>
          <w:rFonts w:hint="eastAsia" w:ascii="宋体" w:hAnsi="宋体" w:cs="宋体"/>
          <w:sz w:val="24"/>
        </w:rPr>
        <w:t>（4）其他要求</w:t>
      </w:r>
    </w:p>
    <w:p>
      <w:pPr>
        <w:snapToGrid w:val="0"/>
        <w:spacing w:line="360" w:lineRule="auto"/>
        <w:ind w:firstLine="720" w:firstLineChars="300"/>
        <w:rPr>
          <w:rFonts w:ascii="宋体" w:hAnsi="宋体" w:cs="宋体"/>
          <w:bCs/>
          <w:color w:val="FFFFFF"/>
          <w:sz w:val="24"/>
        </w:rPr>
      </w:pPr>
      <w:r>
        <w:rPr>
          <w:rFonts w:hint="eastAsia" w:ascii="宋体" w:hAnsi="宋体" w:cs="宋体"/>
          <w:sz w:val="24"/>
        </w:rPr>
        <w:t>1）成交供应商在签订合同时须向采购人缴纳10000.00元作为履约保证金，合同期内没有出现违约行为，合同期满后不计息10个工作日内返还。</w:t>
      </w:r>
      <w:r>
        <w:rPr>
          <w:rFonts w:hint="eastAsia" w:ascii="宋体" w:hAnsi="宋体" w:cs="宋体"/>
          <w:bCs/>
          <w:color w:val="FFFFFF"/>
          <w:sz w:val="24"/>
        </w:rPr>
        <w:t>0VoHIjMIZ5</w:t>
      </w:r>
    </w:p>
    <w:p>
      <w:pPr>
        <w:snapToGrid w:val="0"/>
        <w:spacing w:line="360" w:lineRule="auto"/>
        <w:ind w:firstLine="720" w:firstLineChars="300"/>
        <w:rPr>
          <w:rFonts w:ascii="宋体" w:hAnsi="宋体" w:cs="宋体"/>
          <w:bCs/>
          <w:sz w:val="24"/>
        </w:rPr>
      </w:pPr>
      <w:r>
        <w:rPr>
          <w:rFonts w:hint="eastAsia" w:ascii="宋体" w:hAnsi="宋体" w:cs="宋体"/>
          <w:sz w:val="24"/>
        </w:rPr>
        <w:t>2）若上级或学院有安全检查的相关工作要求时，应配合做好。</w:t>
      </w:r>
    </w:p>
    <w:p>
      <w:pPr>
        <w:snapToGrid w:val="0"/>
        <w:spacing w:line="360" w:lineRule="auto"/>
        <w:ind w:firstLine="240" w:firstLineChars="100"/>
        <w:rPr>
          <w:rFonts w:ascii="宋体" w:hAnsi="宋体" w:cs="宋体"/>
          <w:bCs/>
          <w:sz w:val="24"/>
          <w:lang w:val="zh-CN"/>
        </w:rPr>
      </w:pPr>
      <w:r>
        <w:rPr>
          <w:rFonts w:hint="eastAsia" w:ascii="宋体" w:hAnsi="宋体" w:cs="宋体"/>
          <w:sz w:val="24"/>
        </w:rPr>
        <w:t>（5）违约责任</w:t>
      </w:r>
    </w:p>
    <w:p>
      <w:pPr>
        <w:snapToGrid w:val="0"/>
        <w:spacing w:line="360" w:lineRule="auto"/>
        <w:ind w:firstLine="480" w:firstLineChars="200"/>
        <w:rPr>
          <w:rFonts w:ascii="宋体" w:hAnsi="宋体" w:cs="宋体"/>
          <w:bCs/>
          <w:color w:val="FFFFFF"/>
          <w:sz w:val="24"/>
        </w:rPr>
      </w:pPr>
      <w:r>
        <w:rPr>
          <w:rFonts w:hint="eastAsia" w:ascii="宋体" w:hAnsi="宋体" w:cs="宋体"/>
          <w:sz w:val="24"/>
        </w:rPr>
        <w:t>成交供应商应确保采购方人员的乘车安全，租赁期内发生交通事故造成乘车人员伤亡或财产损失，采购方有权单方解除合同。成交供应商应承担全责并按交通事故等相关法规赔付。</w:t>
      </w:r>
    </w:p>
    <w:p>
      <w:pPr>
        <w:numPr>
          <w:ilvl w:val="0"/>
          <w:numId w:val="1"/>
        </w:numPr>
        <w:rPr>
          <w:rFonts w:ascii="宋体" w:hAnsi="宋体" w:cs="宋体"/>
          <w:b/>
          <w:sz w:val="24"/>
        </w:rPr>
      </w:pPr>
      <w:r>
        <w:rPr>
          <w:rFonts w:hint="eastAsia" w:ascii="宋体" w:hAnsi="宋体" w:cs="宋体"/>
          <w:sz w:val="24"/>
        </w:rPr>
        <w:t>服务车型及最高限价</w:t>
      </w:r>
    </w:p>
    <w:tbl>
      <w:tblPr>
        <w:tblStyle w:val="5"/>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14"/>
        <w:gridCol w:w="750"/>
        <w:gridCol w:w="2575"/>
        <w:gridCol w:w="1485"/>
        <w:gridCol w:w="1903"/>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30" w:type="dxa"/>
            <w:vAlign w:val="center"/>
          </w:tcPr>
          <w:p>
            <w:pPr>
              <w:jc w:val="center"/>
              <w:rPr>
                <w:rFonts w:ascii="宋体" w:hAnsi="宋体" w:cs="宋体"/>
                <w:b/>
                <w:bCs/>
                <w:szCs w:val="21"/>
              </w:rPr>
            </w:pPr>
            <w:r>
              <w:rPr>
                <w:rFonts w:hint="eastAsia" w:ascii="宋体" w:hAnsi="宋体" w:cs="宋体"/>
                <w:szCs w:val="21"/>
              </w:rPr>
              <w:t>序号</w:t>
            </w:r>
          </w:p>
        </w:tc>
        <w:tc>
          <w:tcPr>
            <w:tcW w:w="914" w:type="dxa"/>
            <w:vAlign w:val="center"/>
          </w:tcPr>
          <w:p>
            <w:pPr>
              <w:spacing w:line="360" w:lineRule="auto"/>
              <w:jc w:val="center"/>
              <w:rPr>
                <w:rFonts w:ascii="宋体" w:hAnsi="宋体" w:cs="宋体"/>
                <w:b/>
                <w:bCs/>
                <w:szCs w:val="21"/>
              </w:rPr>
            </w:pPr>
            <w:r>
              <w:rPr>
                <w:rFonts w:hint="eastAsia" w:ascii="宋体" w:hAnsi="宋体" w:cs="宋体"/>
                <w:szCs w:val="21"/>
              </w:rPr>
              <w:t>车辆型号</w:t>
            </w:r>
          </w:p>
        </w:tc>
        <w:tc>
          <w:tcPr>
            <w:tcW w:w="3325" w:type="dxa"/>
            <w:gridSpan w:val="2"/>
            <w:vAlign w:val="center"/>
          </w:tcPr>
          <w:p>
            <w:pPr>
              <w:spacing w:line="360" w:lineRule="auto"/>
              <w:jc w:val="center"/>
              <w:rPr>
                <w:rFonts w:ascii="宋体" w:hAnsi="宋体" w:cs="宋体"/>
                <w:b/>
                <w:bCs/>
                <w:szCs w:val="21"/>
              </w:rPr>
            </w:pPr>
            <w:r>
              <w:rPr>
                <w:rFonts w:hint="eastAsia" w:ascii="宋体" w:hAnsi="宋体" w:cs="宋体"/>
                <w:szCs w:val="21"/>
              </w:rPr>
              <w:t>用车范围</w:t>
            </w:r>
          </w:p>
        </w:tc>
        <w:tc>
          <w:tcPr>
            <w:tcW w:w="3388" w:type="dxa"/>
            <w:gridSpan w:val="2"/>
            <w:vAlign w:val="center"/>
          </w:tcPr>
          <w:p>
            <w:pPr>
              <w:spacing w:line="360" w:lineRule="auto"/>
              <w:jc w:val="center"/>
              <w:rPr>
                <w:rFonts w:ascii="宋体" w:hAnsi="宋体" w:cs="宋体"/>
                <w:b/>
                <w:bCs/>
                <w:szCs w:val="21"/>
              </w:rPr>
            </w:pPr>
            <w:r>
              <w:rPr>
                <w:rFonts w:hint="eastAsia" w:ascii="宋体" w:hAnsi="宋体" w:cs="宋体"/>
                <w:szCs w:val="21"/>
              </w:rPr>
              <w:t>最高单价限价</w:t>
            </w:r>
          </w:p>
        </w:tc>
        <w:tc>
          <w:tcPr>
            <w:tcW w:w="1375" w:type="dxa"/>
            <w:vAlign w:val="center"/>
          </w:tcPr>
          <w:p>
            <w:pPr>
              <w:spacing w:line="360" w:lineRule="auto"/>
              <w:jc w:val="center"/>
              <w:rPr>
                <w:rFonts w:ascii="宋体" w:hAnsi="宋体" w:cs="宋体"/>
                <w:b/>
                <w:bCs/>
                <w:szCs w:val="21"/>
              </w:rPr>
            </w:pPr>
            <w:r>
              <w:rPr>
                <w:rFonts w:hint="eastAsia" w:ascii="宋体" w:hAnsi="宋体" w:cs="宋体"/>
                <w:szCs w:val="21"/>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530" w:type="dxa"/>
            <w:vMerge w:val="restart"/>
            <w:vAlign w:val="center"/>
          </w:tcPr>
          <w:p>
            <w:pPr>
              <w:spacing w:line="360" w:lineRule="auto"/>
              <w:jc w:val="center"/>
              <w:rPr>
                <w:rFonts w:ascii="宋体" w:hAnsi="宋体" w:cs="宋体"/>
                <w:szCs w:val="21"/>
              </w:rPr>
            </w:pPr>
            <w:r>
              <w:rPr>
                <w:rFonts w:hint="eastAsia" w:ascii="宋体" w:hAnsi="宋体" w:cs="宋体"/>
                <w:szCs w:val="21"/>
              </w:rPr>
              <w:t>1</w:t>
            </w:r>
          </w:p>
        </w:tc>
        <w:tc>
          <w:tcPr>
            <w:tcW w:w="914" w:type="dxa"/>
            <w:vMerge w:val="restart"/>
            <w:vAlign w:val="center"/>
          </w:tcPr>
          <w:p>
            <w:pPr>
              <w:spacing w:line="360" w:lineRule="auto"/>
              <w:jc w:val="center"/>
              <w:rPr>
                <w:rFonts w:ascii="宋体" w:hAnsi="宋体" w:cs="宋体"/>
                <w:szCs w:val="21"/>
              </w:rPr>
            </w:pPr>
            <w:r>
              <w:rPr>
                <w:rFonts w:hint="eastAsia" w:ascii="宋体" w:hAnsi="宋体" w:cs="宋体"/>
                <w:szCs w:val="21"/>
              </w:rPr>
              <w:t>5座轿车</w:t>
            </w:r>
          </w:p>
        </w:tc>
        <w:tc>
          <w:tcPr>
            <w:tcW w:w="750" w:type="dxa"/>
            <w:vMerge w:val="restart"/>
            <w:vAlign w:val="center"/>
          </w:tcPr>
          <w:p>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300</w:t>
            </w:r>
            <w:r>
              <w:rPr>
                <w:rFonts w:hint="eastAsia" w:ascii="宋体" w:hAnsi="宋体" w:cs="宋体"/>
                <w:szCs w:val="21"/>
              </w:rPr>
              <w:t>元/天</w:t>
            </w:r>
          </w:p>
        </w:tc>
        <w:tc>
          <w:tcPr>
            <w:tcW w:w="1903" w:type="dxa"/>
            <w:vMerge w:val="restart"/>
            <w:vAlign w:val="center"/>
          </w:tcPr>
          <w:p>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 xml:space="preserve"> 10</w:t>
            </w:r>
            <w:r>
              <w:rPr>
                <w:rFonts w:hint="eastAsia" w:ascii="宋体" w:hAnsi="宋体" w:cs="宋体"/>
                <w:szCs w:val="21"/>
              </w:rPr>
              <w:t>元/时</w:t>
            </w:r>
          </w:p>
          <w:p>
            <w:pPr>
              <w:spacing w:line="360" w:lineRule="auto"/>
              <w:rPr>
                <w:rFonts w:ascii="宋体" w:hAnsi="宋体" w:cs="宋体"/>
                <w:szCs w:val="21"/>
              </w:rPr>
            </w:pPr>
            <w:r>
              <w:rPr>
                <w:rFonts w:hint="eastAsia" w:ascii="宋体" w:hAnsi="宋体" w:cs="宋体"/>
                <w:szCs w:val="21"/>
              </w:rPr>
              <w:t>超程：</w:t>
            </w:r>
            <w:r>
              <w:rPr>
                <w:rFonts w:hint="eastAsia" w:ascii="宋体" w:hAnsi="宋体" w:cs="宋体"/>
                <w:szCs w:val="21"/>
                <w:u w:val="single"/>
              </w:rPr>
              <w:t xml:space="preserve">2.5 </w:t>
            </w:r>
            <w:r>
              <w:rPr>
                <w:rFonts w:hint="eastAsia" w:ascii="宋体" w:hAnsi="宋体" w:cs="宋体"/>
                <w:szCs w:val="21"/>
              </w:rPr>
              <w:t>元/公里</w:t>
            </w:r>
          </w:p>
        </w:tc>
        <w:tc>
          <w:tcPr>
            <w:tcW w:w="1375" w:type="dxa"/>
            <w:vMerge w:val="restart"/>
            <w:vAlign w:val="center"/>
          </w:tcPr>
          <w:p>
            <w:pPr>
              <w:spacing w:line="360" w:lineRule="exact"/>
              <w:jc w:val="center"/>
              <w:rPr>
                <w:rFonts w:ascii="宋体" w:hAnsi="宋体" w:cs="宋体"/>
                <w:szCs w:val="21"/>
              </w:rPr>
            </w:pPr>
            <w:r>
              <w:rPr>
                <w:rFonts w:hint="eastAsia" w:ascii="宋体" w:hAnsi="宋体" w:cs="宋体"/>
                <w:szCs w:val="21"/>
              </w:rPr>
              <w:t>价格包含燃油费、路桥费、司机服务费等。租车期内产生驾驶员工作餐、住宿由学院承担。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jc w:val="center"/>
              <w:rPr>
                <w:rFonts w:ascii="宋体" w:hAnsi="宋体" w:cs="宋体"/>
                <w:szCs w:val="21"/>
              </w:rPr>
            </w:pPr>
          </w:p>
        </w:tc>
        <w:tc>
          <w:tcPr>
            <w:tcW w:w="750" w:type="dxa"/>
            <w:vMerge w:val="continue"/>
            <w:vAlign w:val="center"/>
          </w:tcPr>
          <w:p>
            <w:pPr>
              <w:spacing w:line="360" w:lineRule="auto"/>
              <w:jc w:val="center"/>
              <w:rPr>
                <w:rFonts w:ascii="宋体" w:hAnsi="宋体" w:cs="宋体"/>
                <w:szCs w:val="21"/>
              </w:rPr>
            </w:pPr>
          </w:p>
        </w:tc>
        <w:tc>
          <w:tcPr>
            <w:tcW w:w="2575" w:type="dxa"/>
            <w:vAlign w:val="center"/>
          </w:tcPr>
          <w:p>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400</w:t>
            </w:r>
            <w:r>
              <w:rPr>
                <w:rFonts w:hint="eastAsia" w:ascii="宋体" w:hAnsi="宋体" w:cs="宋体"/>
                <w:szCs w:val="21"/>
              </w:rPr>
              <w:t>元/天</w:t>
            </w:r>
          </w:p>
        </w:tc>
        <w:tc>
          <w:tcPr>
            <w:tcW w:w="1903" w:type="dxa"/>
            <w:vMerge w:val="continue"/>
            <w:vAlign w:val="center"/>
          </w:tcPr>
          <w:p>
            <w:pPr>
              <w:spacing w:line="360" w:lineRule="auto"/>
              <w:rPr>
                <w:rFonts w:ascii="宋体" w:hAnsi="宋体" w:cs="宋体"/>
                <w:szCs w:val="21"/>
              </w:rPr>
            </w:pPr>
          </w:p>
        </w:tc>
        <w:tc>
          <w:tcPr>
            <w:tcW w:w="1375" w:type="dxa"/>
            <w:vMerge w:val="continue"/>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jc w:val="center"/>
              <w:rPr>
                <w:rFonts w:ascii="宋体" w:hAnsi="宋体" w:cs="宋体"/>
                <w:szCs w:val="21"/>
              </w:rPr>
            </w:pPr>
          </w:p>
        </w:tc>
        <w:tc>
          <w:tcPr>
            <w:tcW w:w="3325" w:type="dxa"/>
            <w:gridSpan w:val="2"/>
            <w:vAlign w:val="center"/>
          </w:tcPr>
          <w:p>
            <w:pPr>
              <w:spacing w:line="360" w:lineRule="auto"/>
              <w:jc w:val="center"/>
              <w:rPr>
                <w:rFonts w:ascii="宋体" w:hAnsi="宋体" w:cs="宋体"/>
                <w:szCs w:val="21"/>
              </w:rPr>
            </w:pPr>
            <w:r>
              <w:rPr>
                <w:rFonts w:hint="eastAsia" w:ascii="宋体" w:hAnsi="宋体" w:cs="宋体"/>
                <w:szCs w:val="21"/>
              </w:rPr>
              <w:t>长途用车（如当天不能往返，每天在外多停留一天另加300元）</w:t>
            </w:r>
          </w:p>
        </w:tc>
        <w:tc>
          <w:tcPr>
            <w:tcW w:w="3388" w:type="dxa"/>
            <w:gridSpan w:val="2"/>
            <w:vAlign w:val="center"/>
          </w:tcPr>
          <w:p>
            <w:pPr>
              <w:spacing w:line="360" w:lineRule="auto"/>
              <w:jc w:val="center"/>
              <w:rPr>
                <w:rFonts w:ascii="宋体" w:hAnsi="宋体" w:cs="宋体"/>
                <w:szCs w:val="21"/>
              </w:rPr>
            </w:pPr>
            <w:r>
              <w:rPr>
                <w:rFonts w:hint="eastAsia" w:ascii="宋体" w:hAnsi="宋体" w:cs="宋体"/>
                <w:szCs w:val="21"/>
              </w:rPr>
              <w:t>2.5元/公里</w:t>
            </w:r>
          </w:p>
        </w:tc>
        <w:tc>
          <w:tcPr>
            <w:tcW w:w="1375" w:type="dxa"/>
            <w:vMerge w:val="continue"/>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pPr>
              <w:spacing w:line="360" w:lineRule="auto"/>
              <w:jc w:val="center"/>
              <w:rPr>
                <w:rFonts w:ascii="宋体" w:hAnsi="宋体" w:cs="宋体"/>
                <w:szCs w:val="21"/>
              </w:rPr>
            </w:pPr>
            <w:r>
              <w:rPr>
                <w:rFonts w:hint="eastAsia" w:ascii="宋体" w:hAnsi="宋体" w:cs="宋体"/>
                <w:szCs w:val="21"/>
              </w:rPr>
              <w:t>2</w:t>
            </w:r>
          </w:p>
        </w:tc>
        <w:tc>
          <w:tcPr>
            <w:tcW w:w="914" w:type="dxa"/>
            <w:vMerge w:val="restart"/>
            <w:vAlign w:val="center"/>
          </w:tcPr>
          <w:p>
            <w:pPr>
              <w:spacing w:line="360" w:lineRule="auto"/>
              <w:jc w:val="center"/>
              <w:rPr>
                <w:rFonts w:ascii="宋体" w:hAnsi="宋体" w:cs="宋体"/>
                <w:szCs w:val="21"/>
              </w:rPr>
            </w:pPr>
            <w:r>
              <w:rPr>
                <w:rFonts w:hint="eastAsia" w:ascii="宋体" w:hAnsi="宋体" w:cs="宋体"/>
                <w:szCs w:val="21"/>
              </w:rPr>
              <w:t>7-9座商务车</w:t>
            </w:r>
          </w:p>
        </w:tc>
        <w:tc>
          <w:tcPr>
            <w:tcW w:w="750" w:type="dxa"/>
            <w:vMerge w:val="restart"/>
            <w:vAlign w:val="center"/>
          </w:tcPr>
          <w:p>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450</w:t>
            </w:r>
            <w:r>
              <w:rPr>
                <w:rFonts w:hint="eastAsia" w:ascii="宋体" w:hAnsi="宋体" w:cs="宋体"/>
                <w:szCs w:val="21"/>
              </w:rPr>
              <w:t>元/天</w:t>
            </w:r>
          </w:p>
        </w:tc>
        <w:tc>
          <w:tcPr>
            <w:tcW w:w="1903" w:type="dxa"/>
            <w:vMerge w:val="restart"/>
            <w:vAlign w:val="center"/>
          </w:tcPr>
          <w:p>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20</w:t>
            </w:r>
            <w:r>
              <w:rPr>
                <w:rFonts w:hint="eastAsia" w:ascii="宋体" w:hAnsi="宋体" w:cs="宋体"/>
                <w:szCs w:val="21"/>
              </w:rPr>
              <w:t>元/时</w:t>
            </w:r>
          </w:p>
          <w:p>
            <w:pPr>
              <w:spacing w:line="360" w:lineRule="auto"/>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4</w:t>
            </w:r>
            <w:r>
              <w:rPr>
                <w:rFonts w:hint="eastAsia" w:ascii="宋体" w:hAnsi="宋体" w:cs="宋体"/>
                <w:szCs w:val="21"/>
              </w:rPr>
              <w:t>元/公里</w:t>
            </w:r>
          </w:p>
        </w:tc>
        <w:tc>
          <w:tcPr>
            <w:tcW w:w="1375" w:type="dxa"/>
            <w:vMerge w:val="continue"/>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jc w:val="center"/>
              <w:rPr>
                <w:rFonts w:ascii="宋体" w:hAnsi="宋体" w:cs="宋体"/>
                <w:szCs w:val="21"/>
              </w:rPr>
            </w:pPr>
          </w:p>
        </w:tc>
        <w:tc>
          <w:tcPr>
            <w:tcW w:w="750" w:type="dxa"/>
            <w:vMerge w:val="continue"/>
            <w:vAlign w:val="center"/>
          </w:tcPr>
          <w:p>
            <w:pPr>
              <w:spacing w:line="360" w:lineRule="auto"/>
              <w:jc w:val="center"/>
              <w:rPr>
                <w:rFonts w:ascii="宋体" w:hAnsi="宋体" w:cs="宋体"/>
                <w:szCs w:val="21"/>
              </w:rPr>
            </w:pPr>
          </w:p>
        </w:tc>
        <w:tc>
          <w:tcPr>
            <w:tcW w:w="2575" w:type="dxa"/>
            <w:vAlign w:val="center"/>
          </w:tcPr>
          <w:p>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pPr>
              <w:spacing w:line="360" w:lineRule="auto"/>
              <w:rPr>
                <w:rFonts w:ascii="宋体" w:hAnsi="宋体" w:cs="宋体"/>
                <w:szCs w:val="21"/>
              </w:rPr>
            </w:pPr>
            <w:r>
              <w:rPr>
                <w:rFonts w:hint="eastAsia" w:ascii="宋体" w:hAnsi="宋体" w:cs="宋体"/>
                <w:szCs w:val="21"/>
              </w:rPr>
              <w:t xml:space="preserve"> 800元/天</w:t>
            </w:r>
          </w:p>
        </w:tc>
        <w:tc>
          <w:tcPr>
            <w:tcW w:w="1903" w:type="dxa"/>
            <w:vMerge w:val="continue"/>
            <w:vAlign w:val="center"/>
          </w:tcPr>
          <w:p>
            <w:pPr>
              <w:spacing w:line="360" w:lineRule="auto"/>
              <w:rPr>
                <w:rFonts w:ascii="宋体" w:hAnsi="宋体" w:cs="宋体"/>
                <w:szCs w:val="21"/>
              </w:rPr>
            </w:pP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jc w:val="center"/>
              <w:rPr>
                <w:rFonts w:ascii="宋体" w:hAnsi="宋体" w:cs="宋体"/>
                <w:szCs w:val="21"/>
              </w:rPr>
            </w:pPr>
          </w:p>
        </w:tc>
        <w:tc>
          <w:tcPr>
            <w:tcW w:w="3325" w:type="dxa"/>
            <w:gridSpan w:val="2"/>
            <w:vAlign w:val="center"/>
          </w:tcPr>
          <w:p>
            <w:pPr>
              <w:pStyle w:val="2"/>
              <w:ind w:left="0" w:leftChars="0" w:firstLine="0" w:firstLineChars="0"/>
              <w:rPr>
                <w:rFonts w:ascii="宋体" w:hAnsi="宋体" w:cs="宋体"/>
                <w:szCs w:val="21"/>
              </w:rPr>
            </w:pPr>
            <w:r>
              <w:rPr>
                <w:rFonts w:hint="eastAsia" w:ascii="宋体" w:hAnsi="宋体" w:cs="宋体"/>
                <w:szCs w:val="21"/>
              </w:rPr>
              <w:t>长途用车（如当天不能往返，每天在外多停留一天另加400元）</w:t>
            </w:r>
          </w:p>
          <w:p>
            <w:pPr>
              <w:spacing w:line="360" w:lineRule="auto"/>
              <w:jc w:val="center"/>
              <w:rPr>
                <w:rFonts w:ascii="宋体" w:hAnsi="宋体" w:cs="宋体"/>
                <w:szCs w:val="21"/>
              </w:rPr>
            </w:pPr>
          </w:p>
        </w:tc>
        <w:tc>
          <w:tcPr>
            <w:tcW w:w="3388" w:type="dxa"/>
            <w:gridSpan w:val="2"/>
            <w:vAlign w:val="center"/>
          </w:tcPr>
          <w:p>
            <w:pPr>
              <w:spacing w:line="360" w:lineRule="auto"/>
              <w:jc w:val="center"/>
              <w:rPr>
                <w:rFonts w:ascii="宋体" w:hAnsi="宋体" w:cs="宋体"/>
                <w:szCs w:val="21"/>
              </w:rPr>
            </w:pPr>
            <w:r>
              <w:rPr>
                <w:rFonts w:hint="eastAsia" w:ascii="宋体" w:hAnsi="宋体" w:cs="宋体"/>
                <w:szCs w:val="21"/>
              </w:rPr>
              <w:t>4元/公里</w:t>
            </w: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pPr>
              <w:spacing w:line="360" w:lineRule="auto"/>
              <w:jc w:val="center"/>
              <w:rPr>
                <w:rFonts w:ascii="宋体" w:hAnsi="宋体" w:cs="宋体"/>
                <w:szCs w:val="21"/>
              </w:rPr>
            </w:pPr>
            <w:r>
              <w:rPr>
                <w:rFonts w:hint="eastAsia" w:ascii="宋体" w:hAnsi="宋体" w:cs="宋体"/>
                <w:szCs w:val="21"/>
              </w:rPr>
              <w:t>3</w:t>
            </w:r>
          </w:p>
        </w:tc>
        <w:tc>
          <w:tcPr>
            <w:tcW w:w="914" w:type="dxa"/>
            <w:vMerge w:val="restart"/>
            <w:vAlign w:val="center"/>
          </w:tcPr>
          <w:p>
            <w:pPr>
              <w:spacing w:line="360" w:lineRule="auto"/>
              <w:rPr>
                <w:rFonts w:ascii="宋体" w:hAnsi="宋体" w:cs="宋体"/>
                <w:szCs w:val="21"/>
              </w:rPr>
            </w:pPr>
            <w:r>
              <w:rPr>
                <w:rFonts w:hint="eastAsia" w:ascii="宋体" w:hAnsi="宋体" w:cs="宋体"/>
                <w:szCs w:val="21"/>
              </w:rPr>
              <w:t>17-30座中巴车</w:t>
            </w:r>
          </w:p>
        </w:tc>
        <w:tc>
          <w:tcPr>
            <w:tcW w:w="750" w:type="dxa"/>
            <w:vMerge w:val="restart"/>
            <w:vAlign w:val="center"/>
          </w:tcPr>
          <w:p>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pPr>
              <w:spacing w:line="360" w:lineRule="auto"/>
              <w:jc w:val="center"/>
              <w:rPr>
                <w:rFonts w:ascii="宋体" w:hAnsi="宋体" w:cs="宋体"/>
                <w:szCs w:val="21"/>
              </w:rPr>
            </w:pPr>
            <w:r>
              <w:rPr>
                <w:rFonts w:hint="eastAsia" w:ascii="宋体" w:hAnsi="宋体" w:cs="宋体"/>
                <w:szCs w:val="21"/>
              </w:rPr>
              <w:t>800元/天</w:t>
            </w:r>
          </w:p>
        </w:tc>
        <w:tc>
          <w:tcPr>
            <w:tcW w:w="1903" w:type="dxa"/>
            <w:vMerge w:val="restart"/>
            <w:vAlign w:val="center"/>
          </w:tcPr>
          <w:p>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30</w:t>
            </w:r>
            <w:r>
              <w:rPr>
                <w:rFonts w:hint="eastAsia" w:ascii="宋体" w:hAnsi="宋体" w:cs="宋体"/>
                <w:szCs w:val="21"/>
              </w:rPr>
              <w:t>元/时</w:t>
            </w:r>
          </w:p>
          <w:p>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5</w:t>
            </w:r>
            <w:r>
              <w:rPr>
                <w:rFonts w:hint="eastAsia" w:ascii="宋体" w:hAnsi="宋体" w:cs="宋体"/>
                <w:szCs w:val="21"/>
              </w:rPr>
              <w:t>元/公里</w:t>
            </w: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rPr>
                <w:rFonts w:ascii="宋体" w:hAnsi="宋体" w:cs="宋体"/>
                <w:szCs w:val="21"/>
              </w:rPr>
            </w:pPr>
          </w:p>
        </w:tc>
        <w:tc>
          <w:tcPr>
            <w:tcW w:w="750" w:type="dxa"/>
            <w:vMerge w:val="continue"/>
            <w:vAlign w:val="center"/>
          </w:tcPr>
          <w:p>
            <w:pPr>
              <w:widowControl/>
              <w:spacing w:line="360" w:lineRule="auto"/>
              <w:rPr>
                <w:rFonts w:ascii="宋体" w:hAnsi="宋体" w:cs="宋体"/>
                <w:szCs w:val="21"/>
              </w:rPr>
            </w:pPr>
          </w:p>
        </w:tc>
        <w:tc>
          <w:tcPr>
            <w:tcW w:w="2575" w:type="dxa"/>
            <w:vAlign w:val="center"/>
          </w:tcPr>
          <w:p>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pPr>
              <w:spacing w:line="360" w:lineRule="auto"/>
              <w:jc w:val="center"/>
              <w:rPr>
                <w:rFonts w:ascii="宋体" w:hAnsi="宋体" w:cs="宋体"/>
                <w:szCs w:val="21"/>
              </w:rPr>
            </w:pPr>
            <w:r>
              <w:rPr>
                <w:rFonts w:hint="eastAsia" w:ascii="宋体" w:hAnsi="宋体" w:cs="宋体"/>
                <w:szCs w:val="21"/>
              </w:rPr>
              <w:t>1000元/天</w:t>
            </w:r>
          </w:p>
        </w:tc>
        <w:tc>
          <w:tcPr>
            <w:tcW w:w="1903" w:type="dxa"/>
            <w:vMerge w:val="continue"/>
            <w:vAlign w:val="center"/>
          </w:tcPr>
          <w:p>
            <w:pPr>
              <w:spacing w:line="360" w:lineRule="auto"/>
              <w:jc w:val="center"/>
              <w:rPr>
                <w:rFonts w:ascii="宋体" w:hAnsi="宋体" w:cs="宋体"/>
                <w:szCs w:val="21"/>
              </w:rPr>
            </w:pP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rPr>
                <w:rFonts w:ascii="宋体" w:hAnsi="宋体" w:cs="宋体"/>
                <w:szCs w:val="21"/>
              </w:rPr>
            </w:pPr>
          </w:p>
        </w:tc>
        <w:tc>
          <w:tcPr>
            <w:tcW w:w="3325" w:type="dxa"/>
            <w:gridSpan w:val="2"/>
            <w:vAlign w:val="center"/>
          </w:tcPr>
          <w:p>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pPr>
              <w:spacing w:line="360" w:lineRule="auto"/>
              <w:jc w:val="center"/>
              <w:rPr>
                <w:rFonts w:ascii="宋体" w:hAnsi="宋体" w:cs="宋体"/>
                <w:szCs w:val="21"/>
              </w:rPr>
            </w:pPr>
            <w:r>
              <w:rPr>
                <w:rFonts w:hint="eastAsia" w:ascii="宋体" w:hAnsi="宋体" w:cs="宋体"/>
                <w:szCs w:val="21"/>
              </w:rPr>
              <w:t>5元/公里</w:t>
            </w: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pPr>
              <w:spacing w:line="360" w:lineRule="auto"/>
              <w:jc w:val="center"/>
              <w:rPr>
                <w:rFonts w:ascii="宋体" w:hAnsi="宋体" w:cs="宋体"/>
                <w:szCs w:val="21"/>
              </w:rPr>
            </w:pPr>
            <w:r>
              <w:rPr>
                <w:rFonts w:hint="eastAsia" w:ascii="宋体" w:hAnsi="宋体" w:cs="宋体"/>
                <w:szCs w:val="21"/>
              </w:rPr>
              <w:t>4</w:t>
            </w:r>
          </w:p>
        </w:tc>
        <w:tc>
          <w:tcPr>
            <w:tcW w:w="914" w:type="dxa"/>
            <w:vMerge w:val="restart"/>
            <w:vAlign w:val="center"/>
          </w:tcPr>
          <w:p>
            <w:pPr>
              <w:spacing w:line="360" w:lineRule="auto"/>
              <w:rPr>
                <w:rFonts w:ascii="宋体" w:hAnsi="宋体" w:cs="宋体"/>
                <w:szCs w:val="21"/>
              </w:rPr>
            </w:pPr>
            <w:r>
              <w:rPr>
                <w:rFonts w:hint="eastAsia" w:ascii="宋体" w:hAnsi="宋体" w:cs="宋体"/>
                <w:szCs w:val="21"/>
              </w:rPr>
              <w:t>42-50座大巴车</w:t>
            </w:r>
          </w:p>
        </w:tc>
        <w:tc>
          <w:tcPr>
            <w:tcW w:w="750" w:type="dxa"/>
            <w:vMerge w:val="restart"/>
            <w:vAlign w:val="center"/>
          </w:tcPr>
          <w:p>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pPr>
              <w:spacing w:line="360" w:lineRule="auto"/>
              <w:jc w:val="center"/>
              <w:rPr>
                <w:rFonts w:ascii="宋体" w:hAnsi="宋体" w:cs="宋体"/>
                <w:szCs w:val="21"/>
              </w:rPr>
            </w:pPr>
            <w:r>
              <w:rPr>
                <w:rFonts w:hint="eastAsia" w:ascii="宋体" w:hAnsi="宋体" w:cs="宋体"/>
                <w:szCs w:val="21"/>
              </w:rPr>
              <w:t>1100元/天</w:t>
            </w:r>
          </w:p>
        </w:tc>
        <w:tc>
          <w:tcPr>
            <w:tcW w:w="1903" w:type="dxa"/>
            <w:vMerge w:val="restart"/>
            <w:vAlign w:val="center"/>
          </w:tcPr>
          <w:p>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40</w:t>
            </w:r>
            <w:r>
              <w:rPr>
                <w:rFonts w:hint="eastAsia" w:ascii="宋体" w:hAnsi="宋体" w:cs="宋体"/>
                <w:szCs w:val="21"/>
              </w:rPr>
              <w:t>元/时</w:t>
            </w:r>
          </w:p>
          <w:p>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7</w:t>
            </w:r>
            <w:r>
              <w:rPr>
                <w:rFonts w:hint="eastAsia" w:ascii="宋体" w:hAnsi="宋体" w:cs="宋体"/>
                <w:szCs w:val="21"/>
              </w:rPr>
              <w:t>元/公里</w:t>
            </w: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rPr>
                <w:rFonts w:ascii="宋体" w:hAnsi="宋体" w:cs="宋体"/>
                <w:szCs w:val="21"/>
              </w:rPr>
            </w:pPr>
          </w:p>
        </w:tc>
        <w:tc>
          <w:tcPr>
            <w:tcW w:w="750" w:type="dxa"/>
            <w:vMerge w:val="continue"/>
            <w:vAlign w:val="center"/>
          </w:tcPr>
          <w:p>
            <w:pPr>
              <w:spacing w:line="360" w:lineRule="auto"/>
              <w:rPr>
                <w:rFonts w:ascii="宋体" w:hAnsi="宋体" w:cs="宋体"/>
                <w:szCs w:val="21"/>
              </w:rPr>
            </w:pPr>
          </w:p>
        </w:tc>
        <w:tc>
          <w:tcPr>
            <w:tcW w:w="2575" w:type="dxa"/>
            <w:vAlign w:val="center"/>
          </w:tcPr>
          <w:p>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pPr>
              <w:spacing w:line="360" w:lineRule="auto"/>
              <w:jc w:val="center"/>
              <w:rPr>
                <w:rFonts w:ascii="宋体" w:hAnsi="宋体" w:cs="宋体"/>
                <w:szCs w:val="21"/>
              </w:rPr>
            </w:pPr>
            <w:r>
              <w:rPr>
                <w:rFonts w:hint="eastAsia" w:ascii="宋体" w:hAnsi="宋体" w:cs="宋体"/>
                <w:szCs w:val="21"/>
              </w:rPr>
              <w:t>1300元/天</w:t>
            </w:r>
          </w:p>
        </w:tc>
        <w:tc>
          <w:tcPr>
            <w:tcW w:w="1903" w:type="dxa"/>
            <w:vMerge w:val="continue"/>
            <w:vAlign w:val="center"/>
          </w:tcPr>
          <w:p>
            <w:pPr>
              <w:spacing w:line="360" w:lineRule="auto"/>
              <w:jc w:val="center"/>
              <w:rPr>
                <w:rFonts w:ascii="宋体" w:hAnsi="宋体" w:cs="宋体"/>
                <w:szCs w:val="21"/>
              </w:rPr>
            </w:pPr>
          </w:p>
        </w:tc>
        <w:tc>
          <w:tcPr>
            <w:tcW w:w="1375" w:type="dxa"/>
            <w:vMerge w:val="continue"/>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30" w:type="dxa"/>
            <w:vMerge w:val="continue"/>
            <w:vAlign w:val="center"/>
          </w:tcPr>
          <w:p>
            <w:pPr>
              <w:spacing w:line="360" w:lineRule="auto"/>
              <w:jc w:val="center"/>
              <w:rPr>
                <w:rFonts w:ascii="宋体" w:hAnsi="宋体" w:cs="宋体"/>
                <w:szCs w:val="21"/>
              </w:rPr>
            </w:pPr>
          </w:p>
        </w:tc>
        <w:tc>
          <w:tcPr>
            <w:tcW w:w="914" w:type="dxa"/>
            <w:vMerge w:val="continue"/>
            <w:vAlign w:val="center"/>
          </w:tcPr>
          <w:p>
            <w:pPr>
              <w:spacing w:line="360" w:lineRule="auto"/>
              <w:rPr>
                <w:rFonts w:ascii="宋体" w:hAnsi="宋体" w:cs="宋体"/>
                <w:szCs w:val="21"/>
              </w:rPr>
            </w:pPr>
          </w:p>
        </w:tc>
        <w:tc>
          <w:tcPr>
            <w:tcW w:w="3325" w:type="dxa"/>
            <w:gridSpan w:val="2"/>
            <w:vAlign w:val="center"/>
          </w:tcPr>
          <w:p>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pPr>
              <w:spacing w:line="360" w:lineRule="auto"/>
              <w:jc w:val="center"/>
              <w:rPr>
                <w:rFonts w:ascii="宋体" w:hAnsi="宋体" w:cs="宋体"/>
                <w:szCs w:val="21"/>
              </w:rPr>
            </w:pPr>
            <w:r>
              <w:rPr>
                <w:rFonts w:hint="eastAsia" w:ascii="宋体" w:hAnsi="宋体" w:cs="宋体"/>
                <w:szCs w:val="21"/>
              </w:rPr>
              <w:t>7元/公里</w:t>
            </w:r>
          </w:p>
        </w:tc>
        <w:tc>
          <w:tcPr>
            <w:tcW w:w="1375" w:type="dxa"/>
            <w:vMerge w:val="continue"/>
            <w:vAlign w:val="center"/>
          </w:tcPr>
          <w:p>
            <w:pPr>
              <w:spacing w:line="360" w:lineRule="auto"/>
              <w:rPr>
                <w:rFonts w:ascii="宋体" w:hAnsi="宋体" w:cs="宋体"/>
                <w:szCs w:val="21"/>
              </w:rPr>
            </w:pPr>
          </w:p>
        </w:tc>
      </w:tr>
    </w:tbl>
    <w:p>
      <w:pPr>
        <w:rPr>
          <w:rFonts w:ascii="宋体" w:hAnsi="宋体" w:cs="宋体"/>
          <w:sz w:val="24"/>
        </w:rPr>
      </w:pPr>
      <w:r>
        <w:rPr>
          <w:rFonts w:hint="eastAsia" w:ascii="宋体" w:hAnsi="宋体" w:cs="宋体"/>
          <w:sz w:val="24"/>
        </w:rPr>
        <w:t>特别说明：</w:t>
      </w:r>
    </w:p>
    <w:p>
      <w:pPr>
        <w:pStyle w:val="2"/>
        <w:numPr>
          <w:ilvl w:val="0"/>
          <w:numId w:val="2"/>
        </w:numPr>
        <w:ind w:left="0" w:leftChars="0" w:firstLine="0" w:firstLineChars="0"/>
        <w:rPr>
          <w:rFonts w:ascii="宋体" w:hAnsi="宋体" w:cs="宋体"/>
          <w:sz w:val="24"/>
        </w:rPr>
      </w:pPr>
      <w:r>
        <w:rPr>
          <w:rFonts w:hint="eastAsia" w:ascii="宋体" w:hAnsi="宋体" w:cs="宋体"/>
          <w:sz w:val="24"/>
        </w:rPr>
        <w:t>市区指安庆市·桐城市辖区内</w:t>
      </w:r>
    </w:p>
    <w:p>
      <w:pPr>
        <w:pStyle w:val="2"/>
        <w:numPr>
          <w:ilvl w:val="0"/>
          <w:numId w:val="2"/>
        </w:numPr>
        <w:ind w:left="0" w:leftChars="0" w:firstLine="0" w:firstLineChars="0"/>
        <w:rPr>
          <w:rFonts w:ascii="宋体" w:hAnsi="宋体" w:cs="宋体"/>
          <w:sz w:val="24"/>
        </w:rPr>
      </w:pPr>
      <w:r>
        <w:rPr>
          <w:rFonts w:hint="eastAsia" w:ascii="宋体" w:hAnsi="宋体" w:cs="宋体"/>
          <w:sz w:val="24"/>
        </w:rPr>
        <w:t>长途用车指安庆市·桐城市辖区外（除安庆市区与合肥市区）</w:t>
      </w:r>
    </w:p>
    <w:p>
      <w:pPr>
        <w:pStyle w:val="2"/>
        <w:numPr>
          <w:ilvl w:val="0"/>
          <w:numId w:val="2"/>
        </w:numPr>
        <w:ind w:left="0" w:leftChars="0" w:firstLine="0" w:firstLineChars="0"/>
        <w:rPr>
          <w:rFonts w:ascii="宋体" w:hAnsi="宋体" w:cs="宋体"/>
          <w:sz w:val="24"/>
        </w:rPr>
      </w:pPr>
      <w:r>
        <w:rPr>
          <w:rFonts w:hint="eastAsia" w:ascii="宋体" w:hAnsi="宋体" w:cs="宋体"/>
          <w:sz w:val="24"/>
        </w:rPr>
        <w:t>往返（一去一回）安庆市区费用：</w:t>
      </w:r>
    </w:p>
    <w:p>
      <w:pPr>
        <w:pStyle w:val="2"/>
        <w:ind w:left="0" w:leftChars="0" w:firstLine="0" w:firstLineChars="0"/>
        <w:rPr>
          <w:rFonts w:ascii="宋体" w:hAnsi="宋体" w:cs="宋体"/>
          <w:sz w:val="24"/>
        </w:rPr>
      </w:pPr>
      <w:r>
        <w:rPr>
          <w:rFonts w:hint="eastAsia" w:ascii="宋体" w:hAnsi="宋体" w:cs="宋体"/>
          <w:sz w:val="24"/>
        </w:rPr>
        <w:t xml:space="preserve">   5座轿车：200KM内，按400元计费，超出200km，每公里按2.5元计费（如当天不能往返，每天在外多停留一天另加300元。）</w:t>
      </w:r>
    </w:p>
    <w:p>
      <w:pPr>
        <w:pStyle w:val="2"/>
        <w:ind w:left="0" w:leftChars="0" w:firstLine="0" w:firstLineChars="0"/>
        <w:rPr>
          <w:rFonts w:ascii="宋体" w:hAnsi="宋体" w:cs="宋体"/>
          <w:sz w:val="24"/>
        </w:rPr>
      </w:pPr>
      <w:r>
        <w:rPr>
          <w:rFonts w:hint="eastAsia" w:ascii="宋体" w:hAnsi="宋体" w:cs="宋体"/>
          <w:sz w:val="24"/>
        </w:rPr>
        <w:t xml:space="preserve">   7-9座商务车：200KM内，按700元计费，超出200km，每公里按4元计费（如当天不能往返，每天在外多停留一天另加400元。）</w:t>
      </w:r>
    </w:p>
    <w:p>
      <w:pPr>
        <w:pStyle w:val="2"/>
        <w:ind w:left="0" w:leftChars="0" w:firstLine="0" w:firstLineChars="0"/>
        <w:rPr>
          <w:rFonts w:ascii="宋体" w:hAnsi="宋体" w:cs="宋体"/>
          <w:sz w:val="24"/>
        </w:rPr>
      </w:pPr>
      <w:r>
        <w:rPr>
          <w:rFonts w:hint="eastAsia" w:ascii="宋体" w:hAnsi="宋体" w:cs="宋体"/>
          <w:sz w:val="24"/>
        </w:rPr>
        <w:t xml:space="preserve">   17-30座中巴车：200KM内，按1300元计费，超出200km，每公里按5元计费</w:t>
      </w:r>
    </w:p>
    <w:p>
      <w:pPr>
        <w:pStyle w:val="2"/>
        <w:ind w:left="0" w:leftChars="0" w:firstLine="0" w:firstLineChars="0"/>
        <w:rPr>
          <w:rFonts w:ascii="宋体" w:hAnsi="宋体" w:cs="宋体"/>
          <w:sz w:val="24"/>
        </w:rPr>
      </w:pPr>
      <w:r>
        <w:rPr>
          <w:rFonts w:hint="eastAsia" w:ascii="宋体" w:hAnsi="宋体" w:cs="宋体"/>
          <w:sz w:val="24"/>
        </w:rPr>
        <w:t xml:space="preserve">   42-50座大巴车：200KM内，按1600元计费，超出200km，每公里按7元计费</w:t>
      </w:r>
    </w:p>
    <w:p>
      <w:pPr>
        <w:pStyle w:val="2"/>
        <w:numPr>
          <w:ilvl w:val="0"/>
          <w:numId w:val="2"/>
        </w:numPr>
        <w:ind w:left="0" w:leftChars="0" w:firstLine="0" w:firstLineChars="0"/>
        <w:rPr>
          <w:rFonts w:ascii="宋体" w:hAnsi="宋体" w:cs="宋体"/>
          <w:sz w:val="24"/>
        </w:rPr>
      </w:pPr>
      <w:r>
        <w:rPr>
          <w:rFonts w:hint="eastAsia" w:ascii="宋体" w:hAnsi="宋体" w:cs="宋体"/>
          <w:sz w:val="24"/>
        </w:rPr>
        <w:t>往返（一去一回）合肥市区费用：</w:t>
      </w:r>
    </w:p>
    <w:p>
      <w:pPr>
        <w:pStyle w:val="2"/>
        <w:ind w:left="0" w:leftChars="0" w:firstLine="0" w:firstLineChars="0"/>
        <w:rPr>
          <w:rFonts w:ascii="宋体" w:hAnsi="宋体" w:cs="宋体"/>
          <w:sz w:val="24"/>
        </w:rPr>
      </w:pPr>
      <w:r>
        <w:rPr>
          <w:rFonts w:hint="eastAsia" w:ascii="宋体" w:hAnsi="宋体" w:cs="宋体"/>
          <w:sz w:val="24"/>
        </w:rPr>
        <w:t xml:space="preserve">   5座轿车：300KM内，按600元计费，超出300km，每公里按2.5元计费（如当天不能往返，每天在外多停留一天另加300元。）</w:t>
      </w:r>
    </w:p>
    <w:p>
      <w:pPr>
        <w:pStyle w:val="2"/>
        <w:ind w:left="0" w:leftChars="0" w:firstLine="0" w:firstLineChars="0"/>
        <w:rPr>
          <w:rFonts w:ascii="宋体" w:hAnsi="宋体" w:cs="宋体"/>
          <w:sz w:val="24"/>
        </w:rPr>
      </w:pPr>
      <w:r>
        <w:rPr>
          <w:rFonts w:hint="eastAsia" w:ascii="宋体" w:hAnsi="宋体" w:cs="宋体"/>
          <w:sz w:val="24"/>
        </w:rPr>
        <w:t xml:space="preserve">   7-9座商务车：300KM内，按900元计费，超出300km，每公里按4元计费（如当天不能往返，每天在外多停留一天另加400元。）</w:t>
      </w:r>
    </w:p>
    <w:p>
      <w:pPr>
        <w:pStyle w:val="2"/>
        <w:ind w:left="0" w:leftChars="0" w:firstLine="0" w:firstLineChars="0"/>
        <w:rPr>
          <w:rFonts w:ascii="宋体" w:hAnsi="宋体" w:cs="宋体"/>
          <w:sz w:val="24"/>
        </w:rPr>
      </w:pPr>
      <w:r>
        <w:rPr>
          <w:rFonts w:hint="eastAsia" w:ascii="宋体" w:hAnsi="宋体" w:cs="宋体"/>
          <w:sz w:val="24"/>
        </w:rPr>
        <w:t xml:space="preserve">   19-30座中巴车：300KM内，按1400元计费，超出300km，每公里按5元计费</w:t>
      </w:r>
    </w:p>
    <w:p>
      <w:pPr>
        <w:pStyle w:val="2"/>
        <w:ind w:left="0" w:leftChars="0" w:firstLine="0" w:firstLineChars="0"/>
        <w:rPr>
          <w:rFonts w:ascii="宋体" w:hAnsi="宋体" w:cs="宋体"/>
          <w:sz w:val="24"/>
        </w:rPr>
      </w:pPr>
      <w:r>
        <w:rPr>
          <w:rFonts w:hint="eastAsia" w:ascii="宋体" w:hAnsi="宋体" w:cs="宋体"/>
          <w:sz w:val="24"/>
        </w:rPr>
        <w:t xml:space="preserve">   42-50座大巴车：300KM内，按1800元计费，超出300km，每公里按7元计费</w:t>
      </w:r>
    </w:p>
    <w:p>
      <w:pPr>
        <w:rPr>
          <w:rFonts w:ascii="宋体" w:hAnsi="宋体" w:cs="宋体"/>
          <w:b/>
          <w:sz w:val="24"/>
        </w:rPr>
      </w:pPr>
      <w:r>
        <w:rPr>
          <w:rFonts w:hint="eastAsia" w:ascii="宋体" w:hAnsi="宋体" w:cs="宋体"/>
          <w:sz w:val="24"/>
        </w:rPr>
        <w:t>五、报价要求</w:t>
      </w:r>
    </w:p>
    <w:p>
      <w:pPr>
        <w:spacing w:line="360" w:lineRule="auto"/>
        <w:ind w:firstLine="240" w:firstLineChars="100"/>
        <w:outlineLvl w:val="1"/>
        <w:rPr>
          <w:rFonts w:ascii="宋体" w:hAnsi="宋体" w:cs="宋体"/>
          <w:kern w:val="0"/>
          <w:sz w:val="24"/>
        </w:rPr>
      </w:pPr>
      <w:r>
        <w:rPr>
          <w:rFonts w:hint="eastAsia" w:ascii="宋体" w:hAnsi="宋体" w:cs="宋体"/>
          <w:sz w:val="24"/>
        </w:rPr>
        <w:t>1、报价采用下浮率形式，单位为百分数，具体比例由供应商结合本单位实际情况进行报价。</w:t>
      </w:r>
    </w:p>
    <w:p>
      <w:pPr>
        <w:spacing w:line="360" w:lineRule="auto"/>
        <w:ind w:firstLine="240" w:firstLineChars="100"/>
        <w:outlineLvl w:val="1"/>
        <w:rPr>
          <w:rFonts w:ascii="宋体" w:hAnsi="宋体" w:cs="宋体"/>
          <w:sz w:val="24"/>
        </w:rPr>
      </w:pPr>
      <w:r>
        <w:rPr>
          <w:rFonts w:hint="eastAsia" w:ascii="宋体" w:hAnsi="宋体" w:cs="宋体"/>
          <w:color w:val="FF0000"/>
          <w:sz w:val="24"/>
        </w:rPr>
        <w:t>2、</w:t>
      </w:r>
      <w:r>
        <w:rPr>
          <w:rFonts w:hint="eastAsia" w:ascii="宋体" w:hAnsi="宋体" w:cs="宋体"/>
          <w:b/>
          <w:bCs/>
          <w:color w:val="FF0000"/>
          <w:sz w:val="24"/>
          <w:u w:val="single"/>
        </w:rPr>
        <w:t>服务合同价应符合公式：合同单价＝最高单价限价×（1-下浮率）。</w:t>
      </w:r>
    </w:p>
    <w:p>
      <w:pPr>
        <w:rPr>
          <w:rFonts w:ascii="宋体" w:hAnsi="宋体" w:cs="宋体"/>
          <w:b/>
          <w:sz w:val="24"/>
        </w:rPr>
      </w:pPr>
      <w:r>
        <w:rPr>
          <w:rFonts w:hint="eastAsia" w:ascii="宋体" w:hAnsi="宋体" w:cs="宋体"/>
          <w:sz w:val="24"/>
        </w:rPr>
        <w:t>六、付款方式</w:t>
      </w:r>
    </w:p>
    <w:p>
      <w:pPr>
        <w:widowControl/>
        <w:shd w:val="clear" w:color="auto" w:fill="FFFFFF"/>
        <w:spacing w:line="360" w:lineRule="auto"/>
        <w:ind w:firstLine="315"/>
        <w:rPr>
          <w:sz w:val="24"/>
        </w:rPr>
      </w:pPr>
      <w:bookmarkStart w:id="6" w:name="_Toc406757123"/>
      <w:bookmarkStart w:id="7" w:name="_Toc406757382"/>
      <w:r>
        <w:rPr>
          <w:rFonts w:hint="eastAsia" w:ascii="宋体" w:hAnsi="宋体" w:cs="宋体"/>
          <w:sz w:val="24"/>
          <w:lang w:val="en-US" w:eastAsia="zh-CN"/>
        </w:rPr>
        <w:t>签订合同后，</w:t>
      </w:r>
      <w:bookmarkStart w:id="8" w:name="_GoBack"/>
      <w:bookmarkEnd w:id="8"/>
      <w:r>
        <w:rPr>
          <w:rFonts w:hint="eastAsia" w:ascii="宋体" w:hAnsi="宋体" w:cs="宋体"/>
          <w:sz w:val="24"/>
        </w:rPr>
        <w:t>按实际使用计算，按</w:t>
      </w:r>
      <w:r>
        <w:rPr>
          <w:rFonts w:hint="eastAsia" w:ascii="宋体" w:hAnsi="宋体" w:cs="宋体"/>
          <w:sz w:val="24"/>
          <w:u w:val="single"/>
        </w:rPr>
        <w:t xml:space="preserve">     （年/月）</w:t>
      </w:r>
      <w:r>
        <w:rPr>
          <w:rFonts w:hint="eastAsia" w:ascii="宋体" w:hAnsi="宋体" w:cs="宋体"/>
          <w:sz w:val="24"/>
        </w:rPr>
        <w:t>支付车辆租赁费用，采购人每月收到中标供应商开具的合规发票后15个工作日内支付上月租金，具体以学校相关部门办理时间为准。</w:t>
      </w:r>
      <w:bookmarkEnd w:id="3"/>
      <w:bookmarkEnd w:id="4"/>
      <w:bookmarkEnd w:id="6"/>
      <w:bookmarkEnd w:id="7"/>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844D"/>
    <w:multiLevelType w:val="singleLevel"/>
    <w:tmpl w:val="9B8E844D"/>
    <w:lvl w:ilvl="0" w:tentative="0">
      <w:start w:val="4"/>
      <w:numFmt w:val="chineseCounting"/>
      <w:suff w:val="nothing"/>
      <w:lvlText w:val="%1、"/>
      <w:lvlJc w:val="left"/>
      <w:rPr>
        <w:rFonts w:hint="eastAsia"/>
      </w:rPr>
    </w:lvl>
  </w:abstractNum>
  <w:abstractNum w:abstractNumId="1">
    <w:nsid w:val="B72DE15B"/>
    <w:multiLevelType w:val="singleLevel"/>
    <w:tmpl w:val="B72DE15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37006CD9"/>
    <w:rsid w:val="00035C0A"/>
    <w:rsid w:val="00BD7A9B"/>
    <w:rsid w:val="00E84DF2"/>
    <w:rsid w:val="1B132D09"/>
    <w:rsid w:val="37006CD9"/>
    <w:rsid w:val="4435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jc w:val="center"/>
      <w:outlineLvl w:val="0"/>
    </w:pPr>
    <w:rPr>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2421</Words>
  <Characters>2665</Characters>
  <Lines>20</Lines>
  <Paragraphs>5</Paragraphs>
  <TotalTime>1</TotalTime>
  <ScaleCrop>false</ScaleCrop>
  <LinksUpToDate>false</LinksUpToDate>
  <CharactersWithSpaces>2708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2022-10-26T00:53:00Z</dcterms:created>
  <dc:creator>品诺酒店用品</dc:creator>
  <cp:lastModifiedBy>品诺酒店用品</cp:lastModifiedBy>
  <cp:lastPrinted>2022-10-26T00:52:00Z</cp:lastPrinted>
  <dcterms:modified xsi:type="dcterms:W3CDTF">2022-11-02T08:12:56Z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FE8E69C443314554AA0A67E522CD9E00</vt:lpwstr>
  </property>
</Properties>
</file>