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pPr w:leftFromText="180" w:rightFromText="180" w:vertAnchor="text" w:horzAnchor="page" w:tblpX="1062" w:tblpY="803"/>
        <w:tblOverlap w:val="never"/>
        <w:tblW w:w="10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65"/>
        <w:gridCol w:w="1872"/>
        <w:gridCol w:w="2037"/>
        <w:gridCol w:w="2375"/>
        <w:gridCol w:w="788"/>
        <w:gridCol w:w="825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品牌/乐器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2楼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美得理/电子琴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电源插排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耳机转接头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美得理/电子琴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md100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耳机转接头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吟飞/电子琴</w:t>
            </w:r>
          </w:p>
        </w:tc>
        <w:tc>
          <w:tcPr>
            <w:tcW w:w="2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TB685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谱架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耳机转接头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58" w:hRule="atLeast"/>
          <w:jc w:val="center"/>
        </w:trPr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美得理/电钢琴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DP-200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转接头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雅马哈/钢琴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YE-121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键皮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1-5楼</w:t>
            </w:r>
          </w:p>
        </w:tc>
        <w:tc>
          <w:tcPr>
            <w:tcW w:w="6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钢琴(教学、学生用琴) 调律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1楼</w:t>
            </w:r>
          </w:p>
        </w:tc>
        <w:tc>
          <w:tcPr>
            <w:tcW w:w="6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音乐厅三角钢琴 调律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9169" w:type="dxa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169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eastAsia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0A6E92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1814</Words>
  <Characters>2505</Characters>
  <Lines>21</Lines>
  <Paragraphs>5</Paragraphs>
  <TotalTime>3</TotalTime>
  <ScaleCrop>false</ScaleCrop>
  <LinksUpToDate>false</LinksUpToDate>
  <CharactersWithSpaces>2662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Administrator</cp:lastModifiedBy>
  <dcterms:modified xsi:type="dcterms:W3CDTF">2022-08-22T07:31:33Z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363AC8F13E8346949A1E0FDC79718392</vt:lpwstr>
  </property>
</Properties>
</file>