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9160D">
      <w:pPr>
        <w:pStyle w:val="5"/>
        <w:rPr>
          <w:rFonts w:hint="eastAsia"/>
          <w:color w:val="auto"/>
          <w:highlight w:val="none"/>
        </w:rPr>
      </w:pPr>
    </w:p>
    <w:p w14:paraId="323A8D0B">
      <w:pPr>
        <w:pStyle w:val="8"/>
        <w:ind w:left="0" w:leftChars="0" w:firstLine="0" w:firstLineChars="0"/>
      </w:pPr>
    </w:p>
    <w:p w14:paraId="4C911E52">
      <w:pPr>
        <w:spacing w:line="360" w:lineRule="auto"/>
        <w:jc w:val="center"/>
        <w:rPr>
          <w:rFonts w:hint="eastAsia" w:ascii="宋体" w:hAnsi="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t>桐城师范高等专科学校2025年大学生</w:t>
      </w:r>
    </w:p>
    <w:p w14:paraId="71EAB638">
      <w:pPr>
        <w:spacing w:line="360" w:lineRule="auto"/>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t>创新大赛指导服务采购项目</w:t>
      </w:r>
    </w:p>
    <w:p w14:paraId="012F5E32">
      <w:pPr>
        <w:pStyle w:val="75"/>
        <w:rPr>
          <w:rFonts w:hint="eastAsia"/>
          <w:color w:val="auto"/>
          <w:highlight w:val="none"/>
        </w:rPr>
      </w:pPr>
    </w:p>
    <w:p w14:paraId="16BD5BFA">
      <w:pPr>
        <w:spacing w:line="480" w:lineRule="exact"/>
        <w:rPr>
          <w:rFonts w:ascii="宋体"/>
          <w:color w:val="auto"/>
          <w:sz w:val="44"/>
          <w:szCs w:val="44"/>
          <w:highlight w:val="none"/>
        </w:rPr>
      </w:pPr>
    </w:p>
    <w:p w14:paraId="2E845CB9">
      <w:pPr>
        <w:pStyle w:val="75"/>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竞争性磋商文件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011</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四川柯锐工程项目管理有限公司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5 </w:t>
      </w:r>
      <w:r>
        <w:rPr>
          <w:rFonts w:hint="eastAsia" w:ascii="宋体" w:hAnsi="宋体" w:cs="仿宋_GB2312"/>
          <w:color w:val="auto"/>
          <w:sz w:val="32"/>
          <w:szCs w:val="32"/>
          <w:highlight w:val="none"/>
        </w:rPr>
        <w:t>月</w:t>
      </w:r>
    </w:p>
    <w:p w14:paraId="215F731B">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25C8186F">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001E67DB">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31405B99">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0400D8FC">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3653854D">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0353F9B9">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，谋取不正当利益的违法行为。 </w:t>
      </w:r>
    </w:p>
    <w:p w14:paraId="0CE87264">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正常工作的黑恶势力。 </w:t>
      </w:r>
    </w:p>
    <w:p w14:paraId="6554B758">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及其家属的违法犯罪行为。 </w:t>
      </w:r>
    </w:p>
    <w:p w14:paraId="28525B3F">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磋商文件</w:t>
      </w:r>
      <w:r>
        <w:rPr>
          <w:rFonts w:hint="eastAsia" w:ascii="宋体" w:hAnsi="宋体" w:cs="宋体"/>
          <w:b/>
          <w:color w:val="auto"/>
          <w:kern w:val="0"/>
          <w:sz w:val="24"/>
          <w:highlight w:val="none"/>
        </w:rPr>
        <w:t xml:space="preserve">条款的违法违规行为。 </w:t>
      </w:r>
    </w:p>
    <w:p w14:paraId="13B4688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磋商小组成员</w:t>
      </w:r>
      <w:r>
        <w:rPr>
          <w:rFonts w:hint="eastAsia" w:ascii="宋体" w:hAnsi="宋体" w:cs="宋体"/>
          <w:b/>
          <w:color w:val="auto"/>
          <w:kern w:val="0"/>
          <w:sz w:val="24"/>
          <w:highlight w:val="none"/>
        </w:rPr>
        <w:t xml:space="preserve">等保密信息。 </w:t>
      </w:r>
    </w:p>
    <w:p w14:paraId="28BD73A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活动。 </w:t>
      </w:r>
    </w:p>
    <w:p w14:paraId="67777F0A">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活动中与黑恶势力勾结，充当保护伞。</w:t>
      </w:r>
    </w:p>
    <w:p w14:paraId="2F5F700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二、请各磋商响应人认真阅读磋商文件，对下述事项予以重视：</w:t>
      </w:r>
    </w:p>
    <w:p w14:paraId="568D69E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B1B0F24">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按照磋商文件要求制作磋商响应文件，磋商响应文件创建标识码、文件制作机器码任一项一致的将不予通过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2D300DB7">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磋商</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4BCBD72D">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磋商</w:t>
      </w:r>
      <w:r>
        <w:rPr>
          <w:rFonts w:hint="eastAsia" w:ascii="宋体" w:hAnsi="宋体" w:cs="宋体"/>
          <w:b/>
          <w:color w:val="auto"/>
          <w:kern w:val="0"/>
          <w:sz w:val="24"/>
          <w:szCs w:val="24"/>
          <w:highlight w:val="none"/>
        </w:rPr>
        <w:t>期间，供应商必须保证联系电话通畅，因供应商通讯不畅造成的不利后果由供应商自行承担。</w:t>
      </w:r>
    </w:p>
    <w:p w14:paraId="26C9F378">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1874E843">
      <w:pPr>
        <w:spacing w:line="480" w:lineRule="exact"/>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lang w:val="zh-CN"/>
        </w:rPr>
        <w:t>录</w:t>
      </w:r>
    </w:p>
    <w:p w14:paraId="36C2C23D">
      <w:pPr>
        <w:pStyle w:val="75"/>
        <w:rPr>
          <w:color w:val="auto"/>
          <w:highlight w:val="none"/>
          <w:lang w:val="zh-CN"/>
        </w:rPr>
      </w:pPr>
    </w:p>
    <w:p w14:paraId="3B01BD6A">
      <w:pPr>
        <w:pStyle w:val="41"/>
        <w:tabs>
          <w:tab w:val="right" w:leader="dot" w:pos="9070"/>
        </w:tabs>
        <w:spacing w:line="360" w:lineRule="auto"/>
        <w:rPr>
          <w:color w:val="auto"/>
          <w:sz w:val="22"/>
          <w:szCs w:val="22"/>
          <w:highlight w:val="none"/>
        </w:rPr>
      </w:pPr>
      <w:bookmarkStart w:id="0" w:name="_Toc54941328"/>
      <w:bookmarkStart w:id="1" w:name="_Toc23467"/>
      <w:bookmarkStart w:id="2" w:name="_Toc21464"/>
      <w:bookmarkStart w:id="3" w:name="_Toc439316870"/>
      <w:r>
        <w:rPr>
          <w:color w:val="auto"/>
          <w:sz w:val="36"/>
          <w:szCs w:val="36"/>
          <w:highlight w:val="none"/>
        </w:rPr>
        <w:fldChar w:fldCharType="begin"/>
      </w:r>
      <w:r>
        <w:rPr>
          <w:color w:val="auto"/>
          <w:sz w:val="36"/>
          <w:szCs w:val="36"/>
          <w:highlight w:val="none"/>
        </w:rPr>
        <w:instrText xml:space="preserve">TOC \o "1-1" \h \u </w:instrText>
      </w:r>
      <w:r>
        <w:rPr>
          <w:color w:val="auto"/>
          <w:sz w:val="36"/>
          <w:szCs w:val="36"/>
          <w:highlight w:val="none"/>
        </w:rPr>
        <w:fldChar w:fldCharType="separate"/>
      </w:r>
      <w:r>
        <w:rPr>
          <w:color w:val="auto"/>
          <w:sz w:val="22"/>
          <w:szCs w:val="36"/>
          <w:highlight w:val="none"/>
        </w:rPr>
        <w:fldChar w:fldCharType="begin"/>
      </w:r>
      <w:r>
        <w:rPr>
          <w:color w:val="auto"/>
          <w:sz w:val="22"/>
          <w:szCs w:val="36"/>
          <w:highlight w:val="none"/>
        </w:rPr>
        <w:instrText xml:space="preserve"> HYPERLINK \l _Toc7432 </w:instrText>
      </w:r>
      <w:r>
        <w:rPr>
          <w:color w:val="auto"/>
          <w:sz w:val="22"/>
          <w:szCs w:val="36"/>
          <w:highlight w:val="none"/>
        </w:rPr>
        <w:fldChar w:fldCharType="separate"/>
      </w:r>
      <w:r>
        <w:rPr>
          <w:rFonts w:hint="eastAsia"/>
          <w:bCs/>
          <w:i w:val="0"/>
          <w:iCs/>
          <w:color w:val="auto"/>
          <w:sz w:val="22"/>
          <w:szCs w:val="40"/>
          <w:highlight w:val="none"/>
        </w:rPr>
        <w:t>第一章</w:t>
      </w:r>
      <w:r>
        <w:rPr>
          <w:bCs/>
          <w:i w:val="0"/>
          <w:iCs/>
          <w:color w:val="auto"/>
          <w:sz w:val="22"/>
          <w:szCs w:val="40"/>
          <w:highlight w:val="none"/>
        </w:rPr>
        <w:t xml:space="preserve">   </w:t>
      </w:r>
      <w:r>
        <w:rPr>
          <w:rFonts w:hint="eastAsia"/>
          <w:bCs/>
          <w:i w:val="0"/>
          <w:iCs/>
          <w:color w:val="auto"/>
          <w:sz w:val="22"/>
          <w:szCs w:val="40"/>
          <w:highlight w:val="none"/>
          <w:lang w:val="en-US" w:eastAsia="zh-CN"/>
        </w:rPr>
        <w:t>磋商</w:t>
      </w:r>
      <w:r>
        <w:rPr>
          <w:rFonts w:hint="eastAsia"/>
          <w:bCs/>
          <w:i w:val="0"/>
          <w:iCs/>
          <w:color w:val="auto"/>
          <w:sz w:val="22"/>
          <w:szCs w:val="40"/>
          <w:highlight w:val="none"/>
        </w:rPr>
        <w:t>公告</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_Toc7432 \h </w:instrText>
      </w:r>
      <w:r>
        <w:rPr>
          <w:color w:val="auto"/>
          <w:sz w:val="22"/>
          <w:szCs w:val="22"/>
          <w:highlight w:val="none"/>
        </w:rPr>
        <w:fldChar w:fldCharType="separate"/>
      </w:r>
      <w:r>
        <w:rPr>
          <w:color w:val="auto"/>
          <w:sz w:val="22"/>
          <w:szCs w:val="22"/>
          <w:highlight w:val="none"/>
        </w:rPr>
        <w:t>1</w:t>
      </w:r>
      <w:r>
        <w:rPr>
          <w:color w:val="auto"/>
          <w:sz w:val="22"/>
          <w:szCs w:val="22"/>
          <w:highlight w:val="none"/>
        </w:rPr>
        <w:fldChar w:fldCharType="end"/>
      </w:r>
      <w:r>
        <w:rPr>
          <w:color w:val="auto"/>
          <w:sz w:val="22"/>
          <w:szCs w:val="36"/>
          <w:highlight w:val="none"/>
        </w:rPr>
        <w:fldChar w:fldCharType="end"/>
      </w:r>
    </w:p>
    <w:p w14:paraId="0E827F92">
      <w:pPr>
        <w:pStyle w:val="41"/>
        <w:tabs>
          <w:tab w:val="right" w:leader="dot" w:pos="9070"/>
        </w:tabs>
        <w:spacing w:line="360" w:lineRule="auto"/>
        <w:rPr>
          <w:color w:val="auto"/>
          <w:sz w:val="22"/>
          <w:szCs w:val="22"/>
          <w:highlight w:val="none"/>
        </w:rPr>
      </w:pPr>
      <w:r>
        <w:rPr>
          <w:color w:val="auto"/>
          <w:sz w:val="22"/>
          <w:szCs w:val="36"/>
          <w:highlight w:val="none"/>
        </w:rPr>
        <w:fldChar w:fldCharType="begin"/>
      </w:r>
      <w:r>
        <w:rPr>
          <w:color w:val="auto"/>
          <w:sz w:val="22"/>
          <w:szCs w:val="36"/>
          <w:highlight w:val="none"/>
        </w:rPr>
        <w:instrText xml:space="preserve"> HYPERLINK \l _Toc11266 </w:instrText>
      </w:r>
      <w:r>
        <w:rPr>
          <w:color w:val="auto"/>
          <w:sz w:val="22"/>
          <w:szCs w:val="36"/>
          <w:highlight w:val="none"/>
        </w:rPr>
        <w:fldChar w:fldCharType="separate"/>
      </w:r>
      <w:r>
        <w:rPr>
          <w:rFonts w:hint="eastAsia" w:ascii="Arial" w:hAnsi="Arial"/>
          <w:color w:val="auto"/>
          <w:kern w:val="2"/>
          <w:sz w:val="22"/>
          <w:szCs w:val="40"/>
          <w:highlight w:val="none"/>
        </w:rPr>
        <w:t>第二章</w:t>
      </w:r>
      <w:r>
        <w:rPr>
          <w:rFonts w:ascii="Arial" w:hAnsi="Arial"/>
          <w:color w:val="auto"/>
          <w:kern w:val="2"/>
          <w:sz w:val="22"/>
          <w:szCs w:val="40"/>
          <w:highlight w:val="none"/>
        </w:rPr>
        <w:t xml:space="preserve">   </w:t>
      </w:r>
      <w:r>
        <w:rPr>
          <w:rFonts w:hint="eastAsia" w:ascii="Arial" w:hAnsi="Arial"/>
          <w:color w:val="auto"/>
          <w:kern w:val="2"/>
          <w:sz w:val="22"/>
          <w:szCs w:val="40"/>
          <w:highlight w:val="none"/>
          <w:lang w:val="en-US" w:eastAsia="zh-CN"/>
        </w:rPr>
        <w:t>竞争性</w:t>
      </w:r>
      <w:r>
        <w:rPr>
          <w:rFonts w:hint="eastAsia" w:ascii="Arial" w:hAnsi="Arial"/>
          <w:color w:val="auto"/>
          <w:kern w:val="2"/>
          <w:sz w:val="22"/>
          <w:szCs w:val="40"/>
          <w:highlight w:val="none"/>
        </w:rPr>
        <w:t>磋商须知</w:t>
      </w:r>
      <w:r>
        <w:rPr>
          <w:color w:val="auto"/>
          <w:sz w:val="22"/>
          <w:szCs w:val="22"/>
          <w:highlight w:val="none"/>
        </w:rPr>
        <w:tab/>
      </w:r>
      <w:r>
        <w:rPr>
          <w:rFonts w:hint="eastAsia"/>
          <w:color w:val="auto"/>
          <w:sz w:val="22"/>
          <w:szCs w:val="22"/>
          <w:highlight w:val="none"/>
          <w:lang w:val="en-US" w:eastAsia="zh-CN"/>
        </w:rPr>
        <w:t>3</w:t>
      </w:r>
      <w:r>
        <w:rPr>
          <w:color w:val="auto"/>
          <w:sz w:val="22"/>
          <w:szCs w:val="36"/>
          <w:highlight w:val="none"/>
        </w:rPr>
        <w:fldChar w:fldCharType="end"/>
      </w:r>
    </w:p>
    <w:p w14:paraId="6D2CF1E8">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_Toc12353 </w:instrText>
      </w:r>
      <w:r>
        <w:rPr>
          <w:color w:val="auto"/>
          <w:sz w:val="22"/>
          <w:szCs w:val="36"/>
          <w:highlight w:val="none"/>
        </w:rPr>
        <w:fldChar w:fldCharType="separate"/>
      </w:r>
      <w:r>
        <w:rPr>
          <w:rFonts w:hint="eastAsia" w:ascii="Arial" w:hAnsi="Arial"/>
          <w:bCs/>
          <w:color w:val="auto"/>
          <w:kern w:val="2"/>
          <w:sz w:val="22"/>
          <w:szCs w:val="40"/>
          <w:highlight w:val="none"/>
          <w:lang w:val="en-US" w:eastAsia="zh-CN"/>
        </w:rPr>
        <w:t>第三章</w:t>
      </w:r>
      <w:r>
        <w:rPr>
          <w:rFonts w:hint="eastAsia" w:ascii="Arial" w:hAnsi="Arial"/>
          <w:color w:val="auto"/>
          <w:kern w:val="2"/>
          <w:sz w:val="22"/>
          <w:szCs w:val="40"/>
          <w:highlight w:val="none"/>
          <w:lang w:val="en-US" w:eastAsia="zh-CN"/>
        </w:rPr>
        <w:t xml:space="preserve">   </w:t>
      </w:r>
      <w:r>
        <w:rPr>
          <w:rFonts w:hint="eastAsia" w:ascii="宋体" w:hAnsi="宋体" w:cs="宋体"/>
          <w:bCs w:val="0"/>
          <w:color w:val="auto"/>
          <w:sz w:val="22"/>
          <w:szCs w:val="36"/>
          <w:highlight w:val="none"/>
          <w:lang w:val="en-US" w:eastAsia="zh-CN"/>
        </w:rPr>
        <w:t>采购需求</w:t>
      </w:r>
      <w:r>
        <w:rPr>
          <w:color w:val="auto"/>
          <w:sz w:val="22"/>
          <w:szCs w:val="22"/>
          <w:highlight w:val="none"/>
        </w:rPr>
        <w:tab/>
      </w:r>
      <w:r>
        <w:rPr>
          <w:rFonts w:hint="eastAsia"/>
          <w:color w:val="auto"/>
          <w:sz w:val="22"/>
          <w:szCs w:val="22"/>
          <w:highlight w:val="none"/>
          <w:lang w:val="en-US" w:eastAsia="zh-CN"/>
        </w:rPr>
        <w:t>1</w:t>
      </w:r>
      <w:r>
        <w:rPr>
          <w:color w:val="auto"/>
          <w:sz w:val="22"/>
          <w:szCs w:val="36"/>
          <w:highlight w:val="none"/>
        </w:rPr>
        <w:fldChar w:fldCharType="end"/>
      </w:r>
      <w:r>
        <w:rPr>
          <w:rFonts w:hint="eastAsia"/>
          <w:color w:val="auto"/>
          <w:sz w:val="22"/>
          <w:szCs w:val="36"/>
          <w:highlight w:val="none"/>
          <w:lang w:val="en-US" w:eastAsia="zh-CN"/>
        </w:rPr>
        <w:t>7</w:t>
      </w:r>
    </w:p>
    <w:p w14:paraId="504EC52C">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_Toc16371 </w:instrText>
      </w:r>
      <w:r>
        <w:rPr>
          <w:color w:val="auto"/>
          <w:sz w:val="22"/>
          <w:szCs w:val="36"/>
          <w:highlight w:val="none"/>
        </w:rPr>
        <w:fldChar w:fldCharType="separate"/>
      </w:r>
      <w:r>
        <w:rPr>
          <w:rFonts w:hint="eastAsia" w:ascii="Arial" w:hAnsi="Arial"/>
          <w:color w:val="auto"/>
          <w:kern w:val="2"/>
          <w:sz w:val="22"/>
          <w:szCs w:val="40"/>
          <w:highlight w:val="none"/>
          <w:lang w:val="en-US" w:eastAsia="zh-CN"/>
        </w:rPr>
        <w:t>第四章   评</w:t>
      </w:r>
      <w:r>
        <w:rPr>
          <w:rFonts w:hint="eastAsia" w:ascii="Arial" w:hAnsi="Arial"/>
          <w:strike w:val="0"/>
          <w:dstrike w:val="0"/>
          <w:color w:val="auto"/>
          <w:kern w:val="2"/>
          <w:sz w:val="22"/>
          <w:szCs w:val="40"/>
          <w:highlight w:val="none"/>
          <w:lang w:val="en-US" w:eastAsia="zh-CN"/>
        </w:rPr>
        <w:t>审方</w:t>
      </w:r>
      <w:r>
        <w:rPr>
          <w:rFonts w:hint="eastAsia" w:ascii="Arial" w:hAnsi="Arial"/>
          <w:color w:val="auto"/>
          <w:kern w:val="2"/>
          <w:sz w:val="22"/>
          <w:szCs w:val="40"/>
          <w:highlight w:val="none"/>
          <w:lang w:val="en-US" w:eastAsia="zh-CN"/>
        </w:rPr>
        <w:t>法与标准</w:t>
      </w:r>
      <w:r>
        <w:rPr>
          <w:color w:val="auto"/>
          <w:sz w:val="22"/>
          <w:szCs w:val="22"/>
          <w:highlight w:val="none"/>
        </w:rPr>
        <w:tab/>
      </w:r>
      <w:r>
        <w:rPr>
          <w:rFonts w:hint="eastAsia"/>
          <w:color w:val="auto"/>
          <w:sz w:val="22"/>
          <w:szCs w:val="22"/>
          <w:highlight w:val="none"/>
          <w:lang w:val="en-US" w:eastAsia="zh-CN"/>
        </w:rPr>
        <w:t>2</w:t>
      </w:r>
      <w:r>
        <w:rPr>
          <w:color w:val="auto"/>
          <w:sz w:val="22"/>
          <w:szCs w:val="36"/>
          <w:highlight w:val="none"/>
        </w:rPr>
        <w:fldChar w:fldCharType="end"/>
      </w:r>
      <w:r>
        <w:rPr>
          <w:rFonts w:hint="eastAsia"/>
          <w:color w:val="auto"/>
          <w:sz w:val="22"/>
          <w:szCs w:val="36"/>
          <w:highlight w:val="none"/>
          <w:lang w:val="en-US" w:eastAsia="zh-CN"/>
        </w:rPr>
        <w:t>0</w:t>
      </w:r>
    </w:p>
    <w:p w14:paraId="73D10867">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_Toc27586 </w:instrText>
      </w:r>
      <w:r>
        <w:rPr>
          <w:color w:val="auto"/>
          <w:sz w:val="22"/>
          <w:szCs w:val="36"/>
          <w:highlight w:val="none"/>
        </w:rPr>
        <w:fldChar w:fldCharType="separate"/>
      </w:r>
      <w:r>
        <w:rPr>
          <w:rFonts w:hint="eastAsia"/>
          <w:color w:val="auto"/>
          <w:sz w:val="22"/>
          <w:szCs w:val="22"/>
          <w:highlight w:val="none"/>
          <w:lang w:val="en-US" w:eastAsia="zh-CN"/>
        </w:rPr>
        <w:t xml:space="preserve">第五章   </w:t>
      </w:r>
      <w:r>
        <w:rPr>
          <w:rFonts w:hint="eastAsia"/>
          <w:color w:val="auto"/>
          <w:sz w:val="22"/>
          <w:szCs w:val="22"/>
          <w:highlight w:val="none"/>
        </w:rPr>
        <w:t>政府采购合同主要条款</w:t>
      </w:r>
      <w:r>
        <w:rPr>
          <w:color w:val="auto"/>
          <w:sz w:val="22"/>
          <w:szCs w:val="22"/>
          <w:highlight w:val="none"/>
        </w:rPr>
        <w:tab/>
      </w:r>
      <w:r>
        <w:rPr>
          <w:rFonts w:hint="eastAsia"/>
          <w:color w:val="auto"/>
          <w:sz w:val="22"/>
          <w:szCs w:val="22"/>
          <w:highlight w:val="none"/>
          <w:lang w:val="en-US" w:eastAsia="zh-CN"/>
        </w:rPr>
        <w:t>2</w:t>
      </w:r>
      <w:r>
        <w:rPr>
          <w:color w:val="auto"/>
          <w:sz w:val="22"/>
          <w:szCs w:val="36"/>
          <w:highlight w:val="none"/>
        </w:rPr>
        <w:fldChar w:fldCharType="end"/>
      </w:r>
      <w:r>
        <w:rPr>
          <w:rFonts w:hint="eastAsia"/>
          <w:color w:val="auto"/>
          <w:sz w:val="22"/>
          <w:szCs w:val="36"/>
          <w:highlight w:val="none"/>
          <w:lang w:val="en-US" w:eastAsia="zh-CN"/>
        </w:rPr>
        <w:t>4</w:t>
      </w:r>
    </w:p>
    <w:p w14:paraId="7513AA6B">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_Toc1812 </w:instrText>
      </w:r>
      <w:r>
        <w:rPr>
          <w:color w:val="auto"/>
          <w:sz w:val="22"/>
          <w:szCs w:val="36"/>
          <w:highlight w:val="none"/>
        </w:rPr>
        <w:fldChar w:fldCharType="separate"/>
      </w:r>
      <w:r>
        <w:rPr>
          <w:rFonts w:hint="eastAsia" w:ascii="Arial" w:hAnsi="Arial"/>
          <w:color w:val="auto"/>
          <w:kern w:val="2"/>
          <w:sz w:val="22"/>
          <w:szCs w:val="44"/>
          <w:highlight w:val="none"/>
          <w:lang w:val="zh-CN"/>
        </w:rPr>
        <w:t>第</w:t>
      </w:r>
      <w:r>
        <w:rPr>
          <w:rFonts w:hint="eastAsia" w:ascii="Arial" w:hAnsi="Arial"/>
          <w:color w:val="auto"/>
          <w:kern w:val="2"/>
          <w:sz w:val="22"/>
          <w:szCs w:val="44"/>
          <w:highlight w:val="none"/>
          <w:lang w:val="en-US" w:eastAsia="zh-CN"/>
        </w:rPr>
        <w:t>六</w:t>
      </w:r>
      <w:r>
        <w:rPr>
          <w:rFonts w:hint="eastAsia" w:ascii="Arial" w:hAnsi="Arial"/>
          <w:color w:val="auto"/>
          <w:kern w:val="2"/>
          <w:sz w:val="22"/>
          <w:szCs w:val="44"/>
          <w:highlight w:val="none"/>
          <w:lang w:val="zh-CN"/>
        </w:rPr>
        <w:t>章</w:t>
      </w:r>
      <w:r>
        <w:rPr>
          <w:rFonts w:ascii="Arial" w:hAnsi="Arial"/>
          <w:color w:val="auto"/>
          <w:kern w:val="2"/>
          <w:sz w:val="22"/>
          <w:szCs w:val="44"/>
          <w:highlight w:val="none"/>
          <w:lang w:val="zh-CN"/>
        </w:rPr>
        <w:t xml:space="preserve"> </w:t>
      </w:r>
      <w:r>
        <w:rPr>
          <w:rFonts w:hint="eastAsia" w:ascii="Arial" w:hAnsi="Arial"/>
          <w:color w:val="auto"/>
          <w:kern w:val="2"/>
          <w:sz w:val="22"/>
          <w:szCs w:val="44"/>
          <w:highlight w:val="none"/>
          <w:lang w:val="en-US" w:eastAsia="zh-CN"/>
        </w:rPr>
        <w:t xml:space="preserve"> </w:t>
      </w:r>
      <w:r>
        <w:rPr>
          <w:rFonts w:ascii="Arial" w:hAnsi="Arial"/>
          <w:color w:val="auto"/>
          <w:kern w:val="2"/>
          <w:sz w:val="22"/>
          <w:szCs w:val="44"/>
          <w:highlight w:val="none"/>
          <w:lang w:val="zh-CN"/>
        </w:rPr>
        <w:t xml:space="preserve"> </w:t>
      </w:r>
      <w:r>
        <w:rPr>
          <w:rFonts w:hint="eastAsia" w:ascii="Arial" w:hAnsi="Arial"/>
          <w:color w:val="auto"/>
          <w:kern w:val="2"/>
          <w:sz w:val="22"/>
          <w:szCs w:val="44"/>
          <w:highlight w:val="none"/>
        </w:rPr>
        <w:t>响应文件格式</w:t>
      </w:r>
      <w:r>
        <w:rPr>
          <w:color w:val="auto"/>
          <w:sz w:val="22"/>
          <w:szCs w:val="22"/>
          <w:highlight w:val="none"/>
        </w:rPr>
        <w:tab/>
      </w:r>
      <w:r>
        <w:rPr>
          <w:rFonts w:hint="eastAsia"/>
          <w:color w:val="auto"/>
          <w:sz w:val="22"/>
          <w:szCs w:val="22"/>
          <w:highlight w:val="none"/>
          <w:lang w:val="en-US" w:eastAsia="zh-CN"/>
        </w:rPr>
        <w:t>2</w:t>
      </w:r>
      <w:r>
        <w:rPr>
          <w:color w:val="auto"/>
          <w:sz w:val="22"/>
          <w:szCs w:val="36"/>
          <w:highlight w:val="none"/>
        </w:rPr>
        <w:fldChar w:fldCharType="end"/>
      </w:r>
      <w:r>
        <w:rPr>
          <w:rFonts w:hint="eastAsia"/>
          <w:color w:val="auto"/>
          <w:sz w:val="22"/>
          <w:szCs w:val="36"/>
          <w:highlight w:val="none"/>
          <w:lang w:val="en-US" w:eastAsia="zh-CN"/>
        </w:rPr>
        <w:t>8</w:t>
      </w:r>
    </w:p>
    <w:p w14:paraId="12B258E8">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_Toc2700 </w:instrText>
      </w:r>
      <w:r>
        <w:rPr>
          <w:color w:val="auto"/>
          <w:sz w:val="22"/>
          <w:szCs w:val="36"/>
          <w:highlight w:val="none"/>
        </w:rPr>
        <w:fldChar w:fldCharType="separate"/>
      </w:r>
      <w:r>
        <w:rPr>
          <w:rFonts w:hint="eastAsia"/>
          <w:color w:val="auto"/>
          <w:sz w:val="22"/>
          <w:szCs w:val="22"/>
          <w:highlight w:val="none"/>
          <w:lang w:val="en-US" w:eastAsia="zh-CN"/>
        </w:rPr>
        <w:t xml:space="preserve">第七章   </w:t>
      </w:r>
      <w:r>
        <w:rPr>
          <w:rFonts w:hint="eastAsia"/>
          <w:color w:val="auto"/>
          <w:sz w:val="22"/>
          <w:szCs w:val="22"/>
          <w:highlight w:val="none"/>
        </w:rPr>
        <w:t>政府采购供应商质疑函范本</w:t>
      </w:r>
      <w:r>
        <w:rPr>
          <w:color w:val="auto"/>
          <w:sz w:val="22"/>
          <w:szCs w:val="22"/>
          <w:highlight w:val="none"/>
        </w:rPr>
        <w:tab/>
      </w:r>
      <w:r>
        <w:rPr>
          <w:rFonts w:hint="eastAsia"/>
          <w:color w:val="auto"/>
          <w:sz w:val="22"/>
          <w:szCs w:val="22"/>
          <w:highlight w:val="none"/>
          <w:lang w:val="en-US" w:eastAsia="zh-CN"/>
        </w:rPr>
        <w:t>4</w:t>
      </w:r>
      <w:r>
        <w:rPr>
          <w:color w:val="auto"/>
          <w:sz w:val="22"/>
          <w:szCs w:val="36"/>
          <w:highlight w:val="none"/>
        </w:rPr>
        <w:fldChar w:fldCharType="end"/>
      </w:r>
      <w:r>
        <w:rPr>
          <w:rFonts w:hint="eastAsia"/>
          <w:color w:val="auto"/>
          <w:sz w:val="22"/>
          <w:szCs w:val="36"/>
          <w:highlight w:val="none"/>
          <w:lang w:val="en-US" w:eastAsia="zh-CN"/>
        </w:rPr>
        <w:t>0</w:t>
      </w:r>
    </w:p>
    <w:p w14:paraId="78CE17F4">
      <w:pPr>
        <w:pStyle w:val="30"/>
        <w:tabs>
          <w:tab w:val="right" w:leader="dot" w:pos="9060"/>
        </w:tabs>
        <w:spacing w:line="360" w:lineRule="auto"/>
        <w:rPr>
          <w:color w:val="auto"/>
          <w:szCs w:val="21"/>
          <w:highlight w:val="none"/>
        </w:rPr>
        <w:sectPr>
          <w:headerReference r:id="rId3" w:type="default"/>
          <w:footerReference r:id="rId4" w:type="default"/>
          <w:pgSz w:w="11906" w:h="16838"/>
          <w:pgMar w:top="1418" w:right="1418" w:bottom="1418" w:left="1418" w:header="851" w:footer="680" w:gutter="0"/>
          <w:pgNumType w:fmt="koreanDigital" w:start="0"/>
          <w:cols w:space="720" w:num="1"/>
          <w:docGrid w:linePitch="290" w:charSpace="0"/>
        </w:sectPr>
      </w:pPr>
      <w:r>
        <w:rPr>
          <w:color w:val="auto"/>
          <w:sz w:val="22"/>
          <w:szCs w:val="36"/>
          <w:highlight w:val="none"/>
        </w:rPr>
        <w:fldChar w:fldCharType="end"/>
      </w:r>
      <w:bookmarkStart w:id="4" w:name="_Toc7432"/>
    </w:p>
    <w:p w14:paraId="165436F1">
      <w:pPr>
        <w:pStyle w:val="30"/>
        <w:tabs>
          <w:tab w:val="right" w:leader="dot" w:pos="9060"/>
        </w:tabs>
        <w:spacing w:line="360" w:lineRule="auto"/>
        <w:jc w:val="center"/>
        <w:rPr>
          <w:rFonts w:ascii="Arial" w:hAnsi="Arial"/>
          <w:b/>
          <w:bCs/>
          <w:i w:val="0"/>
          <w:iCs/>
          <w:color w:val="auto"/>
          <w:sz w:val="32"/>
          <w:szCs w:val="32"/>
          <w:highlight w:val="none"/>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rPr>
        <w:t>磋商公告</w:t>
      </w:r>
    </w:p>
    <w:p w14:paraId="638FCB1E">
      <w:pPr>
        <w:jc w:val="center"/>
        <w:rPr>
          <w:rFonts w:hint="default" w:ascii="华文中宋" w:hAnsi="华文中宋" w:eastAsia="华文中宋"/>
          <w:b w:val="0"/>
          <w:bCs w:val="0"/>
          <w:color w:val="auto"/>
          <w:kern w:val="44"/>
          <w:sz w:val="32"/>
          <w:szCs w:val="32"/>
          <w:highlight w:val="none"/>
          <w:lang w:val="en-US" w:eastAsia="zh-CN"/>
        </w:rPr>
      </w:pPr>
      <w:bookmarkStart w:id="5" w:name="_Toc28359011"/>
      <w:bookmarkStart w:id="6" w:name="_Toc35393797"/>
      <w:r>
        <w:rPr>
          <w:rFonts w:hint="eastAsia" w:ascii="华文中宋" w:hAnsi="华文中宋" w:eastAsia="华文中宋"/>
          <w:b w:val="0"/>
          <w:bCs w:val="0"/>
          <w:color w:val="auto"/>
          <w:kern w:val="44"/>
          <w:sz w:val="32"/>
          <w:szCs w:val="32"/>
          <w:highlight w:val="none"/>
          <w:lang w:val="en-US" w:eastAsia="zh-CN"/>
        </w:rPr>
        <w:t xml:space="preserve"> </w:t>
      </w:r>
      <w:bookmarkEnd w:id="5"/>
      <w:bookmarkEnd w:id="6"/>
      <w:r>
        <w:rPr>
          <w:rFonts w:hint="eastAsia" w:ascii="华文中宋" w:hAnsi="华文中宋" w:eastAsia="华文中宋"/>
          <w:b w:val="0"/>
          <w:bCs w:val="0"/>
          <w:color w:val="auto"/>
          <w:kern w:val="44"/>
          <w:sz w:val="28"/>
          <w:szCs w:val="28"/>
          <w:highlight w:val="none"/>
          <w:lang w:val="en-US" w:eastAsia="zh-CN"/>
        </w:rPr>
        <w:t>桐城师范高等专科学校2025年大学生创新大赛指导服务采购项目</w:t>
      </w:r>
    </w:p>
    <w:p w14:paraId="69B8728E">
      <w:pPr>
        <w:jc w:val="center"/>
        <w:rPr>
          <w:rFonts w:hint="eastAsia" w:ascii="华文中宋" w:hAnsi="华文中宋" w:eastAsia="华文中宋"/>
          <w:b w:val="0"/>
          <w:bCs w:val="0"/>
          <w:color w:val="auto"/>
          <w:kern w:val="44"/>
          <w:sz w:val="28"/>
          <w:szCs w:val="28"/>
          <w:highlight w:val="none"/>
          <w:lang w:val="en-US" w:eastAsia="zh-CN"/>
        </w:rPr>
      </w:pPr>
      <w:r>
        <w:rPr>
          <w:rFonts w:hint="eastAsia" w:ascii="华文中宋" w:hAnsi="华文中宋" w:eastAsia="华文中宋"/>
          <w:b w:val="0"/>
          <w:bCs w:val="0"/>
          <w:color w:val="auto"/>
          <w:kern w:val="44"/>
          <w:sz w:val="28"/>
          <w:szCs w:val="28"/>
          <w:highlight w:val="none"/>
          <w:lang w:val="en-US" w:eastAsia="zh-CN"/>
        </w:rPr>
        <w:t>竞争性磋商公告</w:t>
      </w:r>
    </w:p>
    <w:tbl>
      <w:tblPr>
        <w:tblStyle w:val="6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color w:val="333333"/>
                <w:sz w:val="27"/>
                <w:szCs w:val="27"/>
              </w:rPr>
            </w:pPr>
            <w:bookmarkStart w:id="7" w:name="OLE_LINK2"/>
            <w:bookmarkStart w:id="8" w:name="OLE_LINK7"/>
            <w:bookmarkStart w:id="9" w:name="OLE_LINK1"/>
            <w:r>
              <w:rPr>
                <w:rFonts w:ascii="仿宋" w:hAnsi="仿宋" w:eastAsia="仿宋" w:cs="仿宋"/>
                <w:color w:val="333333"/>
                <w:kern w:val="0"/>
                <w:sz w:val="27"/>
                <w:szCs w:val="27"/>
                <w:lang w:val="en-US" w:eastAsia="zh-CN" w:bidi="ar"/>
              </w:rPr>
              <w:t>项目概况</w:t>
            </w:r>
          </w:p>
          <w:p w14:paraId="78714DE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 xml:space="preserve">桐城师范高等专科学校2025年大学生创新大赛指导服务采购项目 </w:t>
            </w:r>
            <w:r>
              <w:rPr>
                <w:rFonts w:hint="eastAsia" w:ascii="仿宋" w:hAnsi="仿宋" w:eastAsia="仿宋" w:cs="仿宋"/>
                <w:color w:val="333333"/>
                <w:kern w:val="0"/>
                <w:sz w:val="27"/>
                <w:szCs w:val="27"/>
                <w:lang w:val="en-US" w:eastAsia="zh-CN" w:bidi="ar"/>
              </w:rPr>
              <w:t>的潜在供应商应在桐城师范高等专科学校官网获取采购文件，并于2025年6月4日9时00分（北京时间）前提交响应文件。</w:t>
            </w:r>
            <w:r>
              <w:rPr>
                <w:rFonts w:asciiTheme="minorHAnsi" w:hAnsiTheme="minorHAnsi" w:eastAsiaTheme="minorEastAsia" w:cstheme="minorBidi"/>
                <w:color w:val="333333"/>
                <w:kern w:val="0"/>
                <w:sz w:val="27"/>
                <w:szCs w:val="27"/>
                <w:lang w:val="en-US" w:eastAsia="zh-CN" w:bidi="ar"/>
              </w:rPr>
              <w:t> </w:t>
            </w:r>
          </w:p>
        </w:tc>
      </w:tr>
      <w:bookmarkEnd w:id="7"/>
    </w:tbl>
    <w:p w14:paraId="61B2FCFB">
      <w:pPr>
        <w:rPr>
          <w:color w:val="auto"/>
          <w:szCs w:val="21"/>
          <w:highlight w:val="none"/>
        </w:rPr>
      </w:pPr>
    </w:p>
    <w:p w14:paraId="64B8DB27">
      <w:pPr>
        <w:rPr>
          <w:rFonts w:ascii="黑体" w:hAnsi="黑体" w:eastAsia="黑体" w:cs="宋体"/>
          <w:bCs/>
          <w:color w:val="auto"/>
          <w:sz w:val="28"/>
          <w:szCs w:val="28"/>
          <w:highlight w:val="none"/>
        </w:rPr>
      </w:pPr>
      <w:bookmarkStart w:id="10" w:name="_Toc35393798"/>
      <w:bookmarkStart w:id="11" w:name="_Toc28359089"/>
      <w:bookmarkStart w:id="12" w:name="_Toc28359012"/>
      <w:bookmarkStart w:id="13" w:name="_Toc35393629"/>
      <w:r>
        <w:rPr>
          <w:rFonts w:hint="eastAsia" w:ascii="黑体" w:hAnsi="黑体" w:eastAsia="黑体" w:cs="宋体"/>
          <w:bCs/>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011</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桐城师范高等专科学校2025年大学生创新大赛指导服务采购项目</w:t>
      </w:r>
    </w:p>
    <w:p w14:paraId="6253FAF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磋商</w:t>
      </w:r>
    </w:p>
    <w:p w14:paraId="1FD4AF7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150000元</w:t>
      </w:r>
    </w:p>
    <w:p w14:paraId="1756907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150000元</w:t>
      </w:r>
    </w:p>
    <w:p w14:paraId="79DF3AC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w:t>
      </w:r>
      <w:r>
        <w:rPr>
          <w:rFonts w:hint="eastAsia" w:ascii="仿宋" w:hAnsi="仿宋" w:eastAsia="仿宋"/>
          <w:color w:val="auto"/>
          <w:sz w:val="28"/>
          <w:szCs w:val="28"/>
          <w:highlight w:val="none"/>
          <w:lang w:val="en-US" w:eastAsia="zh-CN"/>
        </w:rPr>
        <w:t>2025年大学生创新大赛指导服务，</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截止至比赛结束。</w:t>
      </w:r>
    </w:p>
    <w:p w14:paraId="0788DD7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14" w:name="_Toc35393630"/>
      <w:bookmarkStart w:id="15" w:name="_Toc35393799"/>
      <w:bookmarkStart w:id="16" w:name="_Toc28359090"/>
      <w:bookmarkStart w:id="17" w:name="_Toc28359013"/>
      <w:r>
        <w:rPr>
          <w:rFonts w:hint="eastAsia" w:ascii="黑体" w:hAnsi="黑体" w:eastAsia="黑体" w:cs="宋体"/>
          <w:bCs/>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olor w:val="auto"/>
          <w:sz w:val="28"/>
          <w:szCs w:val="28"/>
          <w:highlight w:val="none"/>
        </w:rPr>
      </w:pPr>
      <w:bookmarkStart w:id="18" w:name="_Toc28359014"/>
      <w:bookmarkStart w:id="19" w:name="_Toc35393631"/>
      <w:bookmarkStart w:id="20" w:name="_Toc28359091"/>
      <w:bookmarkStart w:id="21" w:name="_Toc35393800"/>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bookmarkStart w:id="22" w:name="OLE_LINK6"/>
      <w:r>
        <w:rPr>
          <w:rFonts w:hint="eastAsia" w:ascii="仿宋" w:hAnsi="仿宋" w:eastAsia="仿宋"/>
          <w:color w:val="auto"/>
          <w:sz w:val="28"/>
          <w:szCs w:val="28"/>
          <w:highlight w:val="none"/>
          <w:lang w:val="en-US" w:eastAsia="zh-CN"/>
        </w:rPr>
        <w:t>/</w:t>
      </w:r>
      <w:bookmarkEnd w:id="22"/>
      <w:r>
        <w:rPr>
          <w:rFonts w:hint="eastAsia" w:ascii="仿宋" w:hAnsi="仿宋" w:eastAsia="仿宋"/>
          <w:color w:val="auto"/>
          <w:sz w:val="28"/>
          <w:szCs w:val="28"/>
          <w:highlight w:val="none"/>
          <w:lang w:val="en-US" w:eastAsia="zh-CN"/>
        </w:rPr>
        <w:t>；</w:t>
      </w:r>
    </w:p>
    <w:p w14:paraId="1A0DAFF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w:t>
      </w:r>
    </w:p>
    <w:p w14:paraId="51A2CB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23" w:name="_Toc35393632"/>
      <w:bookmarkStart w:id="24" w:name="_Toc28359092"/>
      <w:bookmarkStart w:id="25" w:name="_Toc35393801"/>
      <w:bookmarkStart w:id="26" w:name="_Toc28359015"/>
      <w:r>
        <w:rPr>
          <w:rFonts w:hint="eastAsia" w:ascii="黑体" w:hAnsi="黑体" w:eastAsia="黑体" w:cs="宋体"/>
          <w:bCs/>
          <w:color w:val="auto"/>
          <w:sz w:val="28"/>
          <w:szCs w:val="28"/>
          <w:highlight w:val="none"/>
        </w:rPr>
        <w:t>四、响应文件提交</w:t>
      </w:r>
      <w:bookmarkEnd w:id="23"/>
      <w:bookmarkEnd w:id="24"/>
      <w:bookmarkEnd w:id="25"/>
      <w:bookmarkEnd w:id="26"/>
    </w:p>
    <w:p w14:paraId="7320C2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bookmarkStart w:id="27" w:name="_Toc28359016"/>
      <w:bookmarkStart w:id="28" w:name="_Toc28359093"/>
      <w:bookmarkStart w:id="29" w:name="_Toc35393633"/>
      <w:bookmarkStart w:id="30"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日9时00分</w:t>
      </w:r>
    </w:p>
    <w:p w14:paraId="2FDFF5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安徽省桐城市盛唐南路168号405室</w:t>
      </w:r>
    </w:p>
    <w:p w14:paraId="281FBBE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7"/>
      <w:bookmarkEnd w:id="28"/>
      <w:bookmarkEnd w:id="29"/>
      <w:bookmarkEnd w:id="30"/>
    </w:p>
    <w:p w14:paraId="06F59F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bookmarkStart w:id="31" w:name="_Toc28359017"/>
      <w:bookmarkStart w:id="32" w:name="_Toc35393634"/>
      <w:bookmarkStart w:id="33" w:name="_Toc28359094"/>
      <w:bookmarkStart w:id="34" w:name="_Toc35393803"/>
      <w:r>
        <w:rPr>
          <w:rFonts w:hint="eastAsia" w:ascii="仿宋" w:hAnsi="仿宋" w:eastAsia="仿宋"/>
          <w:color w:val="auto"/>
          <w:sz w:val="28"/>
          <w:szCs w:val="28"/>
          <w:highlight w:val="none"/>
          <w:lang w:val="en-US" w:eastAsia="zh-CN"/>
        </w:rPr>
        <w:t>时间：2025年 6月 4日 9 时 00 分</w:t>
      </w:r>
    </w:p>
    <w:p w14:paraId="154119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安徽省桐城市盛唐南路168号405室</w:t>
      </w:r>
    </w:p>
    <w:p w14:paraId="10F4E9F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31"/>
      <w:bookmarkEnd w:id="32"/>
      <w:bookmarkEnd w:id="33"/>
      <w:bookmarkEnd w:id="34"/>
    </w:p>
    <w:p w14:paraId="2E8DE90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宋体"/>
          <w:bCs/>
          <w:color w:val="auto"/>
          <w:sz w:val="28"/>
          <w:szCs w:val="28"/>
          <w:highlight w:val="none"/>
        </w:rPr>
      </w:pPr>
      <w:bookmarkStart w:id="35" w:name="_Toc35393804"/>
      <w:bookmarkStart w:id="36" w:name="_Toc35393635"/>
      <w:r>
        <w:rPr>
          <w:rFonts w:hint="eastAsia" w:ascii="黑体" w:hAnsi="黑体" w:eastAsia="黑体" w:cs="宋体"/>
          <w:bCs/>
          <w:color w:val="auto"/>
          <w:sz w:val="28"/>
          <w:szCs w:val="28"/>
          <w:highlight w:val="none"/>
        </w:rPr>
        <w:t>其他补充事宜</w:t>
      </w:r>
      <w:bookmarkEnd w:id="35"/>
      <w:bookmarkEnd w:id="36"/>
    </w:p>
    <w:p w14:paraId="47276E59">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响应文件要求：投标时需将“响应文件”分一正、一副一起装袋密封，并在密封袋上加盖公章。响应文件未按要求装订密封，现场报名时招标代理将拒绝接收。</w:t>
      </w:r>
    </w:p>
    <w:p w14:paraId="123BBE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注：响应文件的密封袋的封口骑缝处应加盖投标人印章；响应文件密封袋上均应注明下列识别标志:</w:t>
      </w:r>
    </w:p>
    <w:p w14:paraId="55D6CA83">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 xml:space="preserve">招标人名称：        项目名称： </w:t>
      </w:r>
    </w:p>
    <w:p w14:paraId="58D526F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年    月   日   时  分，此时间以前不得开封。</w:t>
      </w:r>
    </w:p>
    <w:p w14:paraId="1D21D53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ABA7B9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八、凡对本次采购提出询问，请按以下方式联系。</w:t>
      </w:r>
    </w:p>
    <w:p w14:paraId="55B2AA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46A3541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2D51EEC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711DEF4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联系方式：0556-6181669</w:t>
      </w:r>
    </w:p>
    <w:p w14:paraId="6572A5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7962D73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09C6A8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740164C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联系人：程工         联系方式：</w:t>
      </w:r>
      <w:bookmarkEnd w:id="8"/>
      <w:r>
        <w:rPr>
          <w:rFonts w:hint="eastAsia" w:ascii="仿宋" w:hAnsi="仿宋" w:eastAsia="仿宋" w:cs="Times New Roman"/>
          <w:color w:val="auto"/>
          <w:sz w:val="28"/>
          <w:szCs w:val="28"/>
          <w:highlight w:val="none"/>
          <w:lang w:val="en-US" w:eastAsia="zh-CN"/>
        </w:rPr>
        <w:t>15222931960</w:t>
      </w:r>
    </w:p>
    <w:bookmarkEnd w:id="9"/>
    <w:p w14:paraId="4E4D81BD">
      <w:pPr>
        <w:ind w:firstLine="565" w:firstLineChars="202"/>
        <w:rPr>
          <w:rFonts w:hint="eastAsia" w:ascii="仿宋" w:hAnsi="仿宋" w:eastAsia="仿宋"/>
          <w:color w:val="auto"/>
          <w:sz w:val="28"/>
          <w:szCs w:val="28"/>
          <w:highlight w:val="none"/>
        </w:rPr>
      </w:pPr>
    </w:p>
    <w:p w14:paraId="6F17F693">
      <w:pPr>
        <w:ind w:firstLine="424" w:firstLineChars="202"/>
        <w:rPr>
          <w:color w:val="auto"/>
          <w:szCs w:val="21"/>
          <w:highlight w:val="none"/>
        </w:rPr>
      </w:pPr>
      <w:r>
        <w:rPr>
          <w:color w:val="auto"/>
          <w:szCs w:val="21"/>
          <w:highlight w:val="none"/>
        </w:rPr>
        <w:br w:type="page"/>
      </w:r>
    </w:p>
    <w:p w14:paraId="5D5A5A1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37" w:name="_Toc11266"/>
      <w:bookmarkStart w:id="38" w:name="_Toc26069"/>
      <w:bookmarkStart w:id="39" w:name="_Toc5494132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w:t>
      </w:r>
      <w:r>
        <w:rPr>
          <w:rFonts w:hint="eastAsia" w:ascii="Arial" w:hAnsi="Arial"/>
          <w:color w:val="auto"/>
          <w:kern w:val="2"/>
          <w:sz w:val="32"/>
          <w:szCs w:val="32"/>
          <w:highlight w:val="none"/>
        </w:rPr>
        <w:t>磋商须知</w:t>
      </w:r>
      <w:bookmarkEnd w:id="3"/>
      <w:bookmarkEnd w:id="37"/>
      <w:bookmarkEnd w:id="38"/>
      <w:bookmarkEnd w:id="39"/>
    </w:p>
    <w:p w14:paraId="2A59784B">
      <w:pPr>
        <w:pStyle w:val="3"/>
        <w:rPr>
          <w:rFonts w:cs="Tahoma"/>
          <w:bCs/>
          <w:color w:val="auto"/>
          <w:kern w:val="0"/>
          <w:sz w:val="32"/>
          <w:szCs w:val="32"/>
          <w:highlight w:val="none"/>
        </w:rPr>
      </w:pPr>
      <w:bookmarkStart w:id="40" w:name="_Toc439316871"/>
      <w:bookmarkStart w:id="41" w:name="_Toc54941330"/>
      <w:bookmarkStart w:id="42" w:name="_Toc17862"/>
      <w:r>
        <w:rPr>
          <w:rFonts w:hint="eastAsia" w:cs="Tahoma"/>
          <w:bCs/>
          <w:color w:val="auto"/>
          <w:kern w:val="0"/>
          <w:sz w:val="32"/>
          <w:szCs w:val="32"/>
          <w:highlight w:val="none"/>
        </w:rPr>
        <w:t>第一节</w:t>
      </w:r>
      <w:r>
        <w:rPr>
          <w:rFonts w:cs="Tahoma"/>
          <w:bCs/>
          <w:color w:val="auto"/>
          <w:kern w:val="0"/>
          <w:sz w:val="32"/>
          <w:szCs w:val="32"/>
          <w:highlight w:val="none"/>
        </w:rPr>
        <w:t xml:space="preserve"> </w:t>
      </w:r>
      <w:r>
        <w:rPr>
          <w:rFonts w:hint="eastAsia" w:cs="Tahoma"/>
          <w:bCs/>
          <w:color w:val="auto"/>
          <w:kern w:val="0"/>
          <w:sz w:val="32"/>
          <w:szCs w:val="32"/>
          <w:highlight w:val="none"/>
        </w:rPr>
        <w:t>磋商须知前附表</w:t>
      </w:r>
      <w:bookmarkEnd w:id="40"/>
      <w:bookmarkEnd w:id="41"/>
      <w:bookmarkEnd w:id="42"/>
    </w:p>
    <w:tbl>
      <w:tblPr>
        <w:tblStyle w:val="6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pPr>
            <w:r>
              <w:rPr>
                <w:rFonts w:hint="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default"/>
                <w:lang w:val="en-US" w:eastAsia="zh-CN"/>
              </w:rPr>
            </w:pPr>
            <w:r>
              <w:rPr>
                <w:rFonts w:hint="default"/>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详见竞争性磋商公告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1FF4299F">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eastAsia="zh-CN"/>
              </w:rPr>
              <w:t>☑</w:t>
            </w:r>
            <w:r>
              <w:rPr>
                <w:rFonts w:hint="eastAsia"/>
              </w:rPr>
              <w:t>不组织，</w:t>
            </w:r>
            <w:r>
              <w:rPr>
                <w:rFonts w:hint="eastAsia"/>
                <w:lang w:eastAsia="zh-CN"/>
              </w:rPr>
              <w:t>响应人</w:t>
            </w:r>
            <w:r>
              <w:rPr>
                <w:rFonts w:hint="eastAsia"/>
              </w:rPr>
              <w:t>自行考察</w:t>
            </w:r>
          </w:p>
          <w:p w14:paraId="6134699A">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□统一组织</w:t>
            </w:r>
          </w:p>
          <w:p w14:paraId="21A4A6DC">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 xml:space="preserve">时间：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r>
              <w:rPr>
                <w:rFonts w:hint="eastAsia"/>
              </w:rPr>
              <w:t xml:space="preserve">时 </w:t>
            </w:r>
            <w:r>
              <w:t xml:space="preserve"> </w:t>
            </w:r>
            <w:r>
              <w:rPr>
                <w:rFonts w:hint="eastAsia"/>
              </w:rPr>
              <w:t>分</w:t>
            </w:r>
          </w:p>
          <w:p w14:paraId="058FE71F">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 xml:space="preserve">地点： </w:t>
            </w:r>
            <w:r>
              <w:t xml:space="preserve">                      </w:t>
            </w:r>
          </w:p>
          <w:p w14:paraId="4CC0AC49">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 xml:space="preserve">现场考察联系人及联系电话： </w:t>
            </w:r>
            <w:r>
              <w:t xml:space="preserve">          </w:t>
            </w:r>
          </w:p>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备注：如</w:t>
            </w:r>
            <w:r>
              <w:rPr>
                <w:rFonts w:hint="eastAsia"/>
                <w:lang w:val="en-US" w:eastAsia="zh-CN"/>
              </w:rPr>
              <w:t>响应人</w:t>
            </w:r>
            <w:r>
              <w:rPr>
                <w:rFonts w:hint="eastAsia"/>
              </w:rPr>
              <w:t>未参加采购人统一组织的现场考察，视同放弃现场考察，由此引起的一切责任由</w:t>
            </w:r>
            <w:r>
              <w:rPr>
                <w:rFonts w:hint="eastAsia"/>
                <w:lang w:val="en-US" w:eastAsia="zh-CN"/>
              </w:rPr>
              <w:t>响应人</w:t>
            </w:r>
            <w:r>
              <w:rPr>
                <w:rFonts w:hint="eastAsia"/>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pPr>
            <w:r>
              <w:rPr>
                <w:rFonts w:hint="eastAsia" w:ascii="宋体" w:hAnsi="宋体"/>
                <w:color w:val="auto"/>
                <w:szCs w:val="21"/>
                <w:highlight w:val="none"/>
                <w:u w:val="single"/>
              </w:rPr>
              <w:t>9</w:t>
            </w:r>
            <w:r>
              <w:rPr>
                <w:rFonts w:ascii="宋体" w:hAnsi="宋体"/>
                <w:color w:val="auto"/>
                <w:szCs w:val="21"/>
                <w:highlight w:val="none"/>
                <w:u w:val="single"/>
              </w:rPr>
              <w:t>0日历天</w:t>
            </w:r>
            <w:r>
              <w:rPr>
                <w:rFonts w:hint="eastAsia" w:ascii="宋体" w:hAnsi="宋体"/>
                <w:color w:val="auto"/>
                <w:szCs w:val="21"/>
                <w:highlight w:val="none"/>
                <w:u w:val="single"/>
              </w:rPr>
              <w:t>（从响应文件提交截止时间算起）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磋商响应文件要求</w:t>
            </w:r>
          </w:p>
        </w:tc>
        <w:tc>
          <w:tcPr>
            <w:tcW w:w="6898" w:type="dxa"/>
            <w:tcBorders>
              <w:top w:val="single" w:color="auto" w:sz="4" w:space="0"/>
              <w:left w:val="single" w:color="auto" w:sz="4" w:space="0"/>
              <w:bottom w:val="single" w:color="auto" w:sz="4" w:space="0"/>
            </w:tcBorders>
            <w:vAlign w:val="center"/>
          </w:tcPr>
          <w:p w14:paraId="1DD3A15E">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color w:val="auto"/>
                <w:kern w:val="0"/>
                <w:sz w:val="21"/>
                <w:szCs w:val="21"/>
                <w:highlight w:val="none"/>
                <w:lang w:val="en-US" w:eastAsia="zh-CN"/>
              </w:rPr>
              <w:t>详见第六章响应文件格式</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响应文件提交截止时间</w:t>
            </w:r>
            <w:r>
              <w:rPr>
                <w:rFonts w:hint="eastAsia"/>
              </w:rPr>
              <w:t>：</w:t>
            </w:r>
            <w:r>
              <w:rPr>
                <w:rFonts w:hint="eastAsia"/>
                <w:lang w:val="en-US" w:eastAsia="zh-CN"/>
              </w:rPr>
              <w:t>详见竞争性磋商公告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磋商时间和地点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详见竞争性磋商公告（同响应文件提交截止时间）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rPr>
              <w:t>综合评分法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本次</w:t>
            </w:r>
            <w:r>
              <w:rPr>
                <w:rFonts w:hint="eastAsia"/>
                <w:lang w:val="en-US" w:eastAsia="zh-CN"/>
              </w:rPr>
              <w:t>磋商</w:t>
            </w:r>
            <w:r>
              <w:rPr>
                <w:rFonts w:hint="eastAsia"/>
              </w:rPr>
              <w:t>时不要求供应商携带相关证件、业绩及奖项的原件（磋商文件另有要求的除外）。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 xml:space="preserve">磋商小组推荐成交候选供应商的数量：1家 </w:t>
            </w:r>
          </w:p>
          <w:p w14:paraId="3FE058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确定成交供应商： </w:t>
            </w:r>
          </w:p>
          <w:p w14:paraId="4A9A2A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eastAsia="zh-CN"/>
              </w:rPr>
              <w:t>☑</w:t>
            </w:r>
            <w:r>
              <w:rPr>
                <w:rFonts w:hint="eastAsia"/>
                <w:lang w:val="en-US" w:eastAsia="zh-CN"/>
              </w:rPr>
              <w:t xml:space="preserve">采购人委托磋商小组确定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t>□</w:t>
            </w:r>
            <w:r>
              <w:rPr>
                <w:rFonts w:hint="eastAsia"/>
                <w:lang w:val="en-US" w:eastAsia="zh-CN"/>
              </w:rPr>
              <w:t>采购人确定</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cs="宋体"/>
              </w:rPr>
              <w:t>本次竞争性</w:t>
            </w:r>
            <w:r>
              <w:rPr>
                <w:rFonts w:hint="eastAsia" w:ascii="宋体" w:hAnsi="宋体" w:cs="宋体"/>
                <w:lang w:val="en-US" w:eastAsia="zh-CN"/>
              </w:rPr>
              <w:t>磋商</w:t>
            </w:r>
            <w:r>
              <w:rPr>
                <w:rFonts w:hint="eastAsia" w:ascii="宋体" w:hAnsi="宋体" w:cs="宋体"/>
              </w:rPr>
              <w:t>公告在</w:t>
            </w:r>
            <w:r>
              <w:rPr>
                <w:rFonts w:hint="eastAsia" w:ascii="宋体" w:hAnsi="宋体" w:cs="宋体"/>
                <w:lang w:val="en-US" w:eastAsia="zh-CN"/>
              </w:rPr>
              <w:t>桐城师范高等专科学校官网</w:t>
            </w:r>
            <w:r>
              <w:rPr>
                <w:rFonts w:hint="eastAsia" w:ascii="宋体" w:hAnsi="宋体" w:cs="宋体"/>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eastAsia="zh-CN"/>
              </w:rPr>
              <w:t>☑</w:t>
            </w:r>
            <w:r>
              <w:rPr>
                <w:rFonts w:hint="eastAsia"/>
                <w:lang w:val="en-US" w:eastAsia="zh-CN"/>
              </w:rPr>
              <w:t xml:space="preserve">书面   </w:t>
            </w:r>
            <w:r>
              <w:t>□</w:t>
            </w:r>
            <w:r>
              <w:rPr>
                <w:rFonts w:hint="eastAsia"/>
                <w:lang w:val="en-US" w:eastAsia="zh-CN"/>
              </w:rPr>
              <w:t xml:space="preserve">数据电文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磋商</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cs="Times New Roman"/>
                <w:strike w:val="0"/>
                <w:dstrike w:val="0"/>
                <w:color w:val="auto"/>
                <w:kern w:val="2"/>
                <w:sz w:val="21"/>
                <w:szCs w:val="21"/>
                <w:highlight w:val="none"/>
                <w:lang w:val="en-US" w:eastAsia="zh-CN" w:bidi="ar-SA"/>
              </w:rPr>
            </w:pPr>
            <w:r>
              <w:rPr>
                <w:rFonts w:hint="eastAsia" w:ascii="宋体" w:hAnsi="宋体" w:eastAsia="宋体"/>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kinsoku/>
              <w:overflowPunct/>
              <w:topLinePunct w:val="0"/>
              <w:bidi w:val="0"/>
              <w:snapToGrid w:val="0"/>
              <w:spacing w:line="440" w:lineRule="exact"/>
              <w:rPr>
                <w:rFonts w:hint="eastAsia" w:ascii="宋体" w:hAnsi="宋体" w:eastAsia="宋体" w:cs="Times New Roman"/>
                <w:b/>
                <w:color w:val="auto"/>
                <w:kern w:val="2"/>
                <w:sz w:val="21"/>
                <w:highlight w:val="none"/>
                <w:shd w:val="clear" w:color="auto" w:fill="FFFFFF"/>
                <w:lang w:val="en-US" w:eastAsia="zh-CN" w:bidi="ar-SA"/>
              </w:rPr>
            </w:pPr>
            <w:r>
              <w:rPr>
                <w:rFonts w:hint="eastAsia" w:ascii="宋体" w:hAnsi="宋体" w:eastAsia="宋体" w:cs="Times New Roman"/>
                <w:b w:val="0"/>
                <w:color w:val="auto"/>
                <w:kern w:val="2"/>
                <w:sz w:val="21"/>
                <w:szCs w:val="21"/>
                <w:highlight w:val="none"/>
                <w:lang w:val="en-US" w:eastAsia="zh-CN" w:bidi="ar-SA"/>
              </w:rPr>
              <w:t>按下列标准收取：</w:t>
            </w:r>
            <w:r>
              <w:rPr>
                <w:rFonts w:hint="eastAsia" w:cs="Times New Roman"/>
                <w:b w:val="0"/>
                <w:color w:val="auto"/>
                <w:kern w:val="2"/>
                <w:sz w:val="21"/>
                <w:szCs w:val="21"/>
                <w:highlight w:val="none"/>
                <w:lang w:val="en-US" w:eastAsia="zh-CN" w:bidi="ar-SA"/>
              </w:rPr>
              <w:t>成交</w:t>
            </w:r>
            <w:r>
              <w:rPr>
                <w:rFonts w:hint="eastAsia" w:ascii="宋体" w:hAnsi="宋体" w:eastAsia="宋体" w:cs="Times New Roman"/>
                <w:b w:val="0"/>
                <w:color w:val="auto"/>
                <w:kern w:val="2"/>
                <w:sz w:val="21"/>
                <w:szCs w:val="21"/>
                <w:highlight w:val="none"/>
                <w:lang w:val="en-US" w:eastAsia="zh-CN" w:bidi="ar-SA"/>
              </w:rPr>
              <w:t>服务费按项目合同价款的</w:t>
            </w:r>
            <w:r>
              <w:rPr>
                <w:rFonts w:hint="eastAsia" w:cs="Times New Roman"/>
                <w:b w:val="0"/>
                <w:color w:val="auto"/>
                <w:kern w:val="2"/>
                <w:sz w:val="21"/>
                <w:szCs w:val="21"/>
                <w:highlight w:val="none"/>
                <w:u w:val="single"/>
                <w:lang w:val="en-US" w:eastAsia="zh-CN" w:bidi="ar-SA"/>
              </w:rPr>
              <w:t>_1.5_</w:t>
            </w:r>
            <w:r>
              <w:rPr>
                <w:rFonts w:hint="eastAsia" w:ascii="宋体" w:hAnsi="宋体" w:eastAsia="宋体" w:cs="Times New Roman"/>
                <w:b w:val="0"/>
                <w:color w:val="auto"/>
                <w:kern w:val="2"/>
                <w:sz w:val="21"/>
                <w:szCs w:val="21"/>
                <w:highlight w:val="none"/>
                <w:lang w:val="en-US" w:eastAsia="zh-CN" w:bidi="ar-SA"/>
              </w:rPr>
              <w:t>%收取</w:t>
            </w:r>
            <w:r>
              <w:rPr>
                <w:rFonts w:hint="eastAsia" w:cs="Times New Roman"/>
                <w:b w:val="0"/>
                <w:color w:val="auto"/>
                <w:kern w:val="2"/>
                <w:sz w:val="21"/>
                <w:szCs w:val="21"/>
                <w:highlight w:val="none"/>
                <w:lang w:val="en-US" w:eastAsia="zh-CN" w:bidi="ar-SA"/>
              </w:rPr>
              <w:t>。</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lang w:eastAsia="zh-CN"/>
              </w:rPr>
            </w:pPr>
            <w:r>
              <w:rPr>
                <w:rFonts w:hint="eastAsia"/>
              </w:rPr>
              <w:t>递交方式：</w:t>
            </w:r>
            <w:r>
              <w:rPr>
                <w:rFonts w:hint="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接收部门：</w:t>
            </w:r>
            <w:r>
              <w:rPr>
                <w:rFonts w:hint="eastAsia"/>
                <w:lang w:val="en-US" w:eastAsia="zh-CN"/>
              </w:rPr>
              <w:t>采购人或采购代理机构</w:t>
            </w:r>
            <w:r>
              <w:rPr>
                <w:rFonts w:hint="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 xml:space="preserve">联系电话： </w:t>
            </w:r>
            <w:r>
              <w:rPr>
                <w:rFonts w:hint="eastAsia"/>
                <w:lang w:val="en-US" w:eastAsia="zh-CN"/>
              </w:rPr>
              <w:t>0556-6181669</w:t>
            </w:r>
            <w:r>
              <w:rPr>
                <w:rFonts w:hint="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 xml:space="preserve">通讯地址： </w:t>
            </w:r>
            <w:r>
              <w:rPr>
                <w:rFonts w:hint="eastAsia"/>
                <w:lang w:val="en-US" w:eastAsia="zh-CN"/>
              </w:rPr>
              <w:t>安徽省桐城市经开区学苑路199号</w:t>
            </w:r>
            <w:r>
              <w:rPr>
                <w:rFonts w:hint="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1、</w:t>
            </w:r>
            <w:r>
              <w:rPr>
                <w:rFonts w:hint="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2</w:t>
            </w:r>
            <w:r>
              <w:rPr>
                <w:rFonts w:hint="eastAsia"/>
              </w:rPr>
              <w:t>、本项目所要求的业绩均须为中华人民共和国境内业绩（不含港澳台地区），成交供应商经</w:t>
            </w:r>
            <w:r>
              <w:rPr>
                <w:rFonts w:hint="eastAsia"/>
                <w:lang w:eastAsia="zh-CN"/>
              </w:rPr>
              <w:t>磋商</w:t>
            </w:r>
            <w:r>
              <w:rPr>
                <w:rFonts w:hint="eastAsia"/>
              </w:rPr>
              <w:t>小组评审认可的相关业绩、奖项、证书将在</w:t>
            </w:r>
            <w:r>
              <w:rPr>
                <w:rFonts w:hint="eastAsia"/>
                <w:lang w:val="en-US" w:eastAsia="zh-CN"/>
              </w:rPr>
              <w:t>桐城师范高等专科学校官网上</w:t>
            </w:r>
            <w:r>
              <w:rPr>
                <w:rFonts w:hint="eastAsia"/>
              </w:rPr>
              <w:t>公告（如</w:t>
            </w:r>
            <w:r>
              <w:rPr>
                <w:rFonts w:hint="eastAsia"/>
                <w:lang w:val="en-US" w:eastAsia="zh-CN"/>
              </w:rPr>
              <w:t>响应人</w:t>
            </w:r>
            <w:r>
              <w:rPr>
                <w:rFonts w:hint="eastAsia"/>
              </w:rPr>
              <w:t>相关</w:t>
            </w:r>
            <w:r>
              <w:rPr>
                <w:rFonts w:hint="eastAsia"/>
                <w:lang w:eastAsia="zh-CN"/>
              </w:rPr>
              <w:t>业绩、奖项</w:t>
            </w:r>
            <w:r>
              <w:rPr>
                <w:rFonts w:hint="eastAsia"/>
              </w:rPr>
              <w:t>、证书属于涉密的，</w:t>
            </w:r>
            <w:r>
              <w:rPr>
                <w:rFonts w:hint="eastAsia"/>
                <w:lang w:val="en-US" w:eastAsia="zh-CN"/>
              </w:rPr>
              <w:t>响应人</w:t>
            </w:r>
            <w:r>
              <w:rPr>
                <w:rFonts w:hint="eastAsia"/>
              </w:rPr>
              <w:t>须在响应文件中进行说明，</w:t>
            </w:r>
            <w:r>
              <w:rPr>
                <w:rFonts w:hint="eastAsia"/>
                <w:lang w:val="en-US" w:eastAsia="zh-CN"/>
              </w:rPr>
              <w:t>标注出业绩、奖项、证书中涉密部分</w:t>
            </w:r>
            <w:r>
              <w:rPr>
                <w:rFonts w:hint="eastAsia"/>
              </w:rPr>
              <w:t>，</w:t>
            </w:r>
            <w:r>
              <w:rPr>
                <w:rFonts w:hint="eastAsia"/>
                <w:lang w:val="en-US" w:eastAsia="zh-CN"/>
              </w:rPr>
              <w:t>则该业绩、奖项、证书中</w:t>
            </w:r>
            <w:r>
              <w:rPr>
                <w:rFonts w:hint="eastAsia"/>
              </w:rPr>
              <w:t>涉密部分不予公告）。</w:t>
            </w:r>
          </w:p>
        </w:tc>
      </w:tr>
    </w:tbl>
    <w:p w14:paraId="428B16F0">
      <w:pPr>
        <w:rPr>
          <w:rFonts w:ascii="宋体" w:hAnsi="宋体"/>
          <w:color w:val="auto"/>
          <w:kern w:val="0"/>
          <w:highlight w:val="none"/>
          <w:lang w:val="zh-CN"/>
        </w:rPr>
      </w:pPr>
      <w:bookmarkStart w:id="43" w:name="_Toc439316872"/>
      <w:r>
        <w:rPr>
          <w:color w:val="auto"/>
          <w:kern w:val="0"/>
          <w:highlight w:val="none"/>
          <w:lang w:val="zh-CN"/>
        </w:rPr>
        <w:br w:type="page"/>
      </w:r>
    </w:p>
    <w:p w14:paraId="4371333F">
      <w:pPr>
        <w:pStyle w:val="3"/>
        <w:rPr>
          <w:rFonts w:cs="Tahoma"/>
          <w:bCs/>
          <w:color w:val="auto"/>
          <w:kern w:val="0"/>
          <w:sz w:val="32"/>
          <w:szCs w:val="32"/>
          <w:highlight w:val="none"/>
          <w:lang w:val="zh-CN"/>
        </w:rPr>
      </w:pPr>
      <w:bookmarkStart w:id="44" w:name="_Toc2521"/>
      <w:bookmarkStart w:id="45" w:name="_Toc5494133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43"/>
      <w:bookmarkEnd w:id="44"/>
      <w:bookmarkEnd w:id="45"/>
    </w:p>
    <w:p w14:paraId="0B0043D4">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6" w:name="_Toc439316873"/>
      <w:bookmarkStart w:id="47" w:name="_Toc7325"/>
      <w:bookmarkStart w:id="48" w:name="_Toc21078"/>
      <w:bookmarkStart w:id="49" w:name="_Toc25270"/>
      <w:bookmarkStart w:id="50" w:name="_Toc10523"/>
      <w:bookmarkStart w:id="51" w:name="_Toc15055"/>
      <w:bookmarkStart w:id="52" w:name="_Toc439316919"/>
      <w:r>
        <w:rPr>
          <w:rFonts w:hint="eastAsia" w:asciiTheme="minorEastAsia" w:hAnsiTheme="minorEastAsia" w:eastAsiaTheme="minorEastAsia" w:cstheme="minorEastAsia"/>
          <w:b/>
          <w:bCs/>
          <w:color w:val="auto"/>
          <w:sz w:val="24"/>
          <w:szCs w:val="24"/>
          <w:highlight w:val="none"/>
          <w:lang w:val="zh-CN"/>
        </w:rPr>
        <w:t>1、适用法律</w:t>
      </w:r>
      <w:bookmarkEnd w:id="46"/>
      <w:bookmarkEnd w:id="47"/>
      <w:bookmarkEnd w:id="48"/>
      <w:bookmarkEnd w:id="49"/>
      <w:bookmarkEnd w:id="50"/>
      <w:bookmarkEnd w:id="51"/>
      <w:bookmarkEnd w:id="52"/>
    </w:p>
    <w:p w14:paraId="18A5CDB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的相关行为均受《中华人民共和国政府采购法》《中华人民共和国政府采购法实施条例》《政府采购竞争性磋商采</w:t>
      </w:r>
      <w:r>
        <w:rPr>
          <w:rFonts w:hint="eastAsia" w:asciiTheme="minorEastAsia" w:hAnsiTheme="minorEastAsia" w:eastAsiaTheme="minorEastAsia" w:cstheme="minorEastAsia"/>
          <w:color w:val="auto"/>
          <w:sz w:val="24"/>
          <w:szCs w:val="24"/>
          <w:highlight w:val="none"/>
        </w:rPr>
        <w:t>购方式管理暂行办法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5296C4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3" w:name="_Toc1704"/>
      <w:bookmarkStart w:id="54" w:name="_Toc27113"/>
      <w:bookmarkStart w:id="55" w:name="_Toc439316874"/>
      <w:bookmarkStart w:id="56" w:name="_Toc24643"/>
      <w:bookmarkStart w:id="57" w:name="_Toc8228"/>
      <w:bookmarkStart w:id="58" w:name="_Toc10933"/>
      <w:bookmarkStart w:id="59" w:name="_Toc439316920"/>
      <w:r>
        <w:rPr>
          <w:rFonts w:hint="eastAsia" w:asciiTheme="minorEastAsia" w:hAnsiTheme="minorEastAsia" w:eastAsiaTheme="minorEastAsia" w:cstheme="minorEastAsia"/>
          <w:b/>
          <w:bCs/>
          <w:color w:val="auto"/>
          <w:sz w:val="24"/>
          <w:szCs w:val="24"/>
          <w:highlight w:val="none"/>
          <w:lang w:val="zh-CN"/>
        </w:rPr>
        <w:t>2、定义</w:t>
      </w:r>
      <w:bookmarkEnd w:id="53"/>
      <w:bookmarkEnd w:id="54"/>
      <w:bookmarkEnd w:id="55"/>
      <w:bookmarkEnd w:id="56"/>
      <w:bookmarkEnd w:id="57"/>
      <w:bookmarkEnd w:id="58"/>
      <w:bookmarkEnd w:id="59"/>
    </w:p>
    <w:p w14:paraId="734BFBD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2.1.采购人：是指依法开展政府采购活动的国家机关、事业单位、团体组织。本项目的采购人见磋商须知前附表。</w:t>
      </w:r>
    </w:p>
    <w:p w14:paraId="7A9C0FC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2.2.采购代理机构：是指集中采购机构或从事采购代理业务的社会中介机构。本项目的采购代理机构见磋商须知前附表。</w:t>
      </w:r>
    </w:p>
    <w:p w14:paraId="12BF16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服务、货物或者工程的法人、非法人组织或者自然人。分支机构不得参加政府采购活动，但银行、保险、石油石化、电力、电信等特殊行业除外。若银行、保险、石油化工、电力、电信等特殊行业的分公司参与磋商，须取得总公司的相关授权或出具总公司的有关文件、制度等能够证明总公司授权其独立开展业务的证明（响应文件中须提供），响应文件中关于法定代表人的要求事项可由分公司负责人代理。</w:t>
      </w:r>
    </w:p>
    <w:p w14:paraId="527C690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2.4.政府采购监督管理部门：各级人民政府指定的有关部门依法履行与政府采购活动有关的监督管理职责。本项目的政府采购监督管理部门见磋商须知前附表。</w:t>
      </w:r>
    </w:p>
    <w:p w14:paraId="2DABC893">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67334F1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FA6DA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3.1.1.在中华人民共和国境内注册，能够独立承担民事责任，有生产或供应能力的本国供应商。 </w:t>
      </w:r>
    </w:p>
    <w:p w14:paraId="618F471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3.1.2.具备《中华人民共和国政府采购法》第二十二条关于供应商条件的规定，遵守本项目采购人本级和上级财政部门政府采购的有关规定。 </w:t>
      </w:r>
    </w:p>
    <w:p w14:paraId="2AE4048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3.1.3.以磋商公告中约定的方式获得了本项目的磋商文件。 </w:t>
      </w:r>
    </w:p>
    <w:p w14:paraId="6765376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3.2.单位负责人为同一人或者存在直接控股、管理关系的不同供应商，不得参加同一合同项下的政府采购活动。否则其响应文件将被认定为响应无效。 </w:t>
      </w:r>
    </w:p>
    <w:p w14:paraId="5532283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3.3.除单一来源采购项目外，为采购项目提供整体设计、规范编制或者项目管理、监理、检测等服务的供应商，不得再参加该采购项目的其他采购活动。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46953A5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442C35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4、现场</w:t>
      </w:r>
      <w:r>
        <w:rPr>
          <w:rFonts w:hint="eastAsia" w:asciiTheme="minorEastAsia" w:hAnsiTheme="minorEastAsia" w:eastAsiaTheme="minorEastAsia" w:cstheme="minorEastAsia"/>
          <w:b/>
          <w:bCs/>
          <w:color w:val="auto"/>
          <w:sz w:val="24"/>
          <w:szCs w:val="24"/>
          <w:highlight w:val="none"/>
          <w:lang w:val="en-US" w:eastAsia="zh-CN"/>
        </w:rPr>
        <w:t>考察</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供应商自行</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现场。供应商应认真对现场环境进行</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62C46E1F">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60" w:name="_Toc439316875"/>
      <w:bookmarkStart w:id="61" w:name="_Toc439316921"/>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磋商费用</w:t>
      </w:r>
      <w:r>
        <w:rPr>
          <w:rFonts w:hint="eastAsia" w:asciiTheme="minorEastAsia" w:hAnsiTheme="minorEastAsia" w:eastAsiaTheme="minorEastAsia" w:cstheme="minorEastAsia"/>
          <w:color w:val="auto"/>
          <w:sz w:val="24"/>
          <w:szCs w:val="24"/>
          <w:highlight w:val="none"/>
          <w:lang w:val="zh-CN"/>
        </w:rPr>
        <w:t>：供应商必须自行承担参加磋商所有费用。</w:t>
      </w:r>
      <w:bookmarkEnd w:id="60"/>
      <w:bookmarkEnd w:id="61"/>
      <w:bookmarkStart w:id="62" w:name="_Toc54941333"/>
    </w:p>
    <w:p w14:paraId="4F7C251E">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二、磋商文件</w:t>
      </w:r>
      <w:bookmarkEnd w:id="62"/>
    </w:p>
    <w:p w14:paraId="3D0E398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、磋商文件的构成</w:t>
      </w:r>
    </w:p>
    <w:p w14:paraId="4F84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磋商文件包括：</w:t>
      </w:r>
    </w:p>
    <w:p w14:paraId="4B108EEB">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公告</w:t>
      </w:r>
    </w:p>
    <w:p w14:paraId="57173F6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28670673">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A34AA58">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1ACA61E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2BFC72A">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0715C062">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72EA8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供应商应认真阅读和充分理解磋商文件中所有的内容。如果供应商没有满足磋商文件的有关要求，其风险由供应商自行承担。</w:t>
      </w:r>
    </w:p>
    <w:p w14:paraId="16B0A2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供应商获取磋商文件后，应仔细检查磋商文件的所有内容，如有残缺、文本不清晰、表述不一致等问题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应在获得磋商文件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14:paraId="7A40F5C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、磋商文件的澄清与修改</w:t>
      </w:r>
    </w:p>
    <w:p w14:paraId="7522B61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，澄清或修改的内容作为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CAFFB8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21A4EF23">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（含澄清或修改的内容）。</w:t>
      </w:r>
    </w:p>
    <w:p w14:paraId="041F7072">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lang w:eastAsia="zh-CN"/>
        </w:rPr>
        <w:t>磋商</w:t>
      </w:r>
      <w:r>
        <w:rPr>
          <w:rFonts w:hint="eastAsia" w:asciiTheme="minorEastAsia" w:hAnsiTheme="minorEastAsia" w:eastAsiaTheme="minorEastAsia"/>
          <w:b/>
          <w:color w:val="auto"/>
          <w:sz w:val="24"/>
          <w:highlight w:val="none"/>
        </w:rPr>
        <w:t>范围及响应文件中标准和计量单位的使用</w:t>
      </w:r>
    </w:p>
    <w:p w14:paraId="2478865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8.1.无论磋商文件中是否要求，供应商所投的服务及所伴随的货物和工程均应符合国家强制性标准。</w:t>
      </w:r>
    </w:p>
    <w:p w14:paraId="576D771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 </w:t>
      </w:r>
    </w:p>
    <w:p w14:paraId="32B88463">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8.3.除磋商文件中有特殊要求外，响应文件中所使用的计量单位，应采用中华人民共和国法定计量单位。</w:t>
      </w:r>
    </w:p>
    <w:p w14:paraId="29A5C8C8">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响应文件的</w:t>
      </w:r>
      <w:r>
        <w:rPr>
          <w:rFonts w:hint="eastAsia" w:asciiTheme="minorEastAsia" w:hAnsiTheme="minorEastAsia" w:eastAsiaTheme="minorEastAsia" w:cstheme="minorEastAsia"/>
          <w:b/>
          <w:color w:val="auto"/>
          <w:sz w:val="24"/>
          <w:szCs w:val="24"/>
          <w:highlight w:val="none"/>
          <w:lang w:val="en-US" w:eastAsia="zh-CN"/>
        </w:rPr>
        <w:t>编制</w:t>
      </w:r>
    </w:p>
    <w:p w14:paraId="589C7C7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9.1.供应商应完整地按磋商文件提供的响应文件格式及要求编写响应文件。</w:t>
      </w:r>
    </w:p>
    <w:p w14:paraId="4BB9C84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9.2.在第六章“响应文件格式”中要求加盖供应商签章处，供应商均应加盖供应商公章。 </w:t>
      </w:r>
    </w:p>
    <w:p w14:paraId="1CA6E51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9.3.响应文件不得行间插字、涂改或增删。</w:t>
      </w:r>
    </w:p>
    <w:p w14:paraId="7526BEF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2928975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能满足磋商文件约定的实质性要求。否则，其响应文件在评审时有可能被认为是对磋商文件未做出实质性的响应，而终止对其作进一步的评审。</w:t>
      </w:r>
    </w:p>
    <w:p w14:paraId="074E41C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、磋商响应报价</w:t>
      </w:r>
    </w:p>
    <w:p w14:paraId="2F940ED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表标明分项服务、伴随的货物和工程的价格（如适用）和总价，未标明的视同包含在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报价中。</w:t>
      </w:r>
    </w:p>
    <w:p w14:paraId="12BF2C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除非特别要求，每个项目（或每个包）只允许有一个方案、一个报价。多方案、多报价的响应文件将视为响应无效。</w:t>
      </w:r>
    </w:p>
    <w:p w14:paraId="1F62CC8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.本项目采用总价包干，磋商报价应当包括满足本次磋商全部采购需求所应提供的服务，以及伴随的货物和工程。所有内容均应以人民币报价，供应商的磋商报价应遵守《中华人民共和国价格法》。</w:t>
      </w:r>
    </w:p>
    <w:p w14:paraId="3FC762C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10.4.报价在合同履行过程中是固定不变的，不得以任何理由予以变更。任何包含价格调整要求的磋商，其响应文件将被认定为响应无效。</w:t>
      </w:r>
    </w:p>
    <w:p w14:paraId="297857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10.5.采购人不接受具有附加条件的报价。</w:t>
      </w:r>
    </w:p>
    <w:p w14:paraId="7DEADA3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10.6.报价其他情况：</w:t>
      </w:r>
    </w:p>
    <w:p w14:paraId="7B8371C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59531B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7F0B6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总价金额与按单价汇总金额不一致的，以单价金额计算结果为准。</w:t>
      </w:r>
    </w:p>
    <w:p w14:paraId="0B7759D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响应无效。</w:t>
      </w:r>
    </w:p>
    <w:p w14:paraId="174BD02A">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、磋商响应货币：</w:t>
      </w:r>
      <w:r>
        <w:rPr>
          <w:rFonts w:hint="eastAsia" w:asciiTheme="minorEastAsia" w:hAnsiTheme="minorEastAsia" w:eastAsiaTheme="minorEastAsia" w:cstheme="minorEastAsia"/>
          <w:color w:val="auto"/>
          <w:sz w:val="24"/>
          <w:szCs w:val="24"/>
          <w:highlight w:val="none"/>
        </w:rPr>
        <w:t>人民币。</w:t>
      </w:r>
    </w:p>
    <w:p w14:paraId="2AE755B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055E2F8C">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w:t>
      </w:r>
      <w:r>
        <w:rPr>
          <w:rFonts w:hint="default"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4EC750">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（1）提供虚假材料谋取中标、成交的；</w:t>
      </w:r>
    </w:p>
    <w:p w14:paraId="01B182C7">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（2）采取不正当手段诋毁、排挤其他供应商的；</w:t>
      </w:r>
    </w:p>
    <w:p w14:paraId="13F4365A">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（3）与采购人、其他供应商或者采购代理机构恶意串通的；</w:t>
      </w:r>
    </w:p>
    <w:p w14:paraId="1A9C3FA2">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（4）向采购人、采购代理机构行贿或者提供其他不正当利益的；</w:t>
      </w:r>
    </w:p>
    <w:p w14:paraId="32084AC3">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（5）在招标采购过程中与采购人进行协商谈判的；</w:t>
      </w:r>
    </w:p>
    <w:p w14:paraId="36759C8E">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（6）拒绝有关部门监督检查或者提供虚假情况的。</w:t>
      </w:r>
    </w:p>
    <w:p w14:paraId="5F5F8B00">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供应商有前款第（1）至（5）项情形之一的，中标、成交无效。</w:t>
      </w:r>
    </w:p>
    <w:p w14:paraId="51120F9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有下列情形之一的，其磋商响应无效：</w:t>
      </w:r>
    </w:p>
    <w:p w14:paraId="711C17D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（1）不同供应商的磋商响应文件由同一单位或者个人编制；</w:t>
      </w:r>
    </w:p>
    <w:p w14:paraId="1DBC484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（2）不同供应商委托同一单位或者个人办理磋商响应事宜；</w:t>
      </w:r>
    </w:p>
    <w:p w14:paraId="031CAFD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（3）不同供应商的磋商响应文件载明的项目管理成员或联系人员为同一人；</w:t>
      </w:r>
    </w:p>
    <w:p w14:paraId="7D25446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（4）不同供应商的磋商响应文件异常一致或者磋商响应报价呈规律性差异；</w:t>
      </w:r>
    </w:p>
    <w:p w14:paraId="71759F2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（5）不同供应商的磋商响应文件相互混装</w:t>
      </w:r>
      <w:r>
        <w:rPr>
          <w:rFonts w:hint="eastAsia" w:asciiTheme="minorEastAsia" w:hAnsiTheme="minorEastAsia" w:eastAsiaTheme="minorEastAsia" w:cstheme="minorEastAsia"/>
          <w:color w:val="auto"/>
          <w:sz w:val="24"/>
          <w:szCs w:val="24"/>
          <w:highlight w:val="none"/>
          <w:lang w:eastAsia="zh-CN"/>
        </w:rPr>
        <w:t>。</w:t>
      </w:r>
    </w:p>
    <w:p w14:paraId="2BDB46D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、磋商有效期</w:t>
      </w:r>
    </w:p>
    <w:p w14:paraId="5955AA5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.磋商有效期为从响应文件提交截止之日算起的日历天数，磋商有效期详见磋商须知前附表。 </w:t>
      </w:r>
    </w:p>
    <w:p w14:paraId="03BC6F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.在磋商有效期内，供应商的磋商保持有效，供应商不得要求撤销或修改其响应文件。磋商有效期不满足要求的响应，其响应文件将被认定为响应无效。</w:t>
      </w:r>
    </w:p>
    <w:p w14:paraId="323B6D2B">
      <w:pPr>
        <w:pStyle w:val="5"/>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3" w:name="_Toc476584424"/>
      <w:bookmarkStart w:id="64"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3"/>
      <w:r>
        <w:rPr>
          <w:rFonts w:hint="eastAsia" w:asciiTheme="minorEastAsia" w:hAnsiTheme="minorEastAsia" w:eastAsiaTheme="minorEastAsia" w:cstheme="minorEastAsia"/>
          <w:color w:val="auto"/>
          <w:sz w:val="24"/>
          <w:szCs w:val="24"/>
          <w:highlight w:val="none"/>
        </w:rPr>
        <w:t>提交</w:t>
      </w:r>
      <w:bookmarkEnd w:id="64"/>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bookmarkStart w:id="65" w:name="_Toc476584425"/>
      <w:bookmarkStart w:id="66" w:name="_Toc54941336"/>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val="en-US" w:eastAsia="zh-CN"/>
        </w:rPr>
        <w:t>磋商</w:t>
      </w:r>
      <w:r>
        <w:rPr>
          <w:rFonts w:hint="eastAsia" w:asciiTheme="minorEastAsia" w:hAnsiTheme="minorEastAsia" w:eastAsiaTheme="minorEastAsia" w:cstheme="minorEastAsia"/>
          <w:b w:val="0"/>
          <w:bCs/>
          <w:color w:val="auto"/>
          <w:sz w:val="24"/>
          <w:szCs w:val="24"/>
          <w:highlight w:val="none"/>
          <w:lang w:eastAsia="zh-CN"/>
        </w:rPr>
        <w:t>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未按</w:t>
      </w:r>
      <w:r>
        <w:rPr>
          <w:rFonts w:hint="eastAsia" w:asciiTheme="minorEastAsia" w:hAnsiTheme="minorEastAsia" w:eastAsiaTheme="minorEastAsia" w:cstheme="minorEastAsia"/>
          <w:b w:val="0"/>
          <w:bCs/>
          <w:color w:val="auto"/>
          <w:sz w:val="24"/>
          <w:szCs w:val="24"/>
          <w:highlight w:val="none"/>
          <w:lang w:eastAsia="zh-CN"/>
        </w:rPr>
        <w:t>竞争性</w:t>
      </w:r>
      <w:r>
        <w:rPr>
          <w:rFonts w:hint="eastAsia" w:asciiTheme="minorEastAsia" w:hAnsiTheme="minorEastAsia" w:eastAsiaTheme="minorEastAsia" w:cstheme="minorEastAsia"/>
          <w:b w:val="0"/>
          <w:bCs/>
          <w:color w:val="auto"/>
          <w:sz w:val="24"/>
          <w:szCs w:val="24"/>
          <w:highlight w:val="none"/>
          <w:lang w:val="en-US" w:eastAsia="zh-CN"/>
        </w:rPr>
        <w:t>磋商</w:t>
      </w:r>
      <w:r>
        <w:rPr>
          <w:rFonts w:hint="eastAsia" w:asciiTheme="minorEastAsia" w:hAnsiTheme="minorEastAsia" w:eastAsiaTheme="minorEastAsia" w:cstheme="minorEastAsia"/>
          <w:b w:val="0"/>
          <w:bCs/>
          <w:color w:val="auto"/>
          <w:sz w:val="24"/>
          <w:szCs w:val="24"/>
          <w:highlight w:val="none"/>
          <w:lang w:eastAsia="zh-CN"/>
        </w:rPr>
        <w:t>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330BD6A6">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3204770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4328FA0B">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bookmarkEnd w:id="65"/>
    <w:bookmarkEnd w:id="66"/>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lang w:eastAsia="zh-CN"/>
        </w:rPr>
        <w:t>文件和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小组的要求重新提交响应文件的，不在此列。</w:t>
      </w:r>
    </w:p>
    <w:p w14:paraId="174E5EB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在规定的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p w14:paraId="7B358F9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、磋商时间和地点：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磋商公告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4C15368">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18.1.采购人和采购代理机构将按磋商须知前附表中规定的磋商时间和地点组织磋商。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w:t>
      </w:r>
      <w:r>
        <w:rPr>
          <w:rFonts w:hint="eastAsia" w:asciiTheme="minorEastAsia" w:hAnsiTheme="minorEastAsia" w:eastAsiaTheme="minorEastAsia" w:cstheme="minorEastAsia"/>
          <w:strike w:val="0"/>
          <w:dstrike w:val="0"/>
          <w:color w:val="auto"/>
          <w:sz w:val="24"/>
          <w:szCs w:val="24"/>
          <w:highlight w:val="none"/>
          <w:lang w:val="en-US" w:eastAsia="zh-CN"/>
        </w:rPr>
        <w:t>响应文件开启前</w:t>
      </w:r>
      <w:r>
        <w:rPr>
          <w:rFonts w:hint="eastAsia" w:asciiTheme="minorEastAsia" w:hAnsiTheme="minorEastAsia" w:eastAsiaTheme="minorEastAsia" w:cstheme="minorEastAsia"/>
          <w:color w:val="auto"/>
          <w:sz w:val="24"/>
          <w:szCs w:val="24"/>
          <w:highlight w:val="none"/>
          <w:lang w:val="en-US" w:eastAsia="zh-CN"/>
        </w:rPr>
        <w:t xml:space="preserve">，代理机构应对供应商的响应文件进行查看是否密封完整。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18.3.</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进行解封。</w:t>
      </w:r>
      <w:r>
        <w:rPr>
          <w:rFonts w:hint="eastAsia" w:asciiTheme="minorEastAsia" w:hAnsiTheme="minorEastAsia" w:eastAsiaTheme="minorEastAsia" w:cstheme="minorEastAsia"/>
          <w:color w:val="auto"/>
          <w:sz w:val="24"/>
          <w:szCs w:val="24"/>
          <w:highlight w:val="none"/>
          <w:lang w:val="en-US" w:eastAsia="zh-CN"/>
        </w:rPr>
        <w:t xml:space="preserve"> </w:t>
      </w:r>
    </w:p>
    <w:p w14:paraId="6B047652">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过程进行记录，并存档备查。</w:t>
      </w:r>
    </w:p>
    <w:p w14:paraId="2B459FAA">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128A72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磋商过程中发现有下列情况的，由磋商小组评审后，认定为响应无效：</w:t>
      </w:r>
    </w:p>
    <w:p w14:paraId="66CD8D3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（1）响应文件未按照磋商文件规定的格式进行编制或未按照磋商文件规定的要求进行签署、盖章的；</w:t>
      </w:r>
    </w:p>
    <w:p w14:paraId="70DC9763">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（2）不具备磋商文件中规定的资格要求的； </w:t>
      </w:r>
    </w:p>
    <w:p w14:paraId="14B3975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（3）报价超过磋商文件中规定的预算金额或者最高限价的； </w:t>
      </w:r>
    </w:p>
    <w:p w14:paraId="4F44116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E462CC4">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（5）法律、法规和磋商文件规定的其他无效情形。</w:t>
      </w:r>
    </w:p>
    <w:p w14:paraId="33F57EC3">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供应商存在下列情形之一，经磋商小组评审后，认定为响应无效：</w:t>
      </w:r>
    </w:p>
    <w:p w14:paraId="447F0CB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73AB400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)财产被接管或冻结可能影响本项目正常实施的；</w:t>
      </w:r>
    </w:p>
    <w:p w14:paraId="37C2706D">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)法律、法规规定及磋商文件约定的其他情形。</w:t>
      </w:r>
    </w:p>
    <w:p w14:paraId="272642F8">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7" w:name="_Toc476584426"/>
      <w:bookmarkStart w:id="68" w:name="_Toc54941337"/>
      <w:r>
        <w:rPr>
          <w:rFonts w:hint="eastAsia" w:asciiTheme="minorEastAsia" w:hAnsiTheme="minorEastAsia" w:eastAsiaTheme="minorEastAsia" w:cstheme="minorEastAsia"/>
          <w:color w:val="auto"/>
          <w:sz w:val="24"/>
          <w:szCs w:val="24"/>
          <w:highlight w:val="none"/>
          <w:lang w:val="en-US" w:eastAsia="zh-CN"/>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4CED3EC2">
      <w:pPr>
        <w:pStyle w:val="5"/>
        <w:pageBreakBefore w:val="0"/>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7"/>
      <w:bookmarkEnd w:id="68"/>
      <w:r>
        <w:rPr>
          <w:rFonts w:hint="eastAsia" w:asciiTheme="minorEastAsia" w:hAnsiTheme="minorEastAsia" w:eastAsiaTheme="minorEastAsia" w:cstheme="minorEastAsia"/>
          <w:color w:val="auto"/>
          <w:sz w:val="24"/>
          <w:szCs w:val="24"/>
          <w:highlight w:val="none"/>
          <w:lang w:val="en-US" w:eastAsia="zh-CN"/>
        </w:rPr>
        <w:t>磋商小组</w:t>
      </w:r>
    </w:p>
    <w:p w14:paraId="5CA5FDC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20.1.本项目将依法组建磋商小组，磋商小组成员由 3 人组成，磋商小组及其成员应当依照政府采购的有关规定履行相关职责和义务。 </w:t>
      </w:r>
    </w:p>
    <w:p w14:paraId="584FB7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20.2.磋商小组依法对响应文件进行评审，并根据磋商文件规定的程序、评定成交的标准等事项与实质性响应磋商文件要求的供应商进行磋商。 </w:t>
      </w:r>
    </w:p>
    <w:p w14:paraId="34E8AEB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磋商小组应当从质量和服务均能满足磋商文件实质性响应要求的供应商中，按照评审方法和标准推荐成交候选供应商，并编写评审报告。</w:t>
      </w:r>
    </w:p>
    <w:p w14:paraId="7AA3C5C3">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21、响应文件的评审和磋商</w:t>
      </w:r>
    </w:p>
    <w:p w14:paraId="5068DFE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21.1.采购人和采购代理机构将在磋商须知前附表规定的时间和地点组织磋商。</w:t>
      </w:r>
    </w:p>
    <w:p w14:paraId="6509052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21.2.竞争性磋商活动采用综合评分法评审。</w:t>
      </w:r>
    </w:p>
    <w:p w14:paraId="18D68A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综合评分法，是指响应文件满足磋商文件全部实质性要求且按评审因素的量化指标评审得分最高的供应商为成交候选供应商的评审方法。</w:t>
      </w:r>
    </w:p>
    <w:p w14:paraId="761076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21.3.磋商小组将按照磋商文件规定的评审方法和标准对供应商独立进行评审。评审程序如下： 21.3.1 初审。磋商小组对供应商必须满足和实质性响应的内容进行评审，供应商未实质性响应磋商文件要求导致响应无效的，磋商小组将以书面询标的方式告知有关供应商。</w:t>
      </w:r>
    </w:p>
    <w:p w14:paraId="19549EC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磋商将被认定为响应无效。 </w:t>
      </w:r>
    </w:p>
    <w:p w14:paraId="14A6B6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21.3.1.2.信用信息查询渠道：中国政府采购网（www.ccgp.gov.cn）、“信用中国 ”网站 （ www.creditchina.gov.cn ）</w:t>
      </w:r>
      <w:r>
        <w:rPr>
          <w:rFonts w:ascii="宋体" w:hAnsi="宋体" w:eastAsia="宋体" w:cs="宋体"/>
          <w:color w:val="auto"/>
          <w:sz w:val="24"/>
          <w:szCs w:val="24"/>
          <w:highlight w:val="none"/>
        </w:rPr>
        <w:t>。</w:t>
      </w:r>
    </w:p>
    <w:p w14:paraId="31D6906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21.3.1.3.信用信息记录方式：供应商不良信用记录以磋商小组查询结果为准。 </w:t>
      </w:r>
    </w:p>
    <w:p w14:paraId="64E63A8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91E771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21.3.2.磋商。初审合格后，磋商小组将按响应文件提交顺序与供应商进行磋商，并给予所有参加磋商的供应商平等的磋商机会。</w:t>
      </w:r>
    </w:p>
    <w:p w14:paraId="3411A43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21.3.3.报价。磋商结束后，磋商小组应当要求所有实质性响应的供应商在规定时间内提交最后报价。</w:t>
      </w:r>
    </w:p>
    <w:p w14:paraId="6EF1A3F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21.3.4.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1E5E972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21.4.相关说明。</w:t>
      </w:r>
    </w:p>
    <w:p w14:paraId="73AAC4F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21.4.1.为保证磋商活动顺利进行，供应商可派相关技术人员进行现场答疑；</w:t>
      </w:r>
    </w:p>
    <w:p w14:paraId="5F4800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 </w:t>
      </w:r>
    </w:p>
    <w:p w14:paraId="78D0668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21.4.3.磋商小组发现供应商的报价或者某些分项报价明显低于其他通过初审的供应商的报价，有可能影响产品质量和不能诚信履约的，应当要求其在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磋商现场磋商小组规定的时间内（30分钟内，以询标函发出时间为准）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5B133D3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21.4.4.无论何种原因，即使供应商磋商时携带了证书材料的原件，但响应文件中未提供与之内容完全一致的扫描件的，磋商小组可以视同其未提供。</w:t>
      </w:r>
    </w:p>
    <w:p w14:paraId="1F0A367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21.4.5.磋商小组决定响应文件的响应性及符合性只根据响应文件本身的内容，而不寻求其他外部证据。</w:t>
      </w:r>
    </w:p>
    <w:p w14:paraId="33C03F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21.5.供应商授权代表对磋商过程有疑义，以及认为采购人、采购代理机构相关工作人员有需要回避的情形的，应当场提出询问或者回避申请，并说明理由。</w:t>
      </w:r>
    </w:p>
    <w:p w14:paraId="641A5C76">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22、终止竞争性磋商 </w:t>
      </w:r>
    </w:p>
    <w:p w14:paraId="7311138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22.1.出现下列情况之一时，采购人和采购代理机构有权宣布终止竞争性磋商采购，并将理由通知所有供应商： </w:t>
      </w:r>
    </w:p>
    <w:p w14:paraId="57E13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（1）有效供应商数量不足，导致本次磋商缺乏竞争的； </w:t>
      </w:r>
    </w:p>
    <w:p w14:paraId="5264D8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6EFCED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747E28D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EE906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08A78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28457D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23.2.磋商小组要求供应商澄清、说明或者更正响应文件应在</w:t>
      </w:r>
      <w:r>
        <w:rPr>
          <w:rFonts w:hint="eastAsia" w:asciiTheme="minorEastAsia" w:hAnsiTheme="minorEastAsia" w:eastAsiaTheme="minorEastAsia" w:cstheme="minorEastAsia"/>
          <w:color w:val="auto"/>
          <w:sz w:val="24"/>
          <w:szCs w:val="24"/>
          <w:highlight w:val="none"/>
          <w:lang w:val="en-US" w:eastAsia="zh-CN"/>
        </w:rPr>
        <w:t>磋商小组规定的时间内(30分钟内，以询标函发出时间为准)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如有询标，授权代表（或法定代表人）现场接受询标。因法人或授权代表联系不上、没有莅临现场等情形而无法接受磋商小组询标的，供应商自行承担相关风险。</w:t>
      </w:r>
    </w:p>
    <w:p w14:paraId="27052DD7">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387A8BA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24.1.磋商并不限定只进行二轮报价，如果磋商小组认为有必要，可以要求供应商进行多轮报价。</w:t>
      </w:r>
    </w:p>
    <w:p w14:paraId="56CEC7A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507FBB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供应商提交的最后报价表的格式、填写、盖章须符合磋商文件的要求。如供应商未在规定时间内（30分钟内）提交最后报价，则视为供应商自愿退出磋商。</w:t>
      </w:r>
    </w:p>
    <w:p w14:paraId="55B62C6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2510CEF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25.1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BDC1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077DE69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 xml:space="preserve">26.1.磋商小组根据综合评分的结果和磋商须知前附表中规定确定成交候选供应商，并标明排列顺序。排名第一的成交候选供应商经采购人或采购人授权的磋商小组确定为成交供应商后，由采购代理机构在指定媒体上予以公告。 </w:t>
      </w:r>
    </w:p>
    <w:p w14:paraId="36CEC36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02A93A7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 </w:t>
      </w:r>
    </w:p>
    <w:p w14:paraId="0248706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5EF7B34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28.1.评审将在严格保密的情况下进行。 </w:t>
      </w:r>
    </w:p>
    <w:p w14:paraId="35FA447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541CFA6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42711EA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29.1.为体现“公开、公平、公正”的原则，磋商结束后，采购代理机构将在桐城师范高等专科学校官网上公告成交结果。</w:t>
      </w:r>
    </w:p>
    <w:p w14:paraId="5478443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29.2.成交结果公告内容应当包括采购人及其委托的采购代理机构的名称、地址、联系方式，项目名称和项目编号，成交供应商名称、地址和成交金额，主要成交标的的名称、服务范围、服务要求、服务时间、服务标准，成交结果公告期限、评审专家名单以及磋商须知前附表中约定进行公告的内容。 </w:t>
      </w:r>
    </w:p>
    <w:p w14:paraId="159298A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4CBCBF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30.1.采购代理机构发布成交结果公告的同时以磋商须知前附表规定的形式向成交供应商发出成交通知书。 </w:t>
      </w:r>
    </w:p>
    <w:p w14:paraId="7C40414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30.2.成交通知书对采购人和成交供应商具有同等法律效力。成交通知书发出以后，采购人改变成交结果或者成交供应商放弃成交资格，应当承担相应的法律责任。</w:t>
      </w:r>
    </w:p>
    <w:p w14:paraId="1FC87F1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30.3.成交通知书是合同的组成部分。 </w:t>
      </w:r>
    </w:p>
    <w:p w14:paraId="3B15E60D">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31、告知磋商结果 </w:t>
      </w:r>
    </w:p>
    <w:p w14:paraId="07C9DD55">
      <w:pPr>
        <w:pageBreakBefore w:val="0"/>
        <w:kinsoku/>
        <w:overflowPunct/>
        <w:topLinePunct w:val="0"/>
        <w:bidi w:val="0"/>
        <w:snapToGrid w:val="0"/>
        <w:spacing w:line="560" w:lineRule="exact"/>
        <w:ind w:firstLine="480" w:firstLineChars="200"/>
        <w:textAlignment w:val="auto"/>
        <w:rPr>
          <w:rFonts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31.1.</w:t>
      </w:r>
      <w:r>
        <w:rPr>
          <w:rFonts w:ascii="宋体" w:hAnsi="宋体" w:eastAsia="宋体" w:cs="宋体"/>
          <w:color w:val="auto"/>
          <w:sz w:val="24"/>
          <w:szCs w:val="24"/>
          <w:highlight w:val="none"/>
        </w:rPr>
        <w:t>在公告成交结果的同时，采购代理机构将公告供应商的评审得分和排序。</w:t>
      </w:r>
    </w:p>
    <w:p w14:paraId="3BDA455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31.2.采购代理机构对未成交的供应商不做未成交原因的解释。 </w:t>
      </w:r>
    </w:p>
    <w:p w14:paraId="6574A92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01ED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成交供应商应按照磋商须知前附表规定缴纳履约保证金。</w:t>
      </w:r>
    </w:p>
    <w:p w14:paraId="507ABA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4140F34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33.1本项目成交服务费为中标价款的1.5%。 </w:t>
      </w:r>
    </w:p>
    <w:p w14:paraId="59FB222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158D21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34.1.采购人与成交供应商应当自发出成交通知书之日起7个工作日内签订合同。</w:t>
      </w:r>
    </w:p>
    <w:p w14:paraId="4E4D8E5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34.2.磋商文件、成交供应商的响应文件及其澄清文件等，均为签订合同的依据。</w:t>
      </w:r>
    </w:p>
    <w:p w14:paraId="11C19C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34.3.成交供应商拒绝与采购人签订合同的，采购人可以按照评审报告推荐的成交候选供应商名单排序，确定下一成交候选供应商为成交供应商，也可以重新开展采购活动。</w:t>
      </w:r>
    </w:p>
    <w:p w14:paraId="6DB38A0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2F177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35.1.供应商认为磋商文件、采购过程和成交结果使自己的权益受到损害的，可以在知道或者应知其权益受到损害之日起七个工作日内，以书面形式向采购人或其委托的采购代理机构提出质疑。 </w:t>
      </w:r>
    </w:p>
    <w:p w14:paraId="63491AF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35.2.上述应知其权益受到损害之日，是指： </w:t>
      </w:r>
    </w:p>
    <w:p w14:paraId="07D6DC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（1）对磋商文件提出质疑的，为磋商文件公告期限届满之日； </w:t>
      </w:r>
    </w:p>
    <w:p w14:paraId="6CEAD2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（2）对采购过程提出质疑的，为各采购程序环节结束之日； </w:t>
      </w:r>
    </w:p>
    <w:p w14:paraId="082E124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（3）对成交结果提出质疑的，为成交结果公告期限届满之日。</w:t>
      </w:r>
    </w:p>
    <w:p w14:paraId="32B1BC4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 36.3.质疑供应商应按照财政部制定的《政府采购质疑函范本》格式（详见磋商文件第七章）和《政府采购质疑和投诉办法》的要求，在法定质疑期内以书面形式提出质疑，超出法定质疑期提交的质疑将被拒绝。针对同一采购程序环节的质疑应一次性提出。</w:t>
      </w:r>
    </w:p>
    <w:p w14:paraId="709F046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35.4.采购代理机构质疑函接收部门、联系电话和通讯地址，见供应商须知前附表。 </w:t>
      </w:r>
    </w:p>
    <w:p w14:paraId="6632C665">
      <w:pPr>
        <w:pStyle w:val="5"/>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35.5.质疑供应商对采购人、采购代理机构的答复不满意，或采购人、采购代理机构未在规定时间内做出答复的，可以在答复期满后15个工作日内向监管部门提起投诉。</w:t>
      </w:r>
    </w:p>
    <w:p w14:paraId="7CFCC19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7BF2C50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sectPr>
          <w:headerReference r:id="rId5" w:type="default"/>
          <w:footerReference r:id="rId6" w:type="default"/>
          <w:pgSz w:w="11906" w:h="16838"/>
          <w:pgMar w:top="1418" w:right="1418" w:bottom="1276" w:left="1418" w:header="680" w:footer="680" w:gutter="0"/>
          <w:pgNumType w:fmt="decimal" w:start="1"/>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eastAsia="zh-CN"/>
        </w:rPr>
        <w:t>磋商须知前附表</w:t>
      </w:r>
      <w:r>
        <w:rPr>
          <w:rFonts w:hint="eastAsia" w:asciiTheme="minorEastAsia" w:hAnsiTheme="minorEastAsia" w:eastAsiaTheme="minorEastAsia" w:cstheme="minorEastAsia"/>
          <w:color w:val="auto"/>
          <w:sz w:val="24"/>
          <w:szCs w:val="24"/>
          <w:highlight w:val="none"/>
        </w:rPr>
        <w:t>。</w:t>
      </w:r>
    </w:p>
    <w:p w14:paraId="45D94E66">
      <w:pPr>
        <w:pStyle w:val="75"/>
        <w:ind w:left="0" w:leftChars="0" w:firstLine="0" w:firstLineChars="0"/>
        <w:jc w:val="center"/>
        <w:outlineLvl w:val="0"/>
        <w:rPr>
          <w:rFonts w:hint="default" w:ascii="宋体" w:hAnsi="宋体" w:cs="宋体"/>
          <w:b/>
          <w:bCs w:val="0"/>
          <w:color w:val="auto"/>
          <w:sz w:val="30"/>
          <w:szCs w:val="30"/>
          <w:highlight w:val="none"/>
          <w:lang w:val="en-US" w:eastAsia="zh-CN"/>
        </w:rPr>
      </w:pPr>
      <w:bookmarkStart w:id="69" w:name="_Toc12353"/>
      <w:r>
        <w:rPr>
          <w:rFonts w:hint="eastAsia" w:ascii="Arial" w:hAnsi="Arial"/>
          <w:b/>
          <w:bCs/>
          <w:color w:val="auto"/>
          <w:kern w:val="2"/>
          <w:sz w:val="32"/>
          <w:szCs w:val="32"/>
          <w:highlight w:val="none"/>
          <w:lang w:val="en-US" w:eastAsia="zh-CN"/>
        </w:rPr>
        <w:t>第三章</w:t>
      </w:r>
      <w:r>
        <w:rPr>
          <w:rFonts w:hint="eastAsia" w:ascii="Arial" w:hAnsi="Arial"/>
          <w:color w:val="auto"/>
          <w:kern w:val="2"/>
          <w:sz w:val="32"/>
          <w:szCs w:val="32"/>
          <w:highlight w:val="none"/>
          <w:lang w:val="en-US" w:eastAsia="zh-CN"/>
        </w:rPr>
        <w:t xml:space="preserve"> </w:t>
      </w:r>
      <w:r>
        <w:rPr>
          <w:rFonts w:hint="eastAsia" w:ascii="宋体" w:hAnsi="宋体" w:cs="宋体"/>
          <w:b/>
          <w:bCs w:val="0"/>
          <w:color w:val="auto"/>
          <w:sz w:val="30"/>
          <w:szCs w:val="30"/>
          <w:highlight w:val="none"/>
          <w:lang w:val="en-US" w:eastAsia="zh-CN"/>
        </w:rPr>
        <w:t>采购需求</w:t>
      </w:r>
      <w:bookmarkEnd w:id="69"/>
    </w:p>
    <w:p w14:paraId="5176F20D">
      <w:pPr>
        <w:spacing w:line="360" w:lineRule="auto"/>
        <w:ind w:firstLine="562" w:firstLineChars="200"/>
        <w:rPr>
          <w:color w:val="auto"/>
          <w:sz w:val="28"/>
          <w:szCs w:val="28"/>
          <w:highlight w:val="none"/>
        </w:rPr>
      </w:pPr>
      <w:r>
        <w:rPr>
          <w:rFonts w:hint="eastAsia" w:ascii="宋体" w:hAnsi="宋体"/>
          <w:b/>
          <w:bCs/>
          <w:color w:val="auto"/>
          <w:sz w:val="28"/>
          <w:szCs w:val="28"/>
          <w:highlight w:val="none"/>
        </w:rPr>
        <w:t>一、</w:t>
      </w:r>
      <w:r>
        <w:rPr>
          <w:rFonts w:hint="eastAsia" w:ascii="宋体" w:hAnsi="宋体"/>
          <w:b/>
          <w:bCs/>
          <w:color w:val="auto"/>
          <w:sz w:val="28"/>
          <w:szCs w:val="28"/>
          <w:highlight w:val="none"/>
          <w:lang w:eastAsia="zh-CN"/>
        </w:rPr>
        <w:t>商务要求</w:t>
      </w:r>
      <w:r>
        <w:rPr>
          <w:rFonts w:hint="eastAsia" w:ascii="宋体" w:hAnsi="宋体"/>
          <w:b/>
          <w:bCs/>
          <w:color w:val="auto"/>
          <w:sz w:val="28"/>
          <w:szCs w:val="28"/>
          <w:highlight w:val="none"/>
        </w:rPr>
        <w:t>：</w:t>
      </w:r>
    </w:p>
    <w:tbl>
      <w:tblPr>
        <w:tblStyle w:val="6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861"/>
      </w:tblGrid>
      <w:tr w14:paraId="6B00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46F7E4CB">
            <w:pPr>
              <w:pStyle w:val="31"/>
              <w:jc w:val="center"/>
              <w:rPr>
                <w:rFonts w:cs="Wingdings" w:asciiTheme="minorEastAsia" w:hAnsiTheme="minorEastAsia"/>
                <w:b/>
                <w:sz w:val="21"/>
                <w:szCs w:val="18"/>
              </w:rPr>
            </w:pPr>
            <w:r>
              <w:rPr>
                <w:rFonts w:hint="eastAsia" w:cs="Wingdings" w:asciiTheme="minorEastAsia" w:hAnsiTheme="minorEastAsia"/>
                <w:b/>
                <w:color w:val="auto"/>
                <w:sz w:val="21"/>
                <w:szCs w:val="18"/>
                <w:highlight w:val="none"/>
              </w:rPr>
              <w:t>序号</w:t>
            </w:r>
          </w:p>
        </w:tc>
        <w:tc>
          <w:tcPr>
            <w:tcW w:w="2391" w:type="dxa"/>
            <w:vAlign w:val="center"/>
          </w:tcPr>
          <w:p w14:paraId="02D27D18">
            <w:pPr>
              <w:pStyle w:val="31"/>
              <w:jc w:val="center"/>
              <w:rPr>
                <w:sz w:val="18"/>
                <w:szCs w:val="18"/>
              </w:rPr>
            </w:pPr>
            <w:r>
              <w:rPr>
                <w:rFonts w:hint="eastAsia" w:asciiTheme="minorEastAsia" w:hAnsiTheme="minorEastAsia"/>
                <w:b/>
                <w:bCs/>
                <w:color w:val="auto"/>
                <w:sz w:val="21"/>
                <w:szCs w:val="21"/>
                <w:highlight w:val="none"/>
              </w:rPr>
              <w:t>商务条款</w:t>
            </w:r>
          </w:p>
        </w:tc>
        <w:tc>
          <w:tcPr>
            <w:tcW w:w="5861" w:type="dxa"/>
            <w:vAlign w:val="center"/>
          </w:tcPr>
          <w:p w14:paraId="12399B78">
            <w:pPr>
              <w:pStyle w:val="31"/>
              <w:jc w:val="center"/>
              <w:rPr>
                <w:rFonts w:cs="Wingdings" w:asciiTheme="minorEastAsia" w:hAnsiTheme="minorEastAsia"/>
                <w:b/>
                <w:sz w:val="21"/>
                <w:szCs w:val="18"/>
              </w:rPr>
            </w:pPr>
            <w:r>
              <w:rPr>
                <w:rFonts w:hint="eastAsia" w:cs="Wingdings" w:asciiTheme="minorEastAsia" w:hAnsiTheme="minorEastAsia"/>
                <w:b/>
                <w:color w:val="auto"/>
                <w:sz w:val="21"/>
                <w:szCs w:val="18"/>
                <w:highlight w:val="none"/>
                <w:lang w:val="en-US" w:eastAsia="zh-CN"/>
              </w:rPr>
              <w:t>磋商</w:t>
            </w:r>
            <w:r>
              <w:rPr>
                <w:rFonts w:hint="eastAsia" w:cs="Wingdings" w:asciiTheme="minorEastAsia" w:hAnsiTheme="minorEastAsia"/>
                <w:b/>
                <w:color w:val="auto"/>
                <w:sz w:val="21"/>
                <w:szCs w:val="18"/>
                <w:highlight w:val="none"/>
                <w:lang w:eastAsia="zh-CN"/>
              </w:rPr>
              <w:t>文件</w:t>
            </w:r>
            <w:r>
              <w:rPr>
                <w:rFonts w:hint="eastAsia" w:cs="Wingdings" w:asciiTheme="minorEastAsia" w:hAnsiTheme="minorEastAsia"/>
                <w:b/>
                <w:color w:val="auto"/>
                <w:sz w:val="21"/>
                <w:szCs w:val="18"/>
                <w:highlight w:val="none"/>
              </w:rPr>
              <w:t>要求</w:t>
            </w:r>
          </w:p>
        </w:tc>
      </w:tr>
      <w:tr w14:paraId="405E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434159D6">
            <w:pPr>
              <w:jc w:val="center"/>
              <w:rPr>
                <w:rFonts w:asciiTheme="minorEastAsia" w:hAnsiTheme="minorEastAsia" w:eastAsiaTheme="minorEastAsia"/>
                <w:sz w:val="21"/>
                <w:szCs w:val="16"/>
              </w:rPr>
            </w:pPr>
            <w:r>
              <w:rPr>
                <w:rFonts w:asciiTheme="minorEastAsia" w:hAnsiTheme="minorEastAsia" w:eastAsiaTheme="minorEastAsia"/>
                <w:color w:val="auto"/>
                <w:sz w:val="21"/>
                <w:szCs w:val="16"/>
                <w:highlight w:val="none"/>
              </w:rPr>
              <w:t>1</w:t>
            </w:r>
          </w:p>
        </w:tc>
        <w:tc>
          <w:tcPr>
            <w:tcW w:w="2391" w:type="dxa"/>
            <w:vAlign w:val="center"/>
          </w:tcPr>
          <w:p w14:paraId="0BD075D8">
            <w:pPr>
              <w:jc w:val="center"/>
              <w:rPr>
                <w:rFonts w:ascii="宋体" w:hAnsi="宋体"/>
                <w:sz w:val="21"/>
                <w:szCs w:val="16"/>
              </w:rPr>
            </w:pPr>
            <w:r>
              <w:rPr>
                <w:rFonts w:asciiTheme="minorEastAsia" w:hAnsiTheme="minorEastAsia" w:eastAsiaTheme="minorEastAsia"/>
                <w:color w:val="auto"/>
                <w:sz w:val="21"/>
                <w:szCs w:val="16"/>
                <w:highlight w:val="none"/>
              </w:rPr>
              <w:t>付款方式</w:t>
            </w:r>
          </w:p>
        </w:tc>
        <w:tc>
          <w:tcPr>
            <w:tcW w:w="5861" w:type="dxa"/>
            <w:vAlign w:val="center"/>
          </w:tcPr>
          <w:p w14:paraId="4BF0462B">
            <w:pPr>
              <w:jc w:val="left"/>
              <w:rPr>
                <w:rFonts w:hint="default" w:asciiTheme="minorEastAsia" w:hAnsiTheme="minorEastAsia" w:eastAsiaTheme="minorEastAsia"/>
                <w:sz w:val="21"/>
                <w:szCs w:val="16"/>
                <w:lang w:val="en-US" w:eastAsia="zh-CN"/>
              </w:rPr>
            </w:pPr>
            <w:r>
              <w:rPr>
                <w:rFonts w:hint="default" w:asciiTheme="minorEastAsia" w:hAnsiTheme="minorEastAsia" w:eastAsiaTheme="minorEastAsia"/>
                <w:sz w:val="21"/>
                <w:szCs w:val="16"/>
                <w:lang w:val="en-US" w:eastAsia="zh-CN"/>
              </w:rPr>
              <w:t>若甲方在省赛中至少取得一个一等奖，且至少有一个项目入围国赛，全额支付合同额的100%；</w:t>
            </w:r>
          </w:p>
          <w:p w14:paraId="6C8A9F8D">
            <w:pPr>
              <w:jc w:val="left"/>
              <w:rPr>
                <w:rFonts w:hint="default" w:asciiTheme="minorEastAsia" w:hAnsiTheme="minorEastAsia" w:eastAsiaTheme="minorEastAsia"/>
                <w:sz w:val="21"/>
                <w:szCs w:val="16"/>
                <w:lang w:val="en-US" w:eastAsia="zh-CN"/>
              </w:rPr>
            </w:pPr>
            <w:r>
              <w:rPr>
                <w:rFonts w:hint="default" w:asciiTheme="minorEastAsia" w:hAnsiTheme="minorEastAsia" w:eastAsiaTheme="minorEastAsia"/>
                <w:sz w:val="21"/>
                <w:szCs w:val="16"/>
                <w:lang w:val="en-US" w:eastAsia="zh-CN"/>
              </w:rPr>
              <w:t>若甲方在省赛中取得一个一等奖，则支付合同额的80%；</w:t>
            </w:r>
          </w:p>
          <w:p w14:paraId="4E4B0EA3">
            <w:pPr>
              <w:jc w:val="left"/>
              <w:rPr>
                <w:rFonts w:hint="default" w:asciiTheme="minorEastAsia" w:hAnsiTheme="minorEastAsia" w:eastAsiaTheme="minorEastAsia"/>
                <w:sz w:val="21"/>
                <w:szCs w:val="16"/>
                <w:lang w:val="en-US" w:eastAsia="zh-CN"/>
              </w:rPr>
            </w:pPr>
            <w:r>
              <w:rPr>
                <w:rFonts w:hint="default" w:asciiTheme="minorEastAsia" w:hAnsiTheme="minorEastAsia" w:eastAsiaTheme="minorEastAsia"/>
                <w:sz w:val="21"/>
                <w:szCs w:val="16"/>
                <w:lang w:val="en-US" w:eastAsia="zh-CN"/>
              </w:rPr>
              <w:t>若甲方在省赛中无一等奖，且取得至少一个二等奖，则支付合同额60%；</w:t>
            </w:r>
          </w:p>
          <w:p w14:paraId="7F45DC00">
            <w:pPr>
              <w:jc w:val="left"/>
              <w:rPr>
                <w:rFonts w:hint="default" w:asciiTheme="minorEastAsia" w:hAnsiTheme="minorEastAsia" w:eastAsiaTheme="minorEastAsia"/>
                <w:sz w:val="21"/>
                <w:szCs w:val="16"/>
                <w:lang w:val="en-US" w:eastAsia="zh-CN"/>
              </w:rPr>
            </w:pPr>
            <w:r>
              <w:rPr>
                <w:rFonts w:hint="default" w:asciiTheme="minorEastAsia" w:hAnsiTheme="minorEastAsia" w:eastAsiaTheme="minorEastAsia"/>
                <w:sz w:val="21"/>
                <w:szCs w:val="16"/>
                <w:lang w:val="en-US" w:eastAsia="zh-CN"/>
              </w:rPr>
              <w:t>若甲方在省赛中无一等奖且无二等奖，则只支付合同额的30%。</w:t>
            </w:r>
          </w:p>
        </w:tc>
      </w:tr>
      <w:tr w14:paraId="369A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21A30DA7">
            <w:pPr>
              <w:jc w:val="center"/>
              <w:rPr>
                <w:rFonts w:asciiTheme="minorEastAsia" w:hAnsiTheme="minorEastAsia" w:eastAsiaTheme="minorEastAsia"/>
                <w:sz w:val="21"/>
                <w:szCs w:val="16"/>
              </w:rPr>
            </w:pPr>
            <w:r>
              <w:rPr>
                <w:rFonts w:hint="eastAsia" w:asciiTheme="minorEastAsia" w:hAnsiTheme="minorEastAsia" w:eastAsiaTheme="minorEastAsia"/>
                <w:color w:val="auto"/>
                <w:sz w:val="21"/>
                <w:szCs w:val="16"/>
                <w:highlight w:val="none"/>
              </w:rPr>
              <w:t>2</w:t>
            </w:r>
          </w:p>
        </w:tc>
        <w:tc>
          <w:tcPr>
            <w:tcW w:w="2391" w:type="dxa"/>
            <w:vAlign w:val="center"/>
          </w:tcPr>
          <w:p w14:paraId="37C5C786">
            <w:pPr>
              <w:jc w:val="center"/>
              <w:rPr>
                <w:rFonts w:ascii="宋体" w:hAnsi="宋体"/>
                <w:sz w:val="21"/>
                <w:szCs w:val="16"/>
              </w:rPr>
            </w:pPr>
            <w:r>
              <w:rPr>
                <w:rFonts w:hint="eastAsia" w:ascii="宋体" w:hAnsi="宋体"/>
                <w:color w:val="auto"/>
                <w:sz w:val="21"/>
                <w:szCs w:val="16"/>
                <w:highlight w:val="none"/>
                <w:lang w:val="en-US" w:eastAsia="zh-CN"/>
              </w:rPr>
              <w:t>服务</w:t>
            </w:r>
            <w:r>
              <w:rPr>
                <w:rFonts w:hint="eastAsia" w:ascii="宋体" w:hAnsi="宋体"/>
                <w:color w:val="auto"/>
                <w:sz w:val="21"/>
                <w:szCs w:val="16"/>
                <w:highlight w:val="none"/>
              </w:rPr>
              <w:t>地点</w:t>
            </w:r>
          </w:p>
        </w:tc>
        <w:tc>
          <w:tcPr>
            <w:tcW w:w="5861" w:type="dxa"/>
            <w:vAlign w:val="center"/>
          </w:tcPr>
          <w:p w14:paraId="59D57927">
            <w:pPr>
              <w:jc w:val="center"/>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桐城师范高等专科学校</w:t>
            </w:r>
          </w:p>
        </w:tc>
      </w:tr>
      <w:tr w14:paraId="52F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97436F8">
            <w:pPr>
              <w:jc w:val="center"/>
              <w:rPr>
                <w:rFonts w:asciiTheme="minorEastAsia" w:hAnsiTheme="minorEastAsia" w:eastAsiaTheme="minorEastAsia"/>
                <w:sz w:val="21"/>
                <w:szCs w:val="16"/>
              </w:rPr>
            </w:pPr>
            <w:r>
              <w:rPr>
                <w:rFonts w:hint="eastAsia" w:asciiTheme="minorEastAsia" w:hAnsiTheme="minorEastAsia" w:eastAsiaTheme="minorEastAsia"/>
                <w:color w:val="auto"/>
                <w:sz w:val="21"/>
                <w:szCs w:val="16"/>
                <w:highlight w:val="none"/>
              </w:rPr>
              <w:t>3</w:t>
            </w:r>
          </w:p>
        </w:tc>
        <w:tc>
          <w:tcPr>
            <w:tcW w:w="2391" w:type="dxa"/>
            <w:vAlign w:val="center"/>
          </w:tcPr>
          <w:p w14:paraId="73459A62">
            <w:pPr>
              <w:jc w:val="center"/>
              <w:rPr>
                <w:rFonts w:ascii="宋体" w:hAnsi="宋体"/>
                <w:sz w:val="21"/>
                <w:szCs w:val="16"/>
              </w:rPr>
            </w:pPr>
            <w:r>
              <w:rPr>
                <w:rFonts w:hint="eastAsia" w:ascii="宋体" w:hAnsi="宋体"/>
                <w:color w:val="auto"/>
                <w:sz w:val="21"/>
                <w:szCs w:val="16"/>
                <w:highlight w:val="none"/>
                <w:lang w:val="en-US" w:eastAsia="zh-CN"/>
              </w:rPr>
              <w:t>合同履行期限</w:t>
            </w:r>
          </w:p>
        </w:tc>
        <w:tc>
          <w:tcPr>
            <w:tcW w:w="5861" w:type="dxa"/>
            <w:vAlign w:val="center"/>
          </w:tcPr>
          <w:p w14:paraId="46CFC851">
            <w:pPr>
              <w:numPr>
                <w:ilvl w:val="0"/>
                <w:numId w:val="0"/>
              </w:numPr>
              <w:jc w:val="center"/>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截止至比赛结束</w:t>
            </w:r>
          </w:p>
        </w:tc>
      </w:tr>
      <w:tr w14:paraId="7E26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10536749">
            <w:pPr>
              <w:jc w:val="center"/>
              <w:rPr>
                <w:rFonts w:hint="eastAsia" w:asciiTheme="minorEastAsia" w:hAnsiTheme="minorEastAsia" w:eastAsiaTheme="minorEastAsia"/>
                <w:color w:val="auto"/>
                <w:sz w:val="21"/>
                <w:szCs w:val="16"/>
                <w:highlight w:val="none"/>
                <w:lang w:val="en-US" w:eastAsia="zh-CN"/>
              </w:rPr>
            </w:pPr>
            <w:r>
              <w:rPr>
                <w:rFonts w:hint="eastAsia" w:asciiTheme="minorEastAsia" w:hAnsiTheme="minorEastAsia" w:eastAsiaTheme="minorEastAsia"/>
                <w:color w:val="auto"/>
                <w:sz w:val="21"/>
                <w:szCs w:val="16"/>
                <w:highlight w:val="none"/>
                <w:lang w:val="en-US" w:eastAsia="zh-CN"/>
              </w:rPr>
              <w:t>4</w:t>
            </w:r>
          </w:p>
        </w:tc>
        <w:tc>
          <w:tcPr>
            <w:tcW w:w="2391" w:type="dxa"/>
            <w:vAlign w:val="center"/>
          </w:tcPr>
          <w:p w14:paraId="7D9102C8">
            <w:pPr>
              <w:widowControl/>
              <w:adjustRightInd/>
              <w:snapToGrid w:val="0"/>
              <w:spacing w:line="240" w:lineRule="auto"/>
              <w:jc w:val="center"/>
              <w:rPr>
                <w:rFonts w:hint="eastAsia" w:ascii="宋体" w:hAnsi="宋体"/>
                <w:color w:val="auto"/>
                <w:sz w:val="21"/>
                <w:szCs w:val="16"/>
                <w:highlight w:val="none"/>
                <w:lang w:val="en-US" w:eastAsia="zh-CN"/>
              </w:rPr>
            </w:pPr>
            <w:r>
              <w:rPr>
                <w:rFonts w:hint="default" w:ascii="Times New Roman" w:hAnsi="Times New Roman" w:eastAsia="宋体" w:cs="宋体"/>
                <w:color w:val="000000"/>
                <w:sz w:val="21"/>
                <w:szCs w:val="21"/>
                <w:lang w:val="zh-CN" w:eastAsia="zh-CN"/>
              </w:rPr>
              <w:t>服务要求</w:t>
            </w:r>
          </w:p>
        </w:tc>
        <w:tc>
          <w:tcPr>
            <w:tcW w:w="5861" w:type="dxa"/>
            <w:vAlign w:val="center"/>
          </w:tcPr>
          <w:p w14:paraId="3138A260">
            <w:pPr>
              <w:jc w:val="left"/>
              <w:rPr>
                <w:rFonts w:hint="eastAsia" w:cs="宋体"/>
                <w:color w:val="000000"/>
                <w:sz w:val="21"/>
                <w:szCs w:val="21"/>
                <w:lang w:val="en-US" w:eastAsia="zh-CN"/>
              </w:rPr>
            </w:pPr>
            <w:r>
              <w:rPr>
                <w:rFonts w:hint="eastAsia" w:cs="宋体"/>
                <w:color w:val="000000"/>
                <w:sz w:val="21"/>
                <w:szCs w:val="21"/>
                <w:lang w:val="en-US" w:eastAsia="zh-CN"/>
              </w:rPr>
              <w:t>1.采购的产品或服务必须符合 2025年中国国际大学生创新大赛省赛文件要求的质量标准和规定，同时必须安排具有省赛或国赛评审经验的专家对参赛项目和项目材料进行指导服务和制作服务。</w:t>
            </w:r>
          </w:p>
          <w:p w14:paraId="087B77F2">
            <w:pPr>
              <w:jc w:val="left"/>
              <w:rPr>
                <w:rFonts w:hint="eastAsia" w:cs="宋体"/>
                <w:color w:val="000000"/>
                <w:sz w:val="21"/>
                <w:szCs w:val="21"/>
                <w:lang w:val="en-US" w:eastAsia="zh-CN"/>
              </w:rPr>
            </w:pPr>
            <w:r>
              <w:rPr>
                <w:rFonts w:hint="eastAsia" w:cs="宋体"/>
                <w:color w:val="000000"/>
                <w:sz w:val="21"/>
                <w:szCs w:val="21"/>
                <w:lang w:val="en-US" w:eastAsia="zh-CN"/>
              </w:rPr>
              <w:t>2.供应商提供的服务必须及时、周到、专业，能够满足采购方的需求。</w:t>
            </w:r>
          </w:p>
          <w:p w14:paraId="76384487">
            <w:pPr>
              <w:jc w:val="left"/>
              <w:rPr>
                <w:rFonts w:hint="eastAsia" w:cs="宋体"/>
                <w:color w:val="000000"/>
                <w:sz w:val="21"/>
                <w:szCs w:val="21"/>
                <w:lang w:val="en-US" w:eastAsia="zh-CN"/>
              </w:rPr>
            </w:pPr>
            <w:r>
              <w:rPr>
                <w:rFonts w:hint="eastAsia" w:cs="宋体"/>
                <w:color w:val="000000"/>
                <w:sz w:val="21"/>
                <w:szCs w:val="21"/>
                <w:lang w:val="en-US" w:eastAsia="zh-CN"/>
              </w:rPr>
              <w:t>3.项目必须按照规定时间内完成。</w:t>
            </w:r>
          </w:p>
        </w:tc>
      </w:tr>
    </w:tbl>
    <w:p w14:paraId="410A7A2B">
      <w:pPr>
        <w:ind w:firstLine="422" w:firstLineChars="200"/>
        <w:rPr>
          <w:rFonts w:ascii="宋体" w:hAnsi="宋体"/>
          <w:b/>
          <w:bCs/>
          <w:color w:val="auto"/>
          <w:szCs w:val="21"/>
          <w:highlight w:val="none"/>
        </w:rPr>
      </w:pPr>
    </w:p>
    <w:p w14:paraId="11B8583D">
      <w:pPr>
        <w:pStyle w:val="5"/>
        <w:pageBreakBefore w:val="0"/>
        <w:numPr>
          <w:ilvl w:val="0"/>
          <w:numId w:val="0"/>
        </w:numPr>
        <w:kinsoku/>
        <w:overflowPunct/>
        <w:topLinePunct w:val="0"/>
        <w:autoSpaceDE/>
        <w:autoSpaceDN/>
        <w:bidi w:val="0"/>
        <w:adjustRightInd/>
        <w:snapToGrid/>
        <w:spacing w:line="240" w:lineRule="auto"/>
        <w:ind w:firstLine="413" w:firstLineChars="196"/>
        <w:textAlignment w:val="auto"/>
        <w:rPr>
          <w:rFonts w:hint="eastAsia" w:ascii="宋体" w:hAnsi="宋体" w:eastAsia="宋体" w:cs="Times New Roman"/>
          <w:b/>
          <w:bCs/>
          <w:color w:val="auto"/>
          <w:kern w:val="2"/>
          <w:sz w:val="21"/>
          <w:szCs w:val="24"/>
          <w:shd w:val="clear" w:fill="FFFFFF"/>
          <w:lang w:val="en-US" w:eastAsia="zh-CN" w:bidi="ar-SA"/>
        </w:rPr>
      </w:pPr>
    </w:p>
    <w:p w14:paraId="05ABC0B3">
      <w:pPr>
        <w:pStyle w:val="5"/>
        <w:pageBreakBefore w:val="0"/>
        <w:numPr>
          <w:ilvl w:val="0"/>
          <w:numId w:val="0"/>
        </w:numPr>
        <w:kinsoku/>
        <w:overflowPunct/>
        <w:topLinePunct w:val="0"/>
        <w:autoSpaceDE/>
        <w:autoSpaceDN/>
        <w:bidi w:val="0"/>
        <w:adjustRightInd/>
        <w:snapToGrid/>
        <w:spacing w:line="240" w:lineRule="auto"/>
        <w:ind w:firstLine="551" w:firstLineChars="196"/>
        <w:textAlignment w:val="auto"/>
        <w:rPr>
          <w:rFonts w:hint="eastAsia"/>
          <w:bCs/>
          <w:color w:val="auto"/>
          <w:sz w:val="28"/>
          <w:szCs w:val="28"/>
          <w:highlight w:val="none"/>
          <w:lang w:val="en-US" w:eastAsia="zh-CN"/>
        </w:rPr>
      </w:pPr>
      <w:r>
        <w:rPr>
          <w:rFonts w:hint="eastAsia" w:ascii="宋体" w:hAnsi="宋体" w:eastAsia="宋体" w:cs="Times New Roman"/>
          <w:b/>
          <w:bCs/>
          <w:color w:val="auto"/>
          <w:kern w:val="2"/>
          <w:sz w:val="28"/>
          <w:szCs w:val="28"/>
          <w:shd w:val="clear" w:fill="FFFFFF"/>
          <w:lang w:val="en-US" w:eastAsia="zh-CN" w:bidi="ar-SA"/>
        </w:rPr>
        <w:t>二、</w:t>
      </w:r>
      <w:r>
        <w:rPr>
          <w:rFonts w:hint="eastAsia"/>
          <w:bCs/>
          <w:color w:val="auto"/>
          <w:sz w:val="28"/>
          <w:szCs w:val="28"/>
          <w:highlight w:val="none"/>
          <w:lang w:eastAsia="zh-CN"/>
        </w:rPr>
        <w:t>项目</w:t>
      </w:r>
      <w:r>
        <w:rPr>
          <w:rFonts w:hint="eastAsia"/>
          <w:bCs/>
          <w:color w:val="auto"/>
          <w:sz w:val="28"/>
          <w:szCs w:val="28"/>
          <w:highlight w:val="none"/>
          <w:lang w:val="en-US" w:eastAsia="zh-CN"/>
        </w:rPr>
        <w:t>内容</w:t>
      </w:r>
    </w:p>
    <w:p w14:paraId="2414130B">
      <w:pPr>
        <w:pStyle w:val="5"/>
        <w:pageBreakBefore w:val="0"/>
        <w:numPr>
          <w:ilvl w:val="0"/>
          <w:numId w:val="0"/>
        </w:numPr>
        <w:kinsoku/>
        <w:overflowPunct/>
        <w:topLinePunct w:val="0"/>
        <w:autoSpaceDE/>
        <w:autoSpaceDN/>
        <w:bidi w:val="0"/>
        <w:adjustRightInd/>
        <w:snapToGrid/>
        <w:spacing w:line="240" w:lineRule="auto"/>
        <w:ind w:firstLine="472" w:firstLineChars="196"/>
        <w:textAlignment w:val="auto"/>
        <w:rPr>
          <w:rFonts w:hint="eastAsia" w:asciiTheme="minorEastAsia" w:hAnsiTheme="minorEastAsia" w:eastAsiaTheme="minorEastAsia"/>
          <w:sz w:val="24"/>
        </w:rPr>
      </w:pPr>
    </w:p>
    <w:p w14:paraId="1E948885">
      <w:pPr>
        <w:pStyle w:val="5"/>
        <w:pageBreakBefore w:val="0"/>
        <w:numPr>
          <w:ilvl w:val="0"/>
          <w:numId w:val="0"/>
        </w:numPr>
        <w:kinsoku/>
        <w:overflowPunct/>
        <w:topLinePunct w:val="0"/>
        <w:autoSpaceDE/>
        <w:autoSpaceDN/>
        <w:bidi w:val="0"/>
        <w:adjustRightInd/>
        <w:snapToGrid/>
        <w:spacing w:line="240" w:lineRule="auto"/>
        <w:ind w:firstLine="950" w:firstLineChars="396"/>
        <w:textAlignment w:val="auto"/>
        <w:rPr>
          <w:rFonts w:hint="eastAsia"/>
          <w:b w:val="0"/>
          <w:bCs/>
          <w:color w:val="auto"/>
          <w:sz w:val="24"/>
          <w:szCs w:val="24"/>
          <w:highlight w:val="none"/>
          <w:lang w:eastAsia="zh-CN"/>
        </w:rPr>
      </w:pPr>
      <w:r>
        <w:rPr>
          <w:rFonts w:hint="eastAsia" w:asciiTheme="minorEastAsia" w:hAnsiTheme="minorEastAsia" w:eastAsiaTheme="minorEastAsia"/>
          <w:b w:val="0"/>
          <w:bCs/>
          <w:sz w:val="24"/>
          <w:szCs w:val="24"/>
          <w:lang w:eastAsia="zh-CN"/>
        </w:rPr>
        <w:t>桐城师范高等专科学校2025年中国国际大学生创新大赛辅导服务项目</w:t>
      </w:r>
      <w:r>
        <w:rPr>
          <w:rFonts w:hint="eastAsia" w:asciiTheme="minorEastAsia" w:hAnsiTheme="minorEastAsia" w:eastAsiaTheme="minorEastAsia"/>
          <w:b w:val="0"/>
          <w:bCs/>
          <w:sz w:val="24"/>
          <w:szCs w:val="24"/>
        </w:rPr>
        <w:t>。</w:t>
      </w:r>
    </w:p>
    <w:p w14:paraId="6D1EFE26">
      <w:pPr>
        <w:pStyle w:val="7"/>
        <w:pageBreakBefore w:val="0"/>
        <w:kinsoku/>
        <w:overflowPunct/>
        <w:topLinePunct w:val="0"/>
        <w:autoSpaceDE/>
        <w:autoSpaceDN/>
        <w:bidi w:val="0"/>
        <w:adjustRightInd/>
        <w:snapToGrid/>
        <w:spacing w:line="240" w:lineRule="auto"/>
        <w:textAlignment w:val="auto"/>
        <w:rPr>
          <w:rFonts w:hint="eastAsia"/>
          <w:color w:val="auto"/>
          <w:highlight w:val="none"/>
          <w:lang w:eastAsia="zh-CN"/>
        </w:rPr>
      </w:pPr>
    </w:p>
    <w:p w14:paraId="16D82B8B">
      <w:pPr>
        <w:pStyle w:val="8"/>
        <w:rPr>
          <w:rFonts w:hint="eastAsia"/>
          <w:color w:val="auto"/>
          <w:highlight w:val="none"/>
          <w:lang w:eastAsia="zh-CN"/>
        </w:rPr>
      </w:pPr>
    </w:p>
    <w:p w14:paraId="4E9C9830">
      <w:pPr>
        <w:rPr>
          <w:rFonts w:hint="eastAsia"/>
          <w:color w:val="auto"/>
          <w:highlight w:val="none"/>
          <w:lang w:eastAsia="zh-CN"/>
        </w:rPr>
      </w:pPr>
    </w:p>
    <w:p w14:paraId="2F8455F1">
      <w:pPr>
        <w:pStyle w:val="75"/>
        <w:rPr>
          <w:rFonts w:hint="eastAsia"/>
          <w:color w:val="auto"/>
          <w:highlight w:val="none"/>
          <w:lang w:eastAsia="zh-CN"/>
        </w:rPr>
      </w:pPr>
    </w:p>
    <w:p w14:paraId="2DF2CADF">
      <w:pPr>
        <w:pStyle w:val="75"/>
        <w:rPr>
          <w:rFonts w:hint="eastAsia"/>
          <w:color w:val="auto"/>
          <w:highlight w:val="none"/>
          <w:lang w:eastAsia="zh-CN"/>
        </w:rPr>
      </w:pPr>
    </w:p>
    <w:p w14:paraId="7EF3E58C">
      <w:pPr>
        <w:pStyle w:val="75"/>
        <w:rPr>
          <w:rFonts w:hint="eastAsia"/>
          <w:color w:val="auto"/>
          <w:highlight w:val="none"/>
          <w:lang w:eastAsia="zh-CN"/>
        </w:rPr>
      </w:pPr>
    </w:p>
    <w:p w14:paraId="06F237BF">
      <w:pPr>
        <w:rPr>
          <w:rFonts w:hint="eastAsia"/>
          <w:color w:val="auto"/>
          <w:highlight w:val="none"/>
          <w:lang w:eastAsia="zh-CN"/>
        </w:rPr>
      </w:pPr>
    </w:p>
    <w:p w14:paraId="743FA90C">
      <w:pPr>
        <w:rPr>
          <w:rFonts w:hint="eastAsia"/>
          <w:color w:val="auto"/>
          <w:highlight w:val="none"/>
          <w:lang w:eastAsia="zh-CN"/>
        </w:rPr>
      </w:pPr>
    </w:p>
    <w:p w14:paraId="571BA159">
      <w:pPr>
        <w:rPr>
          <w:rFonts w:hint="eastAsia"/>
          <w:color w:val="auto"/>
          <w:highlight w:val="none"/>
          <w:lang w:eastAsia="zh-CN"/>
        </w:rPr>
      </w:pPr>
    </w:p>
    <w:p w14:paraId="5583C71B">
      <w:pPr>
        <w:pStyle w:val="5"/>
        <w:pageBreakBefore w:val="0"/>
        <w:numPr>
          <w:ilvl w:val="0"/>
          <w:numId w:val="7"/>
        </w:numPr>
        <w:shd w:val="clear" w:color="auto" w:fill="FFFFFF"/>
        <w:kinsoku/>
        <w:overflowPunct/>
        <w:topLinePunct w:val="0"/>
        <w:autoSpaceDE/>
        <w:autoSpaceDN/>
        <w:bidi w:val="0"/>
        <w:adjustRightInd/>
        <w:snapToGrid/>
        <w:spacing w:line="240" w:lineRule="auto"/>
        <w:ind w:firstLine="551" w:firstLineChars="196"/>
        <w:textAlignment w:val="auto"/>
        <w:rPr>
          <w:rFonts w:hint="eastAsia" w:hAnsi="宋体"/>
          <w:bCs/>
          <w:color w:val="auto"/>
          <w:sz w:val="28"/>
          <w:szCs w:val="28"/>
          <w:highlight w:val="none"/>
          <w:lang w:val="en-US" w:eastAsia="zh-CN"/>
        </w:rPr>
      </w:pPr>
      <w:r>
        <w:rPr>
          <w:rFonts w:hint="eastAsia" w:hAnsi="宋体"/>
          <w:bCs/>
          <w:color w:val="auto"/>
          <w:sz w:val="28"/>
          <w:szCs w:val="28"/>
          <w:highlight w:val="none"/>
          <w:lang w:val="en-US" w:eastAsia="zh-CN"/>
        </w:rPr>
        <w:t>服务需求</w:t>
      </w:r>
      <w:r>
        <w:rPr>
          <w:rFonts w:hint="eastAsia"/>
          <w:bCs/>
          <w:color w:val="auto"/>
          <w:sz w:val="28"/>
          <w:szCs w:val="28"/>
          <w:highlight w:val="none"/>
          <w:lang w:val="en-US" w:eastAsia="zh-CN"/>
        </w:rPr>
        <w:t>及要求</w:t>
      </w:r>
    </w:p>
    <w:p w14:paraId="24C818B2">
      <w:pPr>
        <w:snapToGrid w:val="0"/>
        <w:spacing w:line="360" w:lineRule="auto"/>
        <w:ind w:firstLine="562"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1</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14:textFill>
            <w14:solidFill>
              <w14:schemeClr w14:val="tx1"/>
            </w14:solidFill>
          </w14:textFill>
        </w:rPr>
        <w:t>服务内容</w:t>
      </w:r>
    </w:p>
    <w:p w14:paraId="43D3AAB3">
      <w:pPr>
        <w:snapToGrid w:val="0"/>
        <w:spacing w:line="360" w:lineRule="auto"/>
        <w:ind w:firstLine="480"/>
        <w:rPr>
          <w:rFonts w:ascii="宋体" w:hAnsi="宋体" w:cs="宋体"/>
          <w:color w:val="000000" w:themeColor="text1"/>
          <w:sz w:val="24"/>
          <w:szCs w:val="28"/>
          <w14:textFill>
            <w14:solidFill>
              <w14:schemeClr w14:val="tx1"/>
            </w14:solidFill>
          </w14:textFill>
        </w:rPr>
      </w:pPr>
      <w:r>
        <w:rPr>
          <w:rFonts w:ascii="宋体" w:hAnsi="宋体" w:cs="宋体"/>
          <w:color w:val="000000" w:themeColor="text1"/>
          <w:sz w:val="24"/>
          <w:szCs w:val="28"/>
          <w14:textFill>
            <w14:solidFill>
              <w14:schemeClr w14:val="tx1"/>
            </w14:solidFill>
          </w14:textFill>
        </w:rPr>
        <w:t>为进一步提升</w:t>
      </w:r>
      <w:r>
        <w:rPr>
          <w:rFonts w:hint="eastAsia" w:ascii="宋体" w:hAnsi="宋体" w:cs="宋体"/>
          <w:color w:val="000000" w:themeColor="text1"/>
          <w:sz w:val="24"/>
          <w:szCs w:val="28"/>
          <w14:textFill>
            <w14:solidFill>
              <w14:schemeClr w14:val="tx1"/>
            </w14:solidFill>
          </w14:textFill>
        </w:rPr>
        <w:t>参赛</w:t>
      </w:r>
      <w:r>
        <w:rPr>
          <w:rFonts w:ascii="宋体" w:hAnsi="宋体" w:cs="宋体"/>
          <w:color w:val="000000" w:themeColor="text1"/>
          <w:sz w:val="24"/>
          <w:szCs w:val="28"/>
          <w14:textFill>
            <w14:solidFill>
              <w14:schemeClr w14:val="tx1"/>
            </w14:solidFill>
          </w14:textFill>
        </w:rPr>
        <w:t>项目质量，争取在</w:t>
      </w:r>
      <w:r>
        <w:rPr>
          <w:rFonts w:hint="eastAsia" w:ascii="宋体" w:hAnsi="宋体" w:cs="宋体"/>
          <w:color w:val="000000" w:themeColor="text1"/>
          <w:sz w:val="24"/>
          <w:szCs w:val="28"/>
          <w14:textFill>
            <w14:solidFill>
              <w14:schemeClr w14:val="tx1"/>
            </w14:solidFill>
          </w14:textFill>
        </w:rPr>
        <w:t>比</w:t>
      </w:r>
      <w:r>
        <w:rPr>
          <w:rFonts w:ascii="宋体" w:hAnsi="宋体" w:cs="宋体"/>
          <w:color w:val="000000" w:themeColor="text1"/>
          <w:sz w:val="24"/>
          <w:szCs w:val="28"/>
          <w14:textFill>
            <w14:solidFill>
              <w14:schemeClr w14:val="tx1"/>
            </w14:solidFill>
          </w14:textFill>
        </w:rPr>
        <w:t>赛中取得更</w:t>
      </w:r>
      <w:r>
        <w:rPr>
          <w:rFonts w:hint="eastAsia" w:ascii="宋体" w:hAnsi="宋体" w:cs="宋体"/>
          <w:color w:val="000000" w:themeColor="text1"/>
          <w:sz w:val="24"/>
          <w:szCs w:val="28"/>
          <w14:textFill>
            <w14:solidFill>
              <w14:schemeClr w14:val="tx1"/>
            </w14:solidFill>
          </w14:textFill>
        </w:rPr>
        <w:t>好</w:t>
      </w:r>
      <w:r>
        <w:rPr>
          <w:rFonts w:ascii="宋体" w:hAnsi="宋体" w:cs="宋体"/>
          <w:color w:val="000000" w:themeColor="text1"/>
          <w:sz w:val="24"/>
          <w:szCs w:val="28"/>
          <w14:textFill>
            <w14:solidFill>
              <w14:schemeClr w14:val="tx1"/>
            </w14:solidFill>
          </w14:textFill>
        </w:rPr>
        <w:t>的</w:t>
      </w:r>
      <w:r>
        <w:rPr>
          <w:rFonts w:hint="eastAsia" w:ascii="宋体" w:hAnsi="宋体" w:cs="宋体"/>
          <w:color w:val="000000" w:themeColor="text1"/>
          <w:sz w:val="24"/>
          <w:szCs w:val="28"/>
          <w14:textFill>
            <w14:solidFill>
              <w14:schemeClr w14:val="tx1"/>
            </w14:solidFill>
          </w14:textFill>
        </w:rPr>
        <w:t>成绩</w:t>
      </w:r>
      <w:r>
        <w:rPr>
          <w:rFonts w:ascii="宋体" w:hAnsi="宋体" w:cs="宋体"/>
          <w:color w:val="000000" w:themeColor="text1"/>
          <w:sz w:val="24"/>
          <w:szCs w:val="28"/>
          <w14:textFill>
            <w14:solidFill>
              <w14:schemeClr w14:val="tx1"/>
            </w14:solidFill>
          </w14:textFill>
        </w:rPr>
        <w:t>，现</w:t>
      </w:r>
      <w:r>
        <w:rPr>
          <w:rFonts w:hint="eastAsia" w:ascii="宋体" w:hAnsi="宋体" w:cs="宋体"/>
          <w:color w:val="000000" w:themeColor="text1"/>
          <w:sz w:val="24"/>
          <w:szCs w:val="28"/>
          <w14:textFill>
            <w14:solidFill>
              <w14:schemeClr w14:val="tx1"/>
            </w14:solidFill>
          </w14:textFill>
        </w:rPr>
        <w:t>采购</w:t>
      </w:r>
      <w:r>
        <w:rPr>
          <w:rFonts w:ascii="宋体" w:hAnsi="宋体" w:cs="宋体"/>
          <w:color w:val="000000" w:themeColor="text1"/>
          <w:sz w:val="24"/>
          <w:szCs w:val="28"/>
          <w14:textFill>
            <w14:solidFill>
              <w14:schemeClr w14:val="tx1"/>
            </w14:solidFill>
          </w14:textFill>
        </w:rPr>
        <w:t>202</w:t>
      </w:r>
      <w:r>
        <w:rPr>
          <w:rFonts w:hint="eastAsia" w:ascii="宋体" w:hAnsi="宋体" w:cs="宋体"/>
          <w:color w:val="000000" w:themeColor="text1"/>
          <w:sz w:val="24"/>
          <w:szCs w:val="28"/>
          <w14:textFill>
            <w14:solidFill>
              <w14:schemeClr w14:val="tx1"/>
            </w14:solidFill>
          </w14:textFill>
        </w:rPr>
        <w:t>5</w:t>
      </w:r>
      <w:r>
        <w:rPr>
          <w:rFonts w:ascii="宋体" w:hAnsi="宋体" w:cs="宋体"/>
          <w:color w:val="000000" w:themeColor="text1"/>
          <w:sz w:val="24"/>
          <w:szCs w:val="28"/>
          <w14:textFill>
            <w14:solidFill>
              <w14:schemeClr w14:val="tx1"/>
            </w14:solidFill>
          </w14:textFill>
        </w:rPr>
        <w:t>年中国国际大学生创新大赛项目辅导</w:t>
      </w:r>
      <w:r>
        <w:rPr>
          <w:rFonts w:hint="eastAsia" w:ascii="宋体" w:hAnsi="宋体" w:cs="宋体"/>
          <w:color w:val="000000" w:themeColor="text1"/>
          <w:sz w:val="24"/>
          <w:szCs w:val="28"/>
          <w14:textFill>
            <w14:solidFill>
              <w14:schemeClr w14:val="tx1"/>
            </w14:solidFill>
          </w14:textFill>
        </w:rPr>
        <w:t>服务</w:t>
      </w:r>
      <w:r>
        <w:rPr>
          <w:rFonts w:ascii="宋体" w:hAnsi="宋体" w:cs="宋体"/>
          <w:color w:val="000000" w:themeColor="text1"/>
          <w:sz w:val="24"/>
          <w:szCs w:val="28"/>
          <w14:textFill>
            <w14:solidFill>
              <w14:schemeClr w14:val="tx1"/>
            </w14:solidFill>
          </w14:textFill>
        </w:rPr>
        <w:t>。</w:t>
      </w:r>
    </w:p>
    <w:p w14:paraId="0100CD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ascii="宋体" w:hAnsi="宋体" w:cs="宋体"/>
          <w:color w:val="000000" w:themeColor="text1"/>
          <w:sz w:val="24"/>
          <w:szCs w:val="28"/>
          <w14:textFill>
            <w14:solidFill>
              <w14:schemeClr w14:val="tx1"/>
            </w14:solidFill>
          </w14:textFill>
        </w:rPr>
        <w:t>项目实现的主要功能和目标</w:t>
      </w:r>
      <w:r>
        <w:rPr>
          <w:rFonts w:hint="eastAsia" w:ascii="宋体" w:hAnsi="宋体" w:cs="宋体"/>
          <w:color w:val="000000" w:themeColor="text1"/>
          <w:sz w:val="24"/>
          <w:szCs w:val="28"/>
          <w:lang w:eastAsia="zh-CN"/>
          <w14:textFill>
            <w14:solidFill>
              <w14:schemeClr w14:val="tx1"/>
            </w14:solidFill>
          </w14:textFill>
        </w:rPr>
        <w:t>：</w:t>
      </w:r>
    </w:p>
    <w:p w14:paraId="03B62C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ascii="宋体" w:hAnsi="宋体" w:cs="宋体"/>
          <w:color w:val="000000" w:themeColor="text1"/>
          <w:sz w:val="24"/>
          <w:szCs w:val="28"/>
          <w14:textFill>
            <w14:solidFill>
              <w14:schemeClr w14:val="tx1"/>
            </w14:solidFill>
          </w14:textFill>
        </w:rPr>
        <w:t>提升参赛项目材料的质量，包括商业逻辑、展示内容等</w:t>
      </w:r>
      <w:r>
        <w:rPr>
          <w:rFonts w:hint="eastAsia" w:ascii="宋体" w:hAnsi="宋体" w:cs="宋体"/>
          <w:color w:val="000000" w:themeColor="text1"/>
          <w:sz w:val="24"/>
          <w:szCs w:val="28"/>
          <w:lang w:eastAsia="zh-CN"/>
          <w14:textFill>
            <w14:solidFill>
              <w14:schemeClr w14:val="tx1"/>
            </w14:solidFill>
          </w14:textFill>
        </w:rPr>
        <w:t>。</w:t>
      </w:r>
    </w:p>
    <w:p w14:paraId="556F4A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2.</w:t>
      </w:r>
      <w:r>
        <w:rPr>
          <w:rFonts w:ascii="宋体" w:hAnsi="宋体" w:cs="宋体"/>
          <w:color w:val="000000" w:themeColor="text1"/>
          <w:sz w:val="24"/>
          <w:szCs w:val="28"/>
          <w14:textFill>
            <w14:solidFill>
              <w14:schemeClr w14:val="tx1"/>
            </w14:solidFill>
          </w14:textFill>
        </w:rPr>
        <w:t>进行专业的项目指导，帮助项目师生团队尽快高质量梳理项目材料</w:t>
      </w:r>
      <w:r>
        <w:rPr>
          <w:rFonts w:hint="eastAsia" w:ascii="宋体" w:hAnsi="宋体" w:cs="宋体"/>
          <w:color w:val="000000" w:themeColor="text1"/>
          <w:sz w:val="24"/>
          <w:szCs w:val="28"/>
          <w:lang w:eastAsia="zh-CN"/>
          <w14:textFill>
            <w14:solidFill>
              <w14:schemeClr w14:val="tx1"/>
            </w14:solidFill>
          </w14:textFill>
        </w:rPr>
        <w:t>。</w:t>
      </w:r>
    </w:p>
    <w:p w14:paraId="4D691F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ascii="宋体" w:hAnsi="宋体" w:cs="宋体"/>
          <w:color w:val="000000" w:themeColor="text1"/>
          <w:sz w:val="24"/>
          <w:szCs w:val="28"/>
          <w14:textFill>
            <w14:solidFill>
              <w14:schemeClr w14:val="tx1"/>
            </w14:solidFill>
          </w14:textFill>
        </w:rPr>
        <w:t>对备赛项目材料进行专业打磨和制作，包括视频、PPT及商业计划书等材料，确保材料格式规范美观，内容体现高质量高水平</w:t>
      </w:r>
      <w:r>
        <w:rPr>
          <w:rFonts w:hint="eastAsia" w:ascii="宋体" w:hAnsi="宋体" w:cs="宋体"/>
          <w:color w:val="000000" w:themeColor="text1"/>
          <w:sz w:val="24"/>
          <w:szCs w:val="28"/>
          <w14:textFill>
            <w14:solidFill>
              <w14:schemeClr w14:val="tx1"/>
            </w14:solidFill>
          </w14:textFill>
        </w:rPr>
        <w:t>。</w:t>
      </w:r>
    </w:p>
    <w:p w14:paraId="16E48E1C">
      <w:pPr>
        <w:snapToGrid w:val="0"/>
        <w:spacing w:line="360" w:lineRule="auto"/>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2</w:t>
      </w:r>
      <w:r>
        <w:rPr>
          <w:rFonts w:hint="eastAsia" w:ascii="宋体" w:hAnsi="宋体" w:cs="宋体"/>
          <w:b/>
          <w:bCs/>
          <w:color w:val="000000" w:themeColor="text1"/>
          <w:sz w:val="28"/>
          <w:szCs w:val="28"/>
          <w:lang w:eastAsia="zh-CN"/>
          <w14:textFill>
            <w14:solidFill>
              <w14:schemeClr w14:val="tx1"/>
            </w14:solidFill>
          </w14:textFill>
        </w:rPr>
        <w:t>）</w:t>
      </w:r>
      <w:r>
        <w:rPr>
          <w:rFonts w:ascii="宋体" w:hAnsi="宋体" w:cs="宋体"/>
          <w:b/>
          <w:bCs/>
          <w:color w:val="000000" w:themeColor="text1"/>
          <w:sz w:val="28"/>
          <w:szCs w:val="28"/>
          <w14:textFill>
            <w14:solidFill>
              <w14:schemeClr w14:val="tx1"/>
            </w14:solidFill>
          </w14:textFill>
        </w:rPr>
        <w:t>采购需满足的质量、服务、安全、时限等要求</w:t>
      </w:r>
    </w:p>
    <w:p w14:paraId="0469C203">
      <w:pPr>
        <w:snapToGrid w:val="0"/>
        <w:spacing w:line="360" w:lineRule="auto"/>
        <w:ind w:firstLine="480"/>
        <w:rPr>
          <w:rFonts w:hint="eastAsia" w:ascii="宋体" w:hAnsi="宋体" w:eastAsia="宋体" w:cs="宋体"/>
          <w:color w:val="000000" w:themeColor="text1"/>
          <w:sz w:val="24"/>
          <w:szCs w:val="28"/>
          <w:lang w:val="en-US" w:eastAsia="zh-CN"/>
          <w14:textFill>
            <w14:solidFill>
              <w14:schemeClr w14:val="tx1"/>
            </w14:solidFill>
          </w14:textFill>
        </w:rPr>
      </w:pPr>
      <w:r>
        <w:rPr>
          <w:rFonts w:ascii="宋体" w:hAnsi="宋体" w:cs="宋体"/>
          <w:color w:val="000000" w:themeColor="text1"/>
          <w:sz w:val="24"/>
          <w:szCs w:val="28"/>
          <w14:textFill>
            <w14:solidFill>
              <w14:schemeClr w14:val="tx1"/>
            </w14:solidFill>
          </w14:textFill>
        </w:rPr>
        <w:t>1.采购的产品或服务必须符合 202</w:t>
      </w:r>
      <w:r>
        <w:rPr>
          <w:rFonts w:hint="eastAsia" w:ascii="宋体" w:hAnsi="宋体" w:cs="宋体"/>
          <w:color w:val="000000" w:themeColor="text1"/>
          <w:sz w:val="24"/>
          <w:szCs w:val="28"/>
          <w14:textFill>
            <w14:solidFill>
              <w14:schemeClr w14:val="tx1"/>
            </w14:solidFill>
          </w14:textFill>
        </w:rPr>
        <w:t>5</w:t>
      </w:r>
      <w:r>
        <w:rPr>
          <w:rFonts w:ascii="宋体" w:hAnsi="宋体" w:cs="宋体"/>
          <w:color w:val="000000" w:themeColor="text1"/>
          <w:sz w:val="24"/>
          <w:szCs w:val="28"/>
          <w14:textFill>
            <w14:solidFill>
              <w14:schemeClr w14:val="tx1"/>
            </w14:solidFill>
          </w14:textFill>
        </w:rPr>
        <w:t>年中国国际大学生创新大赛</w:t>
      </w:r>
      <w:r>
        <w:rPr>
          <w:rFonts w:hint="eastAsia" w:ascii="宋体" w:hAnsi="宋体" w:cs="宋体"/>
          <w:color w:val="000000" w:themeColor="text1"/>
          <w:sz w:val="24"/>
          <w:szCs w:val="28"/>
          <w14:textFill>
            <w14:solidFill>
              <w14:schemeClr w14:val="tx1"/>
            </w14:solidFill>
          </w14:textFill>
        </w:rPr>
        <w:t>省</w:t>
      </w:r>
      <w:r>
        <w:rPr>
          <w:rFonts w:ascii="宋体" w:hAnsi="宋体" w:cs="宋体"/>
          <w:color w:val="000000" w:themeColor="text1"/>
          <w:sz w:val="24"/>
          <w:szCs w:val="28"/>
          <w14:textFill>
            <w14:solidFill>
              <w14:schemeClr w14:val="tx1"/>
            </w14:solidFill>
          </w14:textFill>
        </w:rPr>
        <w:t>赛文件要求的质量标准和规定，</w:t>
      </w:r>
      <w:r>
        <w:rPr>
          <w:rFonts w:hint="eastAsia" w:ascii="宋体" w:hAnsi="宋体" w:cs="宋体"/>
          <w:color w:val="000000" w:themeColor="text1"/>
          <w:sz w:val="24"/>
          <w:szCs w:val="28"/>
          <w14:textFill>
            <w14:solidFill>
              <w14:schemeClr w14:val="tx1"/>
            </w14:solidFill>
          </w14:textFill>
        </w:rPr>
        <w:t>同时必须安排</w:t>
      </w:r>
      <w:r>
        <w:rPr>
          <w:rFonts w:ascii="宋体" w:hAnsi="宋体" w:cs="宋体"/>
          <w:color w:val="000000" w:themeColor="text1"/>
          <w:sz w:val="24"/>
          <w:szCs w:val="28"/>
          <w14:textFill>
            <w14:solidFill>
              <w14:schemeClr w14:val="tx1"/>
            </w14:solidFill>
          </w14:textFill>
        </w:rPr>
        <w:t>具有省赛或国赛评审经验的专家对参赛项目和项目材料进行指导服务和制作服务</w:t>
      </w:r>
      <w:r>
        <w:rPr>
          <w:rFonts w:hint="eastAsia" w:ascii="宋体" w:hAnsi="宋体" w:cs="宋体"/>
          <w:color w:val="000000" w:themeColor="text1"/>
          <w:sz w:val="24"/>
          <w:szCs w:val="28"/>
          <w:lang w:eastAsia="zh-CN"/>
          <w14:textFill>
            <w14:solidFill>
              <w14:schemeClr w14:val="tx1"/>
            </w14:solidFill>
          </w14:textFill>
        </w:rPr>
        <w:t>。</w:t>
      </w:r>
    </w:p>
    <w:p w14:paraId="3855FC82">
      <w:pPr>
        <w:snapToGrid w:val="0"/>
        <w:spacing w:line="360" w:lineRule="auto"/>
        <w:ind w:firstLine="480"/>
        <w:rPr>
          <w:rFonts w:ascii="宋体" w:hAnsi="宋体" w:cs="宋体"/>
          <w:color w:val="000000" w:themeColor="text1"/>
          <w:sz w:val="24"/>
          <w:szCs w:val="28"/>
          <w14:textFill>
            <w14:solidFill>
              <w14:schemeClr w14:val="tx1"/>
            </w14:solidFill>
          </w14:textFill>
        </w:rPr>
      </w:pPr>
      <w:r>
        <w:rPr>
          <w:rFonts w:ascii="宋体" w:hAnsi="宋体" w:cs="宋体"/>
          <w:color w:val="000000" w:themeColor="text1"/>
          <w:sz w:val="24"/>
          <w:szCs w:val="28"/>
          <w14:textFill>
            <w14:solidFill>
              <w14:schemeClr w14:val="tx1"/>
            </w14:solidFill>
          </w14:textFill>
        </w:rPr>
        <w:t>2.供应商提供的服务必须及时、周到、专业，能够满足采购方的需求。</w:t>
      </w:r>
    </w:p>
    <w:p w14:paraId="0435C78E">
      <w:pPr>
        <w:snapToGrid w:val="0"/>
        <w:spacing w:line="360" w:lineRule="auto"/>
        <w:ind w:firstLine="480"/>
        <w:rPr>
          <w:rFonts w:ascii="宋体" w:hAnsi="宋体" w:cs="宋体"/>
          <w:color w:val="000000" w:themeColor="text1"/>
          <w:sz w:val="24"/>
          <w:szCs w:val="28"/>
          <w14:textFill>
            <w14:solidFill>
              <w14:schemeClr w14:val="tx1"/>
            </w14:solidFill>
          </w14:textFill>
        </w:rPr>
      </w:pPr>
      <w:r>
        <w:rPr>
          <w:rFonts w:ascii="宋体" w:hAnsi="宋体" w:cs="宋体"/>
          <w:color w:val="000000" w:themeColor="text1"/>
          <w:sz w:val="24"/>
          <w:szCs w:val="28"/>
          <w14:textFill>
            <w14:solidFill>
              <w14:schemeClr w14:val="tx1"/>
            </w14:solidFill>
          </w14:textFill>
        </w:rPr>
        <w:t>3.项目</w:t>
      </w:r>
      <w:r>
        <w:rPr>
          <w:rFonts w:hint="eastAsia" w:ascii="宋体" w:hAnsi="宋体" w:cs="宋体"/>
          <w:color w:val="000000" w:themeColor="text1"/>
          <w:sz w:val="24"/>
          <w:szCs w:val="28"/>
          <w14:textFill>
            <w14:solidFill>
              <w14:schemeClr w14:val="tx1"/>
            </w14:solidFill>
          </w14:textFill>
        </w:rPr>
        <w:t>必须按照规定时间内完成</w:t>
      </w:r>
      <w:r>
        <w:rPr>
          <w:rFonts w:ascii="宋体" w:hAnsi="宋体" w:cs="宋体"/>
          <w:color w:val="000000" w:themeColor="text1"/>
          <w:sz w:val="24"/>
          <w:szCs w:val="28"/>
          <w14:textFill>
            <w14:solidFill>
              <w14:schemeClr w14:val="tx1"/>
            </w14:solidFill>
          </w14:textFill>
        </w:rPr>
        <w:t>。</w:t>
      </w:r>
    </w:p>
    <w:p w14:paraId="26D6AC8B">
      <w:pPr>
        <w:snapToGrid w:val="0"/>
        <w:spacing w:line="360" w:lineRule="auto"/>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三、采购内容</w:t>
      </w:r>
    </w:p>
    <w:p w14:paraId="74B6A412">
      <w:pPr>
        <w:snapToGrid w:val="0"/>
        <w:spacing w:line="360" w:lineRule="auto"/>
        <w:ind w:firstLine="480"/>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（一）校赛阶段</w:t>
      </w:r>
    </w:p>
    <w:p w14:paraId="3C57C823">
      <w:pPr>
        <w:snapToGrid w:val="0"/>
        <w:spacing w:line="360" w:lineRule="auto"/>
        <w:ind w:firstLine="48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服务内容包括：大赛启动、专家讲座、双创师资培训、项目筛选工作、项目遴选、校赛评审等。</w:t>
      </w:r>
    </w:p>
    <w:p w14:paraId="5B3CE535">
      <w:pPr>
        <w:snapToGrid w:val="0"/>
        <w:spacing w:line="360" w:lineRule="auto"/>
        <w:ind w:firstLine="480"/>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（二）省事选拔阶段</w:t>
      </w:r>
    </w:p>
    <w:p w14:paraId="30FDFB19">
      <w:pPr>
        <w:snapToGrid w:val="0"/>
        <w:spacing w:line="360" w:lineRule="auto"/>
        <w:ind w:firstLine="480"/>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服务内容包括： 参赛项目一对一辅导、材料设计美化、专家辅导、参赛路演辅导等</w:t>
      </w:r>
      <w:r>
        <w:rPr>
          <w:rFonts w:hint="eastAsia" w:ascii="宋体" w:hAnsi="宋体" w:cs="宋体"/>
          <w:color w:val="000000" w:themeColor="text1"/>
          <w:sz w:val="24"/>
          <w:szCs w:val="28"/>
          <w:lang w:eastAsia="zh-CN"/>
          <w14:textFill>
            <w14:solidFill>
              <w14:schemeClr w14:val="tx1"/>
            </w14:solidFill>
          </w14:textFill>
        </w:rPr>
        <w:t>。</w:t>
      </w:r>
    </w:p>
    <w:p w14:paraId="509809DA">
      <w:pPr>
        <w:snapToGrid w:val="0"/>
        <w:spacing w:line="360" w:lineRule="auto"/>
        <w:ind w:firstLine="480"/>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（三）国赛选拔阶段</w:t>
      </w:r>
    </w:p>
    <w:p w14:paraId="45BA697D">
      <w:pPr>
        <w:snapToGrid w:val="0"/>
        <w:spacing w:line="360" w:lineRule="auto"/>
        <w:ind w:firstLine="48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服务内容包括：入围项目辅导、材料设计美化等。</w:t>
      </w:r>
    </w:p>
    <w:p w14:paraId="3954A8B6">
      <w:pPr>
        <w:snapToGrid w:val="0"/>
        <w:spacing w:line="360" w:lineRule="auto"/>
        <w:ind w:firstLine="480"/>
        <w:rPr>
          <w:rFonts w:hint="eastAsia"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（四）信息技术支持</w:t>
      </w:r>
    </w:p>
    <w:p w14:paraId="506F7E6B">
      <w:pPr>
        <w:snapToGrid w:val="0"/>
        <w:spacing w:line="360" w:lineRule="auto"/>
        <w:ind w:firstLine="480"/>
        <w:rPr>
          <w:rFonts w:hint="eastAsia" w:ascii="宋体" w:hAnsi="宋体" w:cs="宋体"/>
          <w:sz w:val="24"/>
          <w:szCs w:val="28"/>
        </w:rPr>
      </w:pPr>
      <w:r>
        <w:rPr>
          <w:rFonts w:hint="eastAsia" w:ascii="宋体" w:hAnsi="宋体" w:cs="宋体"/>
          <w:sz w:val="24"/>
          <w:szCs w:val="28"/>
        </w:rPr>
        <w:t>服务方需提供以下2方面的技术支持：</w:t>
      </w:r>
    </w:p>
    <w:p w14:paraId="2C8CE15D">
      <w:pPr>
        <w:snapToGrid w:val="0"/>
        <w:spacing w:line="360" w:lineRule="auto"/>
        <w:ind w:firstLine="482" w:firstLineChars="200"/>
        <w:rPr>
          <w:rFonts w:hint="eastAsia" w:ascii="宋体" w:hAnsi="宋体" w:cs="宋体"/>
          <w:b/>
          <w:bCs/>
          <w:sz w:val="24"/>
          <w:szCs w:val="28"/>
        </w:rPr>
      </w:pPr>
      <w:r>
        <w:rPr>
          <w:rFonts w:hint="eastAsia" w:ascii="宋体" w:hAnsi="宋体" w:cs="宋体"/>
          <w:b/>
          <w:bCs/>
          <w:sz w:val="24"/>
          <w:szCs w:val="28"/>
        </w:rPr>
        <w:t>1. 视频制作</w:t>
      </w:r>
    </w:p>
    <w:p w14:paraId="67441D43">
      <w:pPr>
        <w:snapToGrid w:val="0"/>
        <w:spacing w:line="360" w:lineRule="auto"/>
        <w:ind w:firstLine="480"/>
        <w:rPr>
          <w:rFonts w:hint="eastAsia" w:ascii="宋体" w:hAnsi="宋体" w:cs="宋体"/>
          <w:sz w:val="24"/>
          <w:szCs w:val="28"/>
        </w:rPr>
      </w:pPr>
      <w:r>
        <w:rPr>
          <w:rFonts w:hint="eastAsia" w:ascii="宋体" w:hAnsi="宋体" w:cs="宋体"/>
          <w:sz w:val="24"/>
          <w:szCs w:val="28"/>
        </w:rPr>
        <w:t>根据省赛标准完成省赛参赛视频的拍摄，视频参数如下：</w:t>
      </w:r>
    </w:p>
    <w:p w14:paraId="7C834C21">
      <w:pPr>
        <w:snapToGrid w:val="0"/>
        <w:spacing w:line="360" w:lineRule="auto"/>
        <w:ind w:firstLine="480"/>
        <w:rPr>
          <w:rFonts w:hint="eastAsia" w:ascii="宋体" w:hAnsi="宋体" w:cs="宋体"/>
          <w:sz w:val="24"/>
          <w:szCs w:val="28"/>
        </w:rPr>
      </w:pPr>
      <w:r>
        <w:rPr>
          <w:rFonts w:hint="eastAsia" w:ascii="宋体" w:hAnsi="宋体" w:cs="宋体"/>
          <w:sz w:val="24"/>
          <w:szCs w:val="28"/>
        </w:rPr>
        <w:t>时长不超过1分钟，视频采用MP4格式封装，视频文件大小不超过20M。</w:t>
      </w:r>
    </w:p>
    <w:p w14:paraId="42F9D3ED">
      <w:pPr>
        <w:numPr>
          <w:ilvl w:val="0"/>
          <w:numId w:val="8"/>
        </w:numPr>
        <w:snapToGrid w:val="0"/>
        <w:spacing w:line="360" w:lineRule="auto"/>
        <w:ind w:firstLine="482" w:firstLineChars="200"/>
        <w:rPr>
          <w:rFonts w:hint="eastAsia" w:ascii="宋体" w:hAnsi="宋体" w:cs="宋体"/>
          <w:b/>
          <w:bCs/>
          <w:sz w:val="24"/>
          <w:szCs w:val="28"/>
        </w:rPr>
      </w:pPr>
      <w:r>
        <w:rPr>
          <w:rFonts w:hint="eastAsia" w:ascii="宋体" w:hAnsi="宋体" w:cs="宋体"/>
          <w:b/>
          <w:bCs/>
          <w:sz w:val="24"/>
          <w:szCs w:val="28"/>
        </w:rPr>
        <w:t>材料制作</w:t>
      </w:r>
    </w:p>
    <w:p w14:paraId="657C9540">
      <w:pPr>
        <w:snapToGrid w:val="0"/>
        <w:spacing w:line="360" w:lineRule="auto"/>
        <w:ind w:firstLine="480"/>
        <w:rPr>
          <w:rFonts w:hint="eastAsia"/>
          <w:color w:val="auto"/>
          <w:highlight w:val="none"/>
        </w:rPr>
      </w:pPr>
      <w:r>
        <w:rPr>
          <w:rFonts w:hint="eastAsia" w:ascii="宋体" w:hAnsi="宋体" w:cs="宋体"/>
          <w:sz w:val="24"/>
          <w:szCs w:val="28"/>
        </w:rPr>
        <w:t>商业计划书（BP）设计与优化；展示PPT设计与美化；确保材料格式规范美观，内容高质量。</w:t>
      </w:r>
    </w:p>
    <w:p w14:paraId="46816918">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b/>
          <w:bCs/>
          <w:color w:val="auto"/>
          <w:highlight w:val="none"/>
          <w:lang w:val="en-US" w:eastAsia="zh-CN"/>
        </w:rPr>
      </w:pPr>
      <w:bookmarkStart w:id="70" w:name="_Toc16371"/>
    </w:p>
    <w:p w14:paraId="1F9A2F2D">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ascii="宋体" w:hAnsi="宋体"/>
          <w:b w:val="0"/>
          <w:bCs w:val="0"/>
          <w:color w:val="auto"/>
          <w:szCs w:val="21"/>
          <w:highlight w:val="none"/>
          <w:lang w:val="en-US" w:eastAsia="zh-CN"/>
        </w:rPr>
      </w:pPr>
      <w:r>
        <w:rPr>
          <w:rFonts w:hint="eastAsia"/>
          <w:b/>
          <w:bCs/>
          <w:color w:val="auto"/>
          <w:highlight w:val="none"/>
          <w:lang w:val="en-US" w:eastAsia="zh-CN"/>
        </w:rPr>
        <w:t>备注：</w:t>
      </w:r>
      <w:r>
        <w:rPr>
          <w:rFonts w:hint="eastAsia" w:ascii="宋体" w:hAnsi="宋体"/>
          <w:b w:val="0"/>
          <w:bCs w:val="0"/>
          <w:color w:val="auto"/>
          <w:szCs w:val="21"/>
          <w:highlight w:val="none"/>
          <w:lang w:val="en-US" w:eastAsia="zh-CN"/>
        </w:rPr>
        <w:t>响应人应按照磋商文件要求提供证明材料。若响应人提供了竞争性磋商文件未要求的证明材</w:t>
      </w:r>
    </w:p>
    <w:p w14:paraId="21A566FA">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ascii="宋体" w:hAnsi="宋体"/>
          <w:b w:val="0"/>
          <w:bCs w:val="0"/>
          <w:color w:val="auto"/>
          <w:szCs w:val="21"/>
          <w:highlight w:val="none"/>
          <w:lang w:val="en-US" w:eastAsia="zh-CN"/>
        </w:rPr>
      </w:pPr>
    </w:p>
    <w:p w14:paraId="7D9A0DC8">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料，磋商小组将不予评审。</w:t>
      </w:r>
    </w:p>
    <w:p w14:paraId="2277DF10">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firstLine="420"/>
        <w:textAlignment w:val="auto"/>
        <w:rPr>
          <w:rFonts w:hint="eastAsia"/>
          <w:b w:val="0"/>
          <w:bCs w:val="0"/>
          <w:color w:val="auto"/>
          <w:highlight w:val="none"/>
          <w:lang w:val="en-US" w:eastAsia="zh-CN"/>
        </w:rPr>
      </w:pPr>
    </w:p>
    <w:p w14:paraId="3C14306D">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firstLine="420"/>
        <w:textAlignment w:val="auto"/>
        <w:rPr>
          <w:rFonts w:hint="eastAsia"/>
          <w:b w:val="0"/>
          <w:bCs w:val="0"/>
          <w:color w:val="auto"/>
          <w:highlight w:val="none"/>
          <w:lang w:val="en-US" w:eastAsia="zh-CN"/>
        </w:rPr>
      </w:pPr>
      <w:r>
        <w:rPr>
          <w:rFonts w:hint="eastAsia"/>
          <w:b w:val="0"/>
          <w:bCs w:val="0"/>
          <w:color w:val="auto"/>
          <w:highlight w:val="none"/>
          <w:lang w:val="en-US" w:eastAsia="zh-CN"/>
        </w:rPr>
        <w:t>响应人提供的证明材料须清晰地反映评审内容，如因材料模糊不清，导致磋商小组无法辨认的，</w:t>
      </w:r>
    </w:p>
    <w:p w14:paraId="4893861D">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firstLine="420"/>
        <w:textAlignment w:val="auto"/>
        <w:rPr>
          <w:rFonts w:hint="eastAsia"/>
          <w:b w:val="0"/>
          <w:bCs w:val="0"/>
          <w:color w:val="auto"/>
          <w:highlight w:val="none"/>
          <w:lang w:val="en-US" w:eastAsia="zh-CN"/>
        </w:rPr>
      </w:pPr>
    </w:p>
    <w:p w14:paraId="42650505">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b w:val="0"/>
          <w:bCs w:val="0"/>
          <w:color w:val="auto"/>
          <w:highlight w:val="none"/>
          <w:lang w:val="en-US" w:eastAsia="zh-CN"/>
        </w:rPr>
      </w:pPr>
      <w:r>
        <w:rPr>
          <w:rFonts w:hint="eastAsia"/>
          <w:b w:val="0"/>
          <w:bCs w:val="0"/>
          <w:color w:val="auto"/>
          <w:highlight w:val="none"/>
          <w:lang w:val="en-US" w:eastAsia="zh-CN"/>
        </w:rPr>
        <w:t>磋商小组可以不予认可，一切后果由响应人自行承担。</w:t>
      </w:r>
    </w:p>
    <w:p w14:paraId="528141D0">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color w:val="auto"/>
          <w:highlight w:val="none"/>
          <w:lang w:val="en-US" w:eastAsia="zh-CN"/>
        </w:rPr>
      </w:pPr>
    </w:p>
    <w:p w14:paraId="3066A973">
      <w:pPr>
        <w:pStyle w:val="5"/>
        <w:pageBreakBefore w:val="0"/>
        <w:kinsoku/>
        <w:overflowPunct/>
        <w:topLinePunct w:val="0"/>
        <w:bidi w:val="0"/>
        <w:snapToGrid/>
        <w:spacing w:line="440" w:lineRule="exact"/>
        <w:ind w:firstLine="551" w:firstLineChars="196"/>
        <w:textAlignment w:val="auto"/>
        <w:rPr>
          <w:rFonts w:hint="eastAsia" w:cs="Times New Roman" w:asciiTheme="minorEastAsia" w:hAnsiTheme="minorEastAsia" w:eastAsiaTheme="minorEastAsia"/>
          <w:b/>
          <w:bCs w:val="0"/>
          <w:sz w:val="28"/>
          <w:szCs w:val="28"/>
          <w:lang w:val="en-US" w:eastAsia="zh-CN" w:bidi="ar-SA"/>
        </w:rPr>
      </w:pPr>
    </w:p>
    <w:p w14:paraId="16F1F325">
      <w:pPr>
        <w:pStyle w:val="5"/>
        <w:keepNext/>
        <w:keepLines/>
        <w:pageBreakBefore w:val="0"/>
        <w:widowControl w:val="0"/>
        <w:kinsoku/>
        <w:wordWrap w:val="0"/>
        <w:overflowPunct/>
        <w:topLinePunct w:val="0"/>
        <w:autoSpaceDE/>
        <w:autoSpaceDN/>
        <w:bidi w:val="0"/>
        <w:adjustRightInd/>
        <w:snapToGrid/>
        <w:spacing w:after="157" w:afterLines="50" w:line="440" w:lineRule="exact"/>
        <w:ind w:firstLine="551" w:firstLineChars="196"/>
        <w:textAlignment w:val="auto"/>
        <w:rPr>
          <w:color w:val="auto"/>
          <w:highlight w:val="none"/>
        </w:rPr>
      </w:pPr>
      <w:r>
        <w:rPr>
          <w:rFonts w:hint="eastAsia" w:cs="Times New Roman" w:asciiTheme="minorEastAsia" w:hAnsiTheme="minorEastAsia" w:eastAsiaTheme="minorEastAsia"/>
          <w:b/>
          <w:bCs w:val="0"/>
          <w:sz w:val="28"/>
          <w:szCs w:val="28"/>
          <w:lang w:val="en-US" w:eastAsia="zh-CN" w:bidi="ar-SA"/>
        </w:rPr>
        <w:t xml:space="preserve">四、验收 </w:t>
      </w:r>
      <w:r>
        <w:rPr>
          <w:rFonts w:hint="eastAsia"/>
          <w:color w:val="auto"/>
          <w:sz w:val="28"/>
          <w:szCs w:val="28"/>
          <w:highlight w:val="none"/>
        </w:rPr>
        <w:t xml:space="preserve"> </w:t>
      </w:r>
      <w:r>
        <w:rPr>
          <w:rFonts w:hint="eastAsia"/>
          <w:color w:val="auto"/>
          <w:highlight w:val="none"/>
        </w:rPr>
        <w:t xml:space="preserve">   </w:t>
      </w:r>
    </w:p>
    <w:p w14:paraId="4957FC9F">
      <w:pPr>
        <w:pageBreakBefore w:val="0"/>
        <w:widowControl/>
        <w:kinsoku/>
        <w:overflowPunct/>
        <w:topLinePunct w:val="0"/>
        <w:bidi w:val="0"/>
        <w:snapToGrid/>
        <w:spacing w:line="440" w:lineRule="exact"/>
        <w:ind w:firstLine="405"/>
        <w:jc w:val="left"/>
        <w:textAlignment w:val="auto"/>
        <w:rPr>
          <w:rFonts w:hint="eastAsia" w:ascii="宋体" w:hAnsi="宋体" w:eastAsia="宋体"/>
          <w:color w:val="auto"/>
          <w:szCs w:val="21"/>
          <w:highlight w:val="none"/>
          <w:lang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宋体" w:hAnsi="宋体"/>
          <w:color w:val="auto"/>
          <w:szCs w:val="21"/>
          <w:highlight w:val="none"/>
        </w:rPr>
        <w:t xml:space="preserve">  </w:t>
      </w:r>
      <w:r>
        <w:rPr>
          <w:rFonts w:hint="eastAsia" w:ascii="宋体" w:hAnsi="宋体"/>
          <w:color w:val="auto"/>
          <w:sz w:val="24"/>
          <w:szCs w:val="24"/>
          <w:highlight w:val="none"/>
          <w:lang w:val="en-US" w:eastAsia="zh-CN"/>
        </w:rPr>
        <w:t>成交</w:t>
      </w:r>
      <w:r>
        <w:rPr>
          <w:rFonts w:hint="eastAsia" w:ascii="宋体" w:hAnsi="宋体"/>
          <w:color w:val="auto"/>
          <w:sz w:val="24"/>
          <w:szCs w:val="24"/>
          <w:highlight w:val="none"/>
        </w:rPr>
        <w:t>人和采购人双方共同实施验收工作，结果和验收报告经双方确认后生</w:t>
      </w:r>
      <w:r>
        <w:rPr>
          <w:rFonts w:hint="eastAsia" w:ascii="宋体" w:hAnsi="宋体"/>
          <w:color w:val="auto"/>
          <w:sz w:val="24"/>
          <w:szCs w:val="24"/>
          <w:highlight w:val="none"/>
          <w:lang w:eastAsia="zh-CN"/>
        </w:rPr>
        <w:t>效。</w:t>
      </w:r>
    </w:p>
    <w:p w14:paraId="7C9CB077">
      <w:pPr>
        <w:pStyle w:val="2"/>
        <w:numPr>
          <w:ilvl w:val="0"/>
          <w:numId w:val="0"/>
        </w:numPr>
        <w:tabs>
          <w:tab w:val="clear" w:pos="1440"/>
          <w:tab w:val="clear" w:pos="5670"/>
        </w:tabs>
        <w:spacing w:beforeLines="0" w:afterLines="0"/>
        <w:jc w:val="both"/>
        <w:rPr>
          <w:rFonts w:hint="eastAsia" w:ascii="Arial" w:hAnsi="Arial"/>
          <w:color w:val="auto"/>
          <w:kern w:val="2"/>
          <w:sz w:val="32"/>
          <w:szCs w:val="32"/>
          <w:highlight w:val="none"/>
          <w:lang w:val="en-US" w:eastAsia="zh-CN"/>
        </w:rPr>
      </w:pPr>
    </w:p>
    <w:p w14:paraId="4E03B452">
      <w:pPr>
        <w:pStyle w:val="2"/>
        <w:numPr>
          <w:ilvl w:val="0"/>
          <w:numId w:val="0"/>
        </w:numPr>
        <w:tabs>
          <w:tab w:val="clear" w:pos="1440"/>
          <w:tab w:val="clear" w:pos="5670"/>
        </w:tabs>
        <w:spacing w:beforeLines="0" w:afterLines="0"/>
        <w:ind w:left="210" w:leftChars="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w:t>
      </w:r>
      <w:r>
        <w:rPr>
          <w:rFonts w:hint="eastAsia" w:ascii="Arial" w:hAnsi="Arial"/>
          <w:color w:val="auto"/>
          <w:kern w:val="2"/>
          <w:sz w:val="32"/>
          <w:szCs w:val="32"/>
          <w:highlight w:val="none"/>
          <w:lang w:val="en-US" w:eastAsia="zh-CN"/>
        </w:rPr>
        <w:t>办法与标准</w:t>
      </w:r>
      <w:bookmarkEnd w:id="70"/>
    </w:p>
    <w:p w14:paraId="4D30F569">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193FE9BB">
      <w:pPr>
        <w:widowControl/>
        <w:numPr>
          <w:ilvl w:val="0"/>
          <w:numId w:val="0"/>
        </w:numPr>
        <w:spacing w:line="360" w:lineRule="auto"/>
        <w:ind w:firstLine="480" w:firstLineChars="200"/>
        <w:jc w:val="left"/>
        <w:rPr>
          <w:rFonts w:hint="eastAsia"/>
          <w:color w:val="auto"/>
          <w:highlight w:val="none"/>
          <w:lang w:val="en-US" w:eastAsia="zh-CN"/>
        </w:rPr>
      </w:pPr>
      <w:r>
        <w:rPr>
          <w:rFonts w:hint="eastAsia"/>
          <w:color w:val="auto"/>
          <w:sz w:val="24"/>
          <w:szCs w:val="24"/>
          <w:highlight w:val="none"/>
          <w:lang w:val="en-US" w:eastAsia="zh-CN"/>
        </w:rPr>
        <w:t>本项目将按照磋商文件第二章竞争性磋商须知的相关要求及本章的规定评</w:t>
      </w:r>
      <w:r>
        <w:rPr>
          <w:rFonts w:hint="eastAsia"/>
          <w:strike w:val="0"/>
          <w:dstrike w:val="0"/>
          <w:color w:val="auto"/>
          <w:sz w:val="24"/>
          <w:szCs w:val="24"/>
          <w:highlight w:val="none"/>
          <w:lang w:val="en-US" w:eastAsia="zh-CN"/>
        </w:rPr>
        <w:t>审</w:t>
      </w:r>
      <w:r>
        <w:rPr>
          <w:rFonts w:hint="eastAsia"/>
          <w:color w:val="auto"/>
          <w:sz w:val="24"/>
          <w:szCs w:val="24"/>
          <w:highlight w:val="none"/>
          <w:lang w:val="en-US" w:eastAsia="zh-CN"/>
        </w:rPr>
        <w:t>。</w:t>
      </w:r>
    </w:p>
    <w:p w14:paraId="210C9787">
      <w:pPr>
        <w:numPr>
          <w:ilvl w:val="0"/>
          <w:numId w:val="0"/>
        </w:numPr>
        <w:spacing w:line="360" w:lineRule="auto"/>
        <w:ind w:left="420" w:leftChars="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二、评审方法：</w:t>
      </w:r>
    </w:p>
    <w:p w14:paraId="77AB61B9">
      <w:pPr>
        <w:widowControl/>
        <w:numPr>
          <w:ilvl w:val="0"/>
          <w:numId w:val="0"/>
        </w:numPr>
        <w:spacing w:line="360" w:lineRule="auto"/>
        <w:ind w:firstLine="422" w:firstLineChars="200"/>
        <w:jc w:val="left"/>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2.1初审</w:t>
      </w:r>
    </w:p>
    <w:p w14:paraId="47A5618E">
      <w:pPr>
        <w:widowControl/>
        <w:numPr>
          <w:ilvl w:val="0"/>
          <w:numId w:val="0"/>
        </w:numPr>
        <w:spacing w:line="360" w:lineRule="auto"/>
        <w:ind w:firstLine="480" w:firstLineChars="200"/>
        <w:jc w:val="left"/>
        <w:rPr>
          <w:rFonts w:hint="default"/>
          <w:color w:val="auto"/>
          <w:sz w:val="24"/>
          <w:szCs w:val="24"/>
          <w:highlight w:val="none"/>
          <w:lang w:val="en-US"/>
        </w:rPr>
      </w:pPr>
      <w:r>
        <w:rPr>
          <w:rFonts w:hint="default"/>
          <w:color w:val="auto"/>
          <w:sz w:val="24"/>
          <w:szCs w:val="24"/>
          <w:highlight w:val="none"/>
          <w:lang w:val="en-US" w:eastAsia="zh-CN"/>
        </w:rPr>
        <w:t>磋商小组对供应商的响应文件进行初审，以确定其是否满足磋商文件的实质性要求。初审表如下</w:t>
      </w:r>
      <w:r>
        <w:rPr>
          <w:rFonts w:hint="eastAsia"/>
          <w:color w:val="auto"/>
          <w:sz w:val="24"/>
          <w:szCs w:val="24"/>
          <w:highlight w:val="none"/>
          <w:lang w:val="en-US" w:eastAsia="zh-CN"/>
        </w:rPr>
        <w:t>：</w:t>
      </w:r>
    </w:p>
    <w:tbl>
      <w:tblPr>
        <w:tblStyle w:val="61"/>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905"/>
        <w:gridCol w:w="2696"/>
        <w:gridCol w:w="5053"/>
      </w:tblGrid>
      <w:tr w14:paraId="00CE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09" w:type="dxa"/>
            <w:gridSpan w:val="4"/>
            <w:tcBorders>
              <w:bottom w:val="single" w:color="auto" w:sz="4" w:space="0"/>
            </w:tcBorders>
            <w:vAlign w:val="center"/>
          </w:tcPr>
          <w:p w14:paraId="01B5EED7">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519E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bottom w:val="single" w:color="auto" w:sz="4" w:space="0"/>
            </w:tcBorders>
            <w:vAlign w:val="center"/>
          </w:tcPr>
          <w:p w14:paraId="4FDC367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05" w:type="dxa"/>
            <w:tcBorders>
              <w:bottom w:val="single" w:color="auto" w:sz="4" w:space="0"/>
            </w:tcBorders>
            <w:vAlign w:val="center"/>
          </w:tcPr>
          <w:p w14:paraId="2A2C3D4D">
            <w:pPr>
              <w:pStyle w:val="416"/>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2696" w:type="dxa"/>
            <w:tcBorders>
              <w:bottom w:val="single" w:color="auto" w:sz="4" w:space="0"/>
            </w:tcBorders>
            <w:vAlign w:val="center"/>
          </w:tcPr>
          <w:p w14:paraId="67A324C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53" w:type="dxa"/>
            <w:tcBorders>
              <w:bottom w:val="single" w:color="auto" w:sz="4" w:space="0"/>
            </w:tcBorders>
            <w:vAlign w:val="center"/>
          </w:tcPr>
          <w:p w14:paraId="3B0F5694">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3E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5" w:type="dxa"/>
            <w:tcBorders>
              <w:bottom w:val="single" w:color="auto" w:sz="4" w:space="0"/>
            </w:tcBorders>
            <w:vAlign w:val="center"/>
          </w:tcPr>
          <w:p w14:paraId="0FD0B50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05" w:type="dxa"/>
            <w:tcBorders>
              <w:bottom w:val="single" w:color="auto" w:sz="4" w:space="0"/>
            </w:tcBorders>
            <w:vAlign w:val="center"/>
          </w:tcPr>
          <w:p w14:paraId="3BEB63D8">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2696" w:type="dxa"/>
            <w:tcBorders>
              <w:bottom w:val="single" w:color="auto" w:sz="4" w:space="0"/>
            </w:tcBorders>
            <w:vAlign w:val="center"/>
          </w:tcPr>
          <w:p w14:paraId="66434161">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5053" w:type="dxa"/>
            <w:vMerge w:val="restart"/>
            <w:vAlign w:val="center"/>
          </w:tcPr>
          <w:p w14:paraId="6E3BC1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营业执照</w:t>
            </w:r>
          </w:p>
        </w:tc>
      </w:tr>
      <w:tr w14:paraId="6C9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bottom w:val="single" w:color="auto" w:sz="4" w:space="0"/>
            </w:tcBorders>
            <w:vAlign w:val="center"/>
          </w:tcPr>
          <w:p w14:paraId="70C13125">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05" w:type="dxa"/>
            <w:tcBorders>
              <w:bottom w:val="single" w:color="auto" w:sz="4" w:space="0"/>
            </w:tcBorders>
            <w:vAlign w:val="center"/>
          </w:tcPr>
          <w:p w14:paraId="5F20C72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税务登记证</w:t>
            </w:r>
          </w:p>
        </w:tc>
        <w:tc>
          <w:tcPr>
            <w:tcW w:w="2696" w:type="dxa"/>
            <w:tcBorders>
              <w:bottom w:val="single" w:color="auto" w:sz="4" w:space="0"/>
            </w:tcBorders>
            <w:vAlign w:val="center"/>
          </w:tcPr>
          <w:p w14:paraId="7269FCF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5053" w:type="dxa"/>
            <w:vMerge w:val="continue"/>
            <w:tcBorders>
              <w:bottom w:val="single" w:color="auto" w:sz="4" w:space="0"/>
            </w:tcBorders>
            <w:vAlign w:val="center"/>
          </w:tcPr>
          <w:p w14:paraId="23547C02">
            <w:pPr>
              <w:adjustRightInd w:val="0"/>
              <w:snapToGrid w:val="0"/>
              <w:spacing w:line="360" w:lineRule="auto"/>
              <w:ind w:right="-10"/>
              <w:jc w:val="center"/>
              <w:rPr>
                <w:rFonts w:hint="eastAsia" w:ascii="宋体" w:hAnsi="宋体" w:eastAsia="宋体" w:cs="宋体"/>
                <w:color w:val="auto"/>
                <w:sz w:val="21"/>
                <w:szCs w:val="21"/>
                <w:highlight w:val="none"/>
              </w:rPr>
            </w:pPr>
          </w:p>
        </w:tc>
      </w:tr>
      <w:tr w14:paraId="2F5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5" w:type="dxa"/>
            <w:tcBorders>
              <w:bottom w:val="single" w:color="auto" w:sz="4" w:space="0"/>
            </w:tcBorders>
            <w:vAlign w:val="center"/>
          </w:tcPr>
          <w:p w14:paraId="4A4E0FB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05" w:type="dxa"/>
            <w:tcBorders>
              <w:bottom w:val="single" w:color="auto" w:sz="4" w:space="0"/>
            </w:tcBorders>
            <w:vAlign w:val="center"/>
          </w:tcPr>
          <w:p w14:paraId="78FBEE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2E34508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2696" w:type="dxa"/>
            <w:tcBorders>
              <w:bottom w:val="single" w:color="auto" w:sz="4" w:space="0"/>
            </w:tcBorders>
            <w:vAlign w:val="center"/>
          </w:tcPr>
          <w:p w14:paraId="0A4F8864">
            <w:pPr>
              <w:spacing w:line="360" w:lineRule="auto"/>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5053" w:type="dxa"/>
            <w:tcBorders>
              <w:bottom w:val="single" w:color="auto" w:sz="4" w:space="0"/>
            </w:tcBorders>
            <w:vAlign w:val="center"/>
          </w:tcPr>
          <w:p w14:paraId="70DDA05E">
            <w:pPr>
              <w:spacing w:line="360" w:lineRule="auto"/>
              <w:jc w:val="center"/>
              <w:rPr>
                <w:rFonts w:hint="eastAsia"/>
              </w:rPr>
            </w:pPr>
            <w:r>
              <w:rPr>
                <w:rFonts w:hint="eastAsia" w:ascii="宋体" w:hAnsi="宋体" w:eastAsia="宋体" w:cs="宋体"/>
                <w:color w:val="auto"/>
                <w:sz w:val="21"/>
                <w:szCs w:val="21"/>
                <w:highlight w:val="none"/>
                <w:lang w:val="en-US" w:eastAsia="zh-CN"/>
              </w:rPr>
              <w:t>详见竞争性磋商须知正文第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553B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bottom w:val="single" w:color="auto" w:sz="4" w:space="0"/>
            </w:tcBorders>
            <w:vAlign w:val="center"/>
          </w:tcPr>
          <w:p w14:paraId="59C2505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05" w:type="dxa"/>
            <w:tcBorders>
              <w:bottom w:val="single" w:color="auto" w:sz="4" w:space="0"/>
            </w:tcBorders>
            <w:vAlign w:val="center"/>
          </w:tcPr>
          <w:p w14:paraId="0E01B9D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声明函</w:t>
            </w:r>
          </w:p>
        </w:tc>
        <w:tc>
          <w:tcPr>
            <w:tcW w:w="2696" w:type="dxa"/>
            <w:tcBorders>
              <w:bottom w:val="single" w:color="auto" w:sz="4" w:space="0"/>
            </w:tcBorders>
            <w:vAlign w:val="center"/>
          </w:tcPr>
          <w:p w14:paraId="43F22A8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格式、填写要求符合磋商文件规定并加盖响应人</w:t>
            </w:r>
            <w:r>
              <w:rPr>
                <w:rFonts w:hint="eastAsia" w:ascii="宋体" w:hAnsi="宋体" w:cs="宋体"/>
                <w:color w:val="auto"/>
                <w:sz w:val="21"/>
                <w:szCs w:val="21"/>
                <w:highlight w:val="none"/>
                <w:lang w:val="en-US" w:eastAsia="zh-CN"/>
              </w:rPr>
              <w:t>公章</w:t>
            </w:r>
          </w:p>
        </w:tc>
        <w:tc>
          <w:tcPr>
            <w:tcW w:w="5053" w:type="dxa"/>
            <w:tcBorders>
              <w:bottom w:val="single" w:color="auto" w:sz="4" w:space="0"/>
            </w:tcBorders>
            <w:vAlign w:val="center"/>
          </w:tcPr>
          <w:p w14:paraId="77A795D3">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4422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69B399D">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905" w:type="dxa"/>
            <w:vAlign w:val="center"/>
          </w:tcPr>
          <w:p w14:paraId="56A9E6BB">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2696" w:type="dxa"/>
            <w:vAlign w:val="center"/>
          </w:tcPr>
          <w:p w14:paraId="3B7ECB3D">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53" w:type="dxa"/>
            <w:vAlign w:val="center"/>
          </w:tcPr>
          <w:p w14:paraId="6B25C78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详见竞争性磋商公告</w:t>
            </w:r>
          </w:p>
        </w:tc>
      </w:tr>
      <w:tr w14:paraId="27A4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F54C3DC">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05" w:type="dxa"/>
            <w:vAlign w:val="center"/>
          </w:tcPr>
          <w:p w14:paraId="4C0FB030">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磋商响应函</w:t>
            </w:r>
          </w:p>
        </w:tc>
        <w:tc>
          <w:tcPr>
            <w:tcW w:w="2696" w:type="dxa"/>
            <w:vAlign w:val="center"/>
          </w:tcPr>
          <w:p w14:paraId="4C989963">
            <w:pPr>
              <w:adjustRightInd w:val="0"/>
              <w:snapToGrid w:val="0"/>
              <w:spacing w:line="360" w:lineRule="auto"/>
              <w:ind w:right="-1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公章</w:t>
            </w:r>
          </w:p>
        </w:tc>
        <w:tc>
          <w:tcPr>
            <w:tcW w:w="5053" w:type="dxa"/>
            <w:vAlign w:val="center"/>
          </w:tcPr>
          <w:p w14:paraId="471A9A29">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3FE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2D2F50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05" w:type="dxa"/>
            <w:vAlign w:val="center"/>
          </w:tcPr>
          <w:p w14:paraId="3491DE5E">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2696" w:type="dxa"/>
            <w:vAlign w:val="center"/>
          </w:tcPr>
          <w:p w14:paraId="1967B9B4">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公章</w:t>
            </w:r>
          </w:p>
        </w:tc>
        <w:tc>
          <w:tcPr>
            <w:tcW w:w="5053" w:type="dxa"/>
            <w:vAlign w:val="center"/>
          </w:tcPr>
          <w:p w14:paraId="6471128B">
            <w:pPr>
              <w:adjustRightInd w:val="0"/>
              <w:snapToGrid w:val="0"/>
              <w:spacing w:line="360" w:lineRule="auto"/>
              <w:ind w:right="-10" w:firstLine="1050" w:firstLineChars="5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7852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2CBCDF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05" w:type="dxa"/>
            <w:vAlign w:val="center"/>
          </w:tcPr>
          <w:p w14:paraId="19EB6A3B">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w:t>
            </w:r>
          </w:p>
        </w:tc>
        <w:tc>
          <w:tcPr>
            <w:tcW w:w="2696" w:type="dxa"/>
            <w:vAlign w:val="center"/>
          </w:tcPr>
          <w:p w14:paraId="3B57F408">
            <w:pPr>
              <w:adjustRightInd w:val="0"/>
              <w:snapToGrid w:val="0"/>
              <w:spacing w:line="360" w:lineRule="auto"/>
              <w:ind w:right="-1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符合磋商文件供应商须知正文第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 条要求</w:t>
            </w:r>
          </w:p>
        </w:tc>
        <w:tc>
          <w:tcPr>
            <w:tcW w:w="5053" w:type="dxa"/>
            <w:vAlign w:val="center"/>
          </w:tcPr>
          <w:p w14:paraId="6216C94E">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w:t>
            </w:r>
            <w:r>
              <w:rPr>
                <w:rFonts w:hint="eastAsia" w:ascii="宋体" w:hAnsi="宋体" w:cs="宋体"/>
                <w:color w:val="auto"/>
                <w:kern w:val="0"/>
                <w:sz w:val="21"/>
                <w:szCs w:val="21"/>
                <w:highlight w:val="none"/>
                <w:lang w:val="en-US" w:eastAsia="zh-CN" w:bidi="ar"/>
              </w:rPr>
              <w:t>格式</w:t>
            </w:r>
          </w:p>
        </w:tc>
      </w:tr>
      <w:tr w14:paraId="61D4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AAB7283">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05" w:type="dxa"/>
            <w:vAlign w:val="center"/>
          </w:tcPr>
          <w:p w14:paraId="00E057D7">
            <w:pPr>
              <w:spacing w:after="50" w:line="360" w:lineRule="auto"/>
              <w:ind w:right="-10" w:rightChars="0"/>
              <w:jc w:val="center"/>
              <w:rPr>
                <w:rFonts w:hint="eastAsia" w:ascii="宋体" w:hAnsi="宋体"/>
                <w:color w:val="auto"/>
                <w:szCs w:val="21"/>
                <w:highlight w:val="none"/>
                <w:lang w:val="en-US" w:eastAsia="zh-CN"/>
              </w:rPr>
            </w:pPr>
            <w:r>
              <w:rPr>
                <w:rFonts w:hint="eastAsia" w:ascii="宋体" w:hAnsi="宋体"/>
                <w:color w:val="auto"/>
                <w:szCs w:val="21"/>
                <w:highlight w:val="none"/>
              </w:rPr>
              <w:t>服务</w:t>
            </w:r>
            <w:r>
              <w:rPr>
                <w:rFonts w:hint="eastAsia" w:ascii="宋体" w:hAnsi="宋体"/>
                <w:color w:val="auto"/>
                <w:szCs w:val="21"/>
                <w:highlight w:val="none"/>
                <w:lang w:val="en-US" w:eastAsia="zh-CN"/>
              </w:rPr>
              <w:t>需求</w:t>
            </w:r>
          </w:p>
          <w:p w14:paraId="1629B923">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响应情况</w:t>
            </w:r>
          </w:p>
        </w:tc>
        <w:tc>
          <w:tcPr>
            <w:tcW w:w="2696" w:type="dxa"/>
            <w:vAlign w:val="center"/>
          </w:tcPr>
          <w:p w14:paraId="2130F216">
            <w:pPr>
              <w:adjustRightInd w:val="0"/>
              <w:snapToGrid w:val="0"/>
              <w:spacing w:line="360" w:lineRule="auto"/>
              <w:ind w:right="-1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符合磋商文件采购需求</w:t>
            </w:r>
          </w:p>
        </w:tc>
        <w:tc>
          <w:tcPr>
            <w:tcW w:w="5053" w:type="dxa"/>
            <w:vAlign w:val="center"/>
          </w:tcPr>
          <w:p w14:paraId="010D609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w:t>
            </w:r>
            <w:r>
              <w:rPr>
                <w:rFonts w:hint="eastAsia" w:ascii="宋体" w:hAnsi="宋体" w:cs="宋体"/>
                <w:color w:val="auto"/>
                <w:kern w:val="0"/>
                <w:sz w:val="21"/>
                <w:szCs w:val="21"/>
                <w:highlight w:val="none"/>
                <w:lang w:val="en-US" w:eastAsia="zh-CN" w:bidi="ar"/>
              </w:rPr>
              <w:t>格式</w:t>
            </w:r>
          </w:p>
        </w:tc>
      </w:tr>
      <w:tr w14:paraId="4716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55" w:type="dxa"/>
            <w:vAlign w:val="center"/>
          </w:tcPr>
          <w:p w14:paraId="012F7936">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05" w:type="dxa"/>
            <w:vAlign w:val="center"/>
          </w:tcPr>
          <w:p w14:paraId="13728CBC">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商务</w:t>
            </w:r>
            <w:r>
              <w:rPr>
                <w:rFonts w:hint="eastAsia" w:ascii="宋体" w:hAnsi="宋体" w:eastAsia="宋体" w:cs="宋体"/>
                <w:color w:val="auto"/>
                <w:kern w:val="0"/>
                <w:sz w:val="21"/>
                <w:szCs w:val="21"/>
                <w:highlight w:val="none"/>
                <w:lang w:val="en-US" w:eastAsia="zh-CN" w:bidi="ar"/>
              </w:rPr>
              <w:t>响应情况</w:t>
            </w:r>
          </w:p>
        </w:tc>
        <w:tc>
          <w:tcPr>
            <w:tcW w:w="2696" w:type="dxa"/>
            <w:vAlign w:val="center"/>
          </w:tcPr>
          <w:p w14:paraId="5645A80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符合磋商文件采购需求中付款方式、服务期限、服务地点的要求</w:t>
            </w:r>
          </w:p>
        </w:tc>
        <w:tc>
          <w:tcPr>
            <w:tcW w:w="5053" w:type="dxa"/>
            <w:vAlign w:val="center"/>
          </w:tcPr>
          <w:p w14:paraId="01298EA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14D8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55" w:type="dxa"/>
            <w:vAlign w:val="center"/>
          </w:tcPr>
          <w:p w14:paraId="5A951BCB">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05" w:type="dxa"/>
            <w:vAlign w:val="center"/>
          </w:tcPr>
          <w:p w14:paraId="2FA286BD">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2696" w:type="dxa"/>
            <w:vAlign w:val="center"/>
          </w:tcPr>
          <w:p w14:paraId="5BBFCB8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符合磋商文件提供的响应文件格式及要求编写且加盖供应商</w:t>
            </w:r>
            <w:r>
              <w:rPr>
                <w:rFonts w:hint="eastAsia" w:ascii="宋体" w:hAnsi="宋体" w:cs="宋体"/>
                <w:color w:val="auto"/>
                <w:sz w:val="21"/>
                <w:szCs w:val="21"/>
                <w:highlight w:val="none"/>
                <w:lang w:val="en-US" w:eastAsia="zh-CN"/>
              </w:rPr>
              <w:t>公章</w:t>
            </w:r>
            <w:r>
              <w:rPr>
                <w:rFonts w:hint="eastAsia" w:ascii="宋体" w:hAnsi="宋体"/>
                <w:color w:val="auto"/>
                <w:szCs w:val="21"/>
                <w:highlight w:val="none"/>
                <w:lang w:val="en-US" w:eastAsia="zh-CN"/>
              </w:rPr>
              <w:t>。</w:t>
            </w:r>
          </w:p>
        </w:tc>
        <w:tc>
          <w:tcPr>
            <w:tcW w:w="5053" w:type="dxa"/>
            <w:vAlign w:val="center"/>
          </w:tcPr>
          <w:p w14:paraId="0439F535">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5C0E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55" w:type="dxa"/>
            <w:vAlign w:val="center"/>
          </w:tcPr>
          <w:p w14:paraId="50544763">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05" w:type="dxa"/>
            <w:vAlign w:val="center"/>
          </w:tcPr>
          <w:p w14:paraId="40DC6F56">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696" w:type="dxa"/>
            <w:vAlign w:val="center"/>
          </w:tcPr>
          <w:p w14:paraId="34CCB2A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53" w:type="dxa"/>
            <w:vAlign w:val="center"/>
          </w:tcPr>
          <w:p w14:paraId="26FF0CBF">
            <w:pPr>
              <w:spacing w:after="50" w:line="360" w:lineRule="auto"/>
              <w:ind w:right="-10" w:rightChars="0"/>
              <w:jc w:val="center"/>
              <w:rPr>
                <w:rFonts w:hint="eastAsia" w:ascii="宋体" w:hAnsi="宋体" w:eastAsia="宋体" w:cs="宋体"/>
                <w:color w:val="auto"/>
                <w:sz w:val="21"/>
                <w:szCs w:val="21"/>
                <w:highlight w:val="none"/>
              </w:rPr>
            </w:pPr>
          </w:p>
        </w:tc>
      </w:tr>
      <w:tr w14:paraId="095D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9" w:type="dxa"/>
            <w:gridSpan w:val="4"/>
            <w:tcBorders>
              <w:bottom w:val="single" w:color="auto" w:sz="4" w:space="0"/>
            </w:tcBorders>
            <w:vAlign w:val="center"/>
          </w:tcPr>
          <w:p w14:paraId="243C26D6">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51727B72">
            <w:pPr>
              <w:widowControl/>
              <w:spacing w:line="500" w:lineRule="exact"/>
              <w:jc w:val="left"/>
              <w:rPr>
                <w:rFonts w:hint="eastAsia"/>
                <w:color w:val="auto"/>
                <w:highlight w:val="none"/>
                <w:lang w:val="en-US" w:eastAsia="zh-CN"/>
              </w:rPr>
            </w:pPr>
            <w:r>
              <w:rPr>
                <w:rFonts w:hint="eastAsia"/>
                <w:color w:val="auto"/>
                <w:highlight w:val="none"/>
              </w:rPr>
              <w:t>注：</w:t>
            </w:r>
            <w:r>
              <w:rPr>
                <w:rFonts w:hint="eastAsia"/>
                <w:color w:val="auto"/>
                <w:highlight w:val="none"/>
                <w:lang w:eastAsia="zh-CN"/>
              </w:rPr>
              <w:t>磋商文件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tc>
      </w:tr>
    </w:tbl>
    <w:p w14:paraId="511E29B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2.2</w:t>
      </w:r>
      <w:r>
        <w:rPr>
          <w:rFonts w:hint="default" w:ascii="宋体" w:hAnsi="宋体"/>
          <w:b/>
          <w:bCs w:val="0"/>
          <w:color w:val="auto"/>
          <w:sz w:val="24"/>
          <w:szCs w:val="24"/>
          <w:highlight w:val="none"/>
          <w:lang w:val="en-US" w:eastAsia="zh-CN"/>
        </w:rPr>
        <w:t xml:space="preserve"> 磋商。</w:t>
      </w:r>
    </w:p>
    <w:p w14:paraId="7F8681BD">
      <w:pPr>
        <w:spacing w:line="360" w:lineRule="auto"/>
        <w:ind w:firstLine="420" w:firstLineChars="200"/>
        <w:rPr>
          <w:rFonts w:hint="default" w:ascii="宋体" w:hAnsi="宋体" w:cs="宋体"/>
          <w:b w:val="0"/>
          <w:bCs/>
          <w:color w:val="auto"/>
          <w:szCs w:val="21"/>
          <w:highlight w:val="none"/>
          <w:lang w:val="en-US" w:eastAsia="zh-CN"/>
        </w:rPr>
      </w:pP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，磋商</w:t>
      </w:r>
      <w:r>
        <w:rPr>
          <w:rFonts w:hint="default" w:ascii="宋体" w:hAnsi="宋体" w:cs="宋体"/>
          <w:b w:val="0"/>
          <w:bCs/>
          <w:color w:val="auto"/>
          <w:szCs w:val="21"/>
          <w:highlight w:val="none"/>
          <w:lang w:val="en-US" w:eastAsia="zh-CN"/>
        </w:rPr>
        <w:t>小组将</w:t>
      </w:r>
      <w:r>
        <w:rPr>
          <w:rFonts w:hint="eastAsia" w:ascii="宋体" w:hAnsi="宋体" w:cs="宋体"/>
          <w:b w:val="0"/>
          <w:bCs/>
          <w:color w:val="auto"/>
          <w:szCs w:val="21"/>
          <w:highlight w:val="none"/>
          <w:lang w:val="en-US" w:eastAsia="zh-CN"/>
        </w:rPr>
        <w:t>与合格的</w:t>
      </w:r>
      <w:r>
        <w:rPr>
          <w:rFonts w:hint="default" w:ascii="宋体" w:hAnsi="宋体" w:cs="宋体"/>
          <w:b w:val="0"/>
          <w:bCs/>
          <w:color w:val="auto"/>
          <w:szCs w:val="21"/>
          <w:highlight w:val="none"/>
          <w:lang w:val="en-US" w:eastAsia="zh-CN"/>
        </w:rPr>
        <w:t>供应商进行</w:t>
      </w:r>
      <w:r>
        <w:rPr>
          <w:rFonts w:hint="eastAsia" w:ascii="宋体" w:hAnsi="宋体" w:cs="宋体"/>
          <w:b w:val="0"/>
          <w:bCs/>
          <w:color w:val="auto"/>
          <w:szCs w:val="21"/>
          <w:highlight w:val="none"/>
          <w:lang w:val="en-US" w:eastAsia="zh-CN"/>
        </w:rPr>
        <w:t>磋商</w:t>
      </w:r>
      <w:r>
        <w:rPr>
          <w:rFonts w:hint="default" w:ascii="宋体" w:hAnsi="宋体" w:cs="宋体"/>
          <w:b w:val="0"/>
          <w:bCs/>
          <w:color w:val="auto"/>
          <w:szCs w:val="21"/>
          <w:highlight w:val="none"/>
          <w:lang w:val="en-US" w:eastAsia="zh-CN"/>
        </w:rPr>
        <w:t>。</w:t>
      </w:r>
    </w:p>
    <w:p w14:paraId="3E634D7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2.3</w:t>
      </w:r>
      <w:r>
        <w:rPr>
          <w:rFonts w:hint="default" w:ascii="宋体" w:hAnsi="宋体"/>
          <w:b/>
          <w:bCs w:val="0"/>
          <w:color w:val="auto"/>
          <w:sz w:val="24"/>
          <w:szCs w:val="24"/>
          <w:highlight w:val="none"/>
          <w:lang w:val="en-US" w:eastAsia="zh-CN"/>
        </w:rPr>
        <w:t xml:space="preserve"> </w:t>
      </w:r>
      <w:r>
        <w:rPr>
          <w:rFonts w:hint="eastAsia" w:ascii="宋体" w:hAnsi="宋体"/>
          <w:b/>
          <w:bCs w:val="0"/>
          <w:color w:val="auto"/>
          <w:sz w:val="24"/>
          <w:szCs w:val="24"/>
          <w:highlight w:val="none"/>
          <w:lang w:val="en-US" w:eastAsia="zh-CN"/>
        </w:rPr>
        <w:t>最后</w:t>
      </w:r>
      <w:r>
        <w:rPr>
          <w:rFonts w:hint="default" w:ascii="宋体" w:hAnsi="宋体"/>
          <w:b/>
          <w:bCs w:val="0"/>
          <w:color w:val="auto"/>
          <w:sz w:val="24"/>
          <w:szCs w:val="24"/>
          <w:highlight w:val="none"/>
          <w:lang w:val="en-US" w:eastAsia="zh-CN"/>
        </w:rPr>
        <w:t>报价</w:t>
      </w:r>
      <w:r>
        <w:rPr>
          <w:rFonts w:hint="eastAsia" w:ascii="宋体" w:hAnsi="宋体"/>
          <w:b/>
          <w:bCs w:val="0"/>
          <w:color w:val="auto"/>
          <w:sz w:val="24"/>
          <w:szCs w:val="24"/>
          <w:highlight w:val="none"/>
          <w:lang w:val="en-US" w:eastAsia="zh-CN"/>
        </w:rPr>
        <w:t>评审</w:t>
      </w:r>
      <w:r>
        <w:rPr>
          <w:rFonts w:hint="default" w:ascii="宋体" w:hAnsi="宋体"/>
          <w:b/>
          <w:bCs w:val="0"/>
          <w:color w:val="auto"/>
          <w:sz w:val="24"/>
          <w:szCs w:val="24"/>
          <w:highlight w:val="none"/>
          <w:lang w:val="en-US" w:eastAsia="zh-CN"/>
        </w:rPr>
        <w:t>。</w:t>
      </w:r>
    </w:p>
    <w:p w14:paraId="667F6CD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符合磋商文件供应商须知正文第 24 条要求。</w:t>
      </w:r>
    </w:p>
    <w:p w14:paraId="421662E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 xml:space="preserve">2.4 综合评分 </w:t>
      </w:r>
    </w:p>
    <w:p w14:paraId="4094E45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xml:space="preserve">2.4.1 磋商小组按照下表对进入综合评分的所有供应商的响应文件进行综合评分。 </w:t>
      </w:r>
    </w:p>
    <w:p w14:paraId="1A28ADC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xml:space="preserve">2.4.2 本项目综合评分满分均为100分，其中：技术资信分值占总分值的权重为 </w:t>
      </w:r>
      <w:r>
        <w:rPr>
          <w:rFonts w:hint="eastAsia" w:ascii="宋体" w:hAnsi="宋体" w:cs="宋体"/>
          <w:b w:val="0"/>
          <w:bCs/>
          <w:color w:val="auto"/>
          <w:szCs w:val="21"/>
          <w:highlight w:val="none"/>
          <w:lang w:val="en-US" w:eastAsia="zh-CN"/>
        </w:rPr>
        <w:t>8</w:t>
      </w:r>
      <w:r>
        <w:rPr>
          <w:rFonts w:hint="eastAsia" w:ascii="宋体" w:hAnsi="宋体" w:eastAsia="宋体" w:cs="宋体"/>
          <w:b w:val="0"/>
          <w:bCs/>
          <w:color w:val="auto"/>
          <w:szCs w:val="21"/>
          <w:highlight w:val="none"/>
          <w:lang w:val="en-US" w:eastAsia="zh-CN"/>
        </w:rPr>
        <w:t xml:space="preserve">0  %，价格分值占总分值的权重为 </w:t>
      </w: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lang w:val="en-US" w:eastAsia="zh-CN"/>
        </w:rPr>
        <w:t>0  %。具体评分细则如下：</w:t>
      </w:r>
    </w:p>
    <w:tbl>
      <w:tblPr>
        <w:tblStyle w:val="61"/>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497"/>
        <w:gridCol w:w="782"/>
      </w:tblGrid>
      <w:tr w14:paraId="2024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5CD47EF9">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394E1638">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497" w:type="dxa"/>
            <w:tcBorders>
              <w:top w:val="single" w:color="auto" w:sz="4" w:space="0"/>
              <w:left w:val="single" w:color="auto" w:sz="4" w:space="0"/>
              <w:bottom w:val="single" w:color="auto" w:sz="4" w:space="0"/>
              <w:right w:val="single" w:color="auto" w:sz="4" w:space="0"/>
            </w:tcBorders>
            <w:vAlign w:val="center"/>
          </w:tcPr>
          <w:p w14:paraId="428C752B">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782" w:type="dxa"/>
            <w:tcBorders>
              <w:top w:val="single" w:color="auto" w:sz="4" w:space="0"/>
              <w:left w:val="single" w:color="auto" w:sz="4" w:space="0"/>
              <w:bottom w:val="single" w:color="auto" w:sz="4" w:space="0"/>
              <w:right w:val="single" w:color="auto" w:sz="4" w:space="0"/>
            </w:tcBorders>
            <w:vAlign w:val="center"/>
          </w:tcPr>
          <w:p w14:paraId="3265A510">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58A5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restart"/>
            <w:tcBorders>
              <w:left w:val="single" w:color="auto" w:sz="4" w:space="0"/>
              <w:right w:val="single" w:color="auto" w:sz="4" w:space="0"/>
            </w:tcBorders>
            <w:vAlign w:val="center"/>
          </w:tcPr>
          <w:p w14:paraId="35C0147B">
            <w:pPr>
              <w:spacing w:line="400" w:lineRule="exact"/>
              <w:jc w:val="center"/>
              <w:rPr>
                <w:rFonts w:ascii="宋体" w:hAnsi="宋体" w:cs="宋体"/>
                <w:b/>
                <w:bCs/>
                <w:sz w:val="22"/>
                <w:szCs w:val="22"/>
              </w:rPr>
            </w:pPr>
            <w:r>
              <w:rPr>
                <w:rFonts w:hint="eastAsia" w:ascii="宋体" w:hAnsi="宋体" w:cs="宋体"/>
                <w:b/>
                <w:bCs/>
                <w:sz w:val="22"/>
                <w:szCs w:val="22"/>
              </w:rPr>
              <w:t>技术分</w:t>
            </w:r>
          </w:p>
          <w:p w14:paraId="58713E0C">
            <w:pPr>
              <w:spacing w:line="400" w:lineRule="exact"/>
              <w:jc w:val="center"/>
              <w:rPr>
                <w:rFonts w:ascii="宋体" w:hAnsi="宋体" w:cs="宋体"/>
                <w:sz w:val="24"/>
                <w:szCs w:val="24"/>
              </w:rPr>
            </w:pPr>
            <w:r>
              <w:rPr>
                <w:rFonts w:hint="eastAsia" w:ascii="宋体" w:hAnsi="宋体" w:cs="宋体"/>
                <w:b/>
                <w:bCs/>
                <w:sz w:val="22"/>
                <w:szCs w:val="22"/>
              </w:rPr>
              <w:t>（</w:t>
            </w:r>
            <w:r>
              <w:rPr>
                <w:rFonts w:ascii="宋体" w:hAnsi="宋体" w:cs="宋体"/>
                <w:b/>
                <w:bCs/>
                <w:sz w:val="22"/>
                <w:szCs w:val="22"/>
                <w:u w:val="single"/>
              </w:rPr>
              <w:t>80</w:t>
            </w:r>
            <w:r>
              <w:rPr>
                <w:rFonts w:hint="eastAsia" w:ascii="宋体" w:hAnsi="宋体" w:cs="宋体"/>
                <w:b/>
                <w:bCs/>
                <w:sz w:val="22"/>
                <w:szCs w:val="22"/>
                <w:u w:val="single"/>
              </w:rPr>
              <w:t xml:space="preserve"> </w:t>
            </w:r>
            <w:r>
              <w:rPr>
                <w:rFonts w:hint="eastAsia" w:ascii="宋体" w:hAnsi="宋体" w:cs="宋体"/>
                <w:b/>
                <w:bCs/>
                <w:sz w:val="22"/>
                <w:szCs w:val="22"/>
              </w:rPr>
              <w:t>分）</w:t>
            </w:r>
          </w:p>
        </w:tc>
        <w:tc>
          <w:tcPr>
            <w:tcW w:w="1074" w:type="dxa"/>
            <w:tcBorders>
              <w:left w:val="single" w:color="auto" w:sz="4" w:space="0"/>
              <w:bottom w:val="single" w:color="auto" w:sz="4" w:space="0"/>
              <w:right w:val="single" w:color="auto" w:sz="4" w:space="0"/>
            </w:tcBorders>
            <w:vAlign w:val="center"/>
          </w:tcPr>
          <w:p w14:paraId="46DD6A19">
            <w:pPr>
              <w:widowControl/>
              <w:jc w:val="center"/>
              <w:textAlignment w:val="center"/>
              <w:rPr>
                <w:rFonts w:ascii="宋体" w:hAnsi="宋体" w:cs="宋体"/>
                <w:b/>
                <w:bCs/>
              </w:rPr>
            </w:pPr>
            <w:r>
              <w:rPr>
                <w:rFonts w:hint="eastAsia" w:ascii="宋体" w:hAnsi="宋体" w:cs="宋体"/>
                <w:b/>
                <w:bCs/>
                <w:color w:val="000000"/>
                <w:kern w:val="0"/>
                <w:lang w:bidi="ar"/>
              </w:rPr>
              <w:t>技术方案</w:t>
            </w:r>
            <w:r>
              <w:rPr>
                <w:rFonts w:hint="eastAsia" w:ascii="宋体" w:hAnsi="宋体" w:cs="宋体"/>
                <w:b/>
                <w:bCs/>
                <w:kern w:val="0"/>
                <w:lang w:bidi="ar"/>
              </w:rPr>
              <w:t>（</w:t>
            </w:r>
            <w:r>
              <w:rPr>
                <w:rFonts w:hint="eastAsia" w:ascii="宋体" w:hAnsi="宋体" w:cs="宋体"/>
                <w:b/>
                <w:bCs/>
                <w:kern w:val="0"/>
                <w:lang w:val="en-US" w:eastAsia="zh-CN" w:bidi="ar"/>
              </w:rPr>
              <w:t>20</w:t>
            </w:r>
            <w:r>
              <w:rPr>
                <w:rFonts w:hint="eastAsia" w:ascii="宋体" w:hAnsi="宋体" w:cs="宋体"/>
                <w:b/>
                <w:bCs/>
                <w:kern w:val="0"/>
                <w:lang w:bidi="ar"/>
              </w:rPr>
              <w:t>分）</w:t>
            </w:r>
          </w:p>
        </w:tc>
        <w:tc>
          <w:tcPr>
            <w:tcW w:w="6497" w:type="dxa"/>
            <w:tcBorders>
              <w:top w:val="single" w:color="auto" w:sz="4" w:space="0"/>
              <w:left w:val="single" w:color="auto" w:sz="4" w:space="0"/>
              <w:bottom w:val="single" w:color="auto" w:sz="4" w:space="0"/>
              <w:right w:val="single" w:color="auto" w:sz="4" w:space="0"/>
            </w:tcBorders>
          </w:tcPr>
          <w:p w14:paraId="045265CA">
            <w:pPr>
              <w:widowControl/>
              <w:jc w:val="left"/>
              <w:textAlignment w:val="top"/>
            </w:pPr>
            <w:r>
              <w:rPr>
                <w:rFonts w:hint="eastAsia"/>
              </w:rPr>
              <w:t>根据对本次项目任务的理解和技术方案总体设计水平,投标方案与投标需求的吻合程度以及方案的优势情况进行科学性、完整性、合理性等评审。</w:t>
            </w:r>
          </w:p>
          <w:p w14:paraId="52E4BD88">
            <w:pPr>
              <w:widowControl/>
              <w:jc w:val="left"/>
              <w:textAlignment w:val="top"/>
            </w:pPr>
            <w:r>
              <w:rPr>
                <w:rFonts w:hint="eastAsia"/>
              </w:rPr>
              <w:t>一档（</w:t>
            </w:r>
            <w:r>
              <w:t>5</w:t>
            </w:r>
            <w:r>
              <w:rPr>
                <w:rFonts w:hint="eastAsia"/>
              </w:rPr>
              <w:t>分）：技术方案简单，基本满足项目建设要求；对需求把握不到位，科学性、完整性和合理性较差；</w:t>
            </w:r>
          </w:p>
          <w:p w14:paraId="418051B4">
            <w:pPr>
              <w:widowControl/>
              <w:jc w:val="left"/>
              <w:textAlignment w:val="top"/>
            </w:pPr>
            <w:r>
              <w:rPr>
                <w:rFonts w:hint="eastAsia"/>
              </w:rPr>
              <w:t>二档（</w:t>
            </w:r>
            <w:r>
              <w:t>1</w:t>
            </w:r>
            <w:r>
              <w:rPr>
                <w:rFonts w:hint="eastAsia"/>
                <w:lang w:val="en-US" w:eastAsia="zh-CN"/>
              </w:rPr>
              <w:t>6</w:t>
            </w:r>
            <w:r>
              <w:rPr>
                <w:rFonts w:hint="eastAsia"/>
              </w:rPr>
              <w:t>分）：技术方案较详细、可行，满足项目建设要求；对需求的把握基本到位，具有基本的科学性、完整性和合理性；</w:t>
            </w:r>
          </w:p>
          <w:p w14:paraId="32502D90">
            <w:pPr>
              <w:widowControl/>
              <w:jc w:val="left"/>
              <w:textAlignment w:val="top"/>
            </w:pPr>
            <w:r>
              <w:rPr>
                <w:rFonts w:hint="eastAsia"/>
              </w:rPr>
              <w:t>三档（</w:t>
            </w:r>
            <w:r>
              <w:rPr>
                <w:rFonts w:hint="eastAsia"/>
                <w:lang w:val="en-US" w:eastAsia="zh-CN"/>
              </w:rPr>
              <w:t>20</w:t>
            </w:r>
            <w:r>
              <w:rPr>
                <w:rFonts w:hint="eastAsia"/>
              </w:rPr>
              <w:t>分）：技术方案详细、先进，对项目建设要求描述清晰、到位，在科学性、完整性和合理性方面具有突出的优势。</w:t>
            </w:r>
          </w:p>
          <w:p w14:paraId="64F77BE9">
            <w:pPr>
              <w:widowControl/>
              <w:jc w:val="left"/>
              <w:textAlignment w:val="top"/>
              <w:rPr>
                <w:rFonts w:ascii="宋体" w:hAnsi="宋体" w:cs="宋体"/>
                <w:b/>
                <w:bCs/>
                <w:color w:val="000000"/>
                <w:kern w:val="0"/>
                <w:lang w:bidi="ar"/>
              </w:rPr>
            </w:pPr>
            <w:r>
              <w:rPr>
                <w:rFonts w:hint="eastAsia"/>
              </w:rPr>
              <w:t>本项最高得</w:t>
            </w:r>
            <w:r>
              <w:rPr>
                <w:rFonts w:hint="eastAsia"/>
                <w:lang w:val="en-US" w:eastAsia="zh-CN"/>
              </w:rPr>
              <w:t>20</w:t>
            </w:r>
            <w:r>
              <w:rPr>
                <w:rFonts w:hint="eastAsia"/>
              </w:rPr>
              <w:t>分，不提供不得分。</w:t>
            </w:r>
          </w:p>
        </w:tc>
        <w:tc>
          <w:tcPr>
            <w:tcW w:w="782" w:type="dxa"/>
            <w:tcBorders>
              <w:top w:val="single" w:color="auto" w:sz="4" w:space="0"/>
              <w:left w:val="single" w:color="auto" w:sz="4" w:space="0"/>
              <w:bottom w:val="single" w:color="auto" w:sz="4" w:space="0"/>
              <w:right w:val="single" w:color="auto" w:sz="4" w:space="0"/>
            </w:tcBorders>
            <w:vAlign w:val="center"/>
          </w:tcPr>
          <w:p w14:paraId="3AF5A3D7">
            <w:pPr>
              <w:widowControl/>
              <w:textAlignment w:val="center"/>
              <w:rPr>
                <w:rFonts w:ascii="宋体" w:hAnsi="宋体" w:cs="宋体"/>
                <w:b/>
                <w:bCs/>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20</w:t>
            </w:r>
            <w:r>
              <w:rPr>
                <w:rFonts w:hint="eastAsia" w:ascii="宋体" w:hAnsi="宋体" w:cs="宋体"/>
                <w:b/>
                <w:bCs/>
                <w:color w:val="000000"/>
                <w:kern w:val="0"/>
                <w:lang w:bidi="ar"/>
              </w:rPr>
              <w:t>分</w:t>
            </w:r>
          </w:p>
        </w:tc>
      </w:tr>
      <w:tr w14:paraId="2AE3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7EDDE7C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166286EF">
            <w:pPr>
              <w:widowControl/>
              <w:jc w:val="center"/>
              <w:textAlignment w:val="center"/>
              <w:rPr>
                <w:rFonts w:ascii="宋体" w:hAnsi="宋体" w:cs="宋体"/>
                <w:b/>
                <w:bCs/>
              </w:rPr>
            </w:pPr>
            <w:r>
              <w:rPr>
                <w:rFonts w:hint="eastAsia" w:ascii="宋体" w:hAnsi="宋体" w:cs="宋体"/>
                <w:b/>
                <w:bCs/>
                <w:color w:val="000000"/>
                <w:kern w:val="0"/>
                <w:lang w:bidi="ar"/>
              </w:rPr>
              <w:t>实施方案（</w:t>
            </w:r>
            <w:r>
              <w:rPr>
                <w:rFonts w:hint="eastAsia" w:ascii="宋体" w:hAnsi="宋体" w:cs="宋体"/>
                <w:b/>
                <w:bCs/>
                <w:color w:val="000000"/>
                <w:kern w:val="0"/>
                <w:lang w:val="en-US" w:eastAsia="zh-CN" w:bidi="ar"/>
              </w:rPr>
              <w:t>21</w:t>
            </w:r>
            <w:r>
              <w:rPr>
                <w:rFonts w:hint="eastAsia" w:ascii="宋体" w:hAnsi="宋体" w:cs="宋体"/>
                <w:b/>
                <w:bCs/>
                <w:color w:val="000000"/>
                <w:kern w:val="0"/>
                <w:lang w:bidi="ar"/>
              </w:rPr>
              <w:t>分）</w:t>
            </w:r>
          </w:p>
        </w:tc>
        <w:tc>
          <w:tcPr>
            <w:tcW w:w="6497" w:type="dxa"/>
            <w:tcBorders>
              <w:top w:val="single" w:color="auto" w:sz="4" w:space="0"/>
              <w:left w:val="single" w:color="auto" w:sz="4" w:space="0"/>
              <w:bottom w:val="single" w:color="auto" w:sz="4" w:space="0"/>
              <w:right w:val="single" w:color="auto" w:sz="4" w:space="0"/>
            </w:tcBorders>
          </w:tcPr>
          <w:p w14:paraId="3C336CD9">
            <w:pPr>
              <w:widowControl/>
              <w:jc w:val="left"/>
              <w:textAlignment w:val="top"/>
            </w:pPr>
            <w:r>
              <w:rPr>
                <w:rFonts w:hint="eastAsia"/>
              </w:rPr>
              <w:t>投标供应商提供与本项目主要建设内容有关的实施方案，根据方案的完整性、总体架构的合理性、技术路线的先进性以及方案的成熟度等进行评审。</w:t>
            </w:r>
          </w:p>
          <w:p w14:paraId="771561F6">
            <w:pPr>
              <w:widowControl/>
              <w:jc w:val="left"/>
              <w:textAlignment w:val="top"/>
            </w:pPr>
            <w:r>
              <w:rPr>
                <w:rFonts w:hint="eastAsia"/>
              </w:rPr>
              <w:t>一档（5分）：方案简单、基本满足项目实施要求；</w:t>
            </w:r>
          </w:p>
          <w:p w14:paraId="1A670C1C">
            <w:pPr>
              <w:widowControl/>
              <w:jc w:val="left"/>
              <w:textAlignment w:val="top"/>
            </w:pPr>
            <w:r>
              <w:rPr>
                <w:rFonts w:hint="eastAsia"/>
              </w:rPr>
              <w:t>二档（1</w:t>
            </w:r>
            <w:r>
              <w:rPr>
                <w:rFonts w:hint="eastAsia"/>
                <w:lang w:val="en-US" w:eastAsia="zh-CN"/>
              </w:rPr>
              <w:t>2</w:t>
            </w:r>
            <w:r>
              <w:rPr>
                <w:rFonts w:hint="eastAsia"/>
              </w:rPr>
              <w:t>分）：方案较详细、实施人员配备合理，进度有保障，能满足项目实施需要；</w:t>
            </w:r>
          </w:p>
          <w:p w14:paraId="157202C2">
            <w:pPr>
              <w:widowControl/>
              <w:jc w:val="left"/>
              <w:textAlignment w:val="top"/>
            </w:pPr>
            <w:r>
              <w:rPr>
                <w:rFonts w:hint="eastAsia"/>
              </w:rPr>
              <w:t>三档（</w:t>
            </w:r>
            <w:r>
              <w:rPr>
                <w:rFonts w:hint="eastAsia"/>
                <w:lang w:val="en-US" w:eastAsia="zh-CN"/>
              </w:rPr>
              <w:t>21</w:t>
            </w:r>
            <w:r>
              <w:rPr>
                <w:rFonts w:hint="eastAsia"/>
              </w:rPr>
              <w:t>分）：方案详细，组织机构健全，实施人员配备完备，实施流程合理，方案考虑周全，进度有保障。</w:t>
            </w:r>
          </w:p>
          <w:p w14:paraId="0567EC43">
            <w:pPr>
              <w:widowControl/>
              <w:jc w:val="left"/>
              <w:textAlignment w:val="top"/>
              <w:rPr>
                <w:b/>
                <w:bCs/>
                <w:sz w:val="22"/>
                <w:szCs w:val="28"/>
              </w:rPr>
            </w:pPr>
            <w:r>
              <w:rPr>
                <w:rFonts w:hint="eastAsia"/>
              </w:rPr>
              <w:t>注：以投标文件中提供的服务方案为评审依据。</w:t>
            </w:r>
          </w:p>
        </w:tc>
        <w:tc>
          <w:tcPr>
            <w:tcW w:w="782" w:type="dxa"/>
            <w:tcBorders>
              <w:top w:val="single" w:color="auto" w:sz="4" w:space="0"/>
              <w:left w:val="single" w:color="auto" w:sz="4" w:space="0"/>
              <w:bottom w:val="single" w:color="auto" w:sz="4" w:space="0"/>
              <w:right w:val="single" w:color="auto" w:sz="4" w:space="0"/>
            </w:tcBorders>
            <w:vAlign w:val="center"/>
          </w:tcPr>
          <w:p w14:paraId="6DE653E0">
            <w:pPr>
              <w:widowControl/>
              <w:textAlignment w:val="center"/>
              <w:rPr>
                <w:rFonts w:ascii="宋体" w:hAnsi="宋体" w:cs="宋体"/>
                <w:b/>
                <w:bCs/>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21</w:t>
            </w:r>
            <w:r>
              <w:rPr>
                <w:rFonts w:hint="eastAsia" w:ascii="宋体" w:hAnsi="宋体" w:cs="宋体"/>
                <w:b/>
                <w:bCs/>
                <w:color w:val="000000"/>
                <w:kern w:val="0"/>
                <w:lang w:bidi="ar"/>
              </w:rPr>
              <w:t>分</w:t>
            </w:r>
          </w:p>
        </w:tc>
      </w:tr>
      <w:tr w14:paraId="70BA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1C61F6C">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tcPr>
          <w:p w14:paraId="282645E7">
            <w:pPr>
              <w:pStyle w:val="398"/>
              <w:jc w:val="center"/>
              <w:rPr>
                <w:rFonts w:ascii="Times New Roman" w:cs="Times New Roman"/>
                <w:color w:val="auto"/>
                <w:kern w:val="2"/>
                <w:sz w:val="21"/>
                <w:szCs w:val="21"/>
              </w:rPr>
            </w:pPr>
          </w:p>
          <w:p w14:paraId="63B903FF">
            <w:pPr>
              <w:pStyle w:val="398"/>
              <w:jc w:val="center"/>
              <w:rPr>
                <w:rFonts w:ascii="Times New Roman" w:cs="Times New Roman"/>
                <w:color w:val="auto"/>
                <w:kern w:val="2"/>
                <w:sz w:val="21"/>
                <w:szCs w:val="21"/>
              </w:rPr>
            </w:pPr>
            <w:r>
              <w:rPr>
                <w:rFonts w:hint="eastAsia" w:hAnsi="宋体"/>
                <w:b/>
                <w:bCs/>
                <w:sz w:val="21"/>
                <w:szCs w:val="21"/>
                <w:lang w:bidi="ar"/>
              </w:rPr>
              <w:t>质量保障(10分)</w:t>
            </w:r>
          </w:p>
        </w:tc>
        <w:tc>
          <w:tcPr>
            <w:tcW w:w="6497" w:type="dxa"/>
            <w:tcBorders>
              <w:top w:val="single" w:color="auto" w:sz="4" w:space="0"/>
              <w:left w:val="single" w:color="auto" w:sz="4" w:space="0"/>
              <w:bottom w:val="single" w:color="auto" w:sz="4" w:space="0"/>
              <w:right w:val="single" w:color="auto" w:sz="4" w:space="0"/>
            </w:tcBorders>
          </w:tcPr>
          <w:p w14:paraId="3BD50058">
            <w:pPr>
              <w:pStyle w:val="398"/>
              <w:rPr>
                <w:rFonts w:ascii="Times New Roman" w:cs="Times New Roman"/>
                <w:color w:val="auto"/>
                <w:kern w:val="2"/>
                <w:sz w:val="21"/>
                <w:szCs w:val="21"/>
              </w:rPr>
            </w:pPr>
            <w:r>
              <w:rPr>
                <w:rFonts w:hint="eastAsia" w:ascii="Times New Roman" w:cs="Times New Roman"/>
                <w:color w:val="auto"/>
                <w:kern w:val="2"/>
                <w:sz w:val="21"/>
                <w:szCs w:val="21"/>
              </w:rPr>
              <w:t>根据供应商针对本项目制定的质量保证措施的内容。质量保证措施应包括:</w:t>
            </w:r>
          </w:p>
          <w:p w14:paraId="7C59F228">
            <w:pPr>
              <w:pStyle w:val="398"/>
              <w:rPr>
                <w:rFonts w:ascii="Times New Roman" w:cs="Times New Roman"/>
                <w:color w:val="auto"/>
                <w:kern w:val="2"/>
                <w:sz w:val="21"/>
                <w:szCs w:val="21"/>
              </w:rPr>
            </w:pPr>
            <w:r>
              <w:rPr>
                <w:rFonts w:hint="eastAsia" w:ascii="Times New Roman" w:cs="Times New Roman"/>
                <w:color w:val="auto"/>
                <w:kern w:val="2"/>
                <w:sz w:val="21"/>
                <w:szCs w:val="21"/>
              </w:rPr>
              <w:t>1、组织保证措施，1-3分</w:t>
            </w:r>
          </w:p>
          <w:p w14:paraId="4466F5D4">
            <w:pPr>
              <w:pStyle w:val="398"/>
              <w:rPr>
                <w:rFonts w:ascii="Times New Roman" w:cs="Times New Roman"/>
                <w:color w:val="auto"/>
                <w:kern w:val="2"/>
                <w:sz w:val="21"/>
                <w:szCs w:val="21"/>
              </w:rPr>
            </w:pPr>
            <w:r>
              <w:rPr>
                <w:rFonts w:hint="eastAsia" w:ascii="Times New Roman" w:cs="Times New Roman"/>
                <w:color w:val="auto"/>
                <w:kern w:val="2"/>
                <w:sz w:val="21"/>
                <w:szCs w:val="21"/>
              </w:rPr>
              <w:t>2、培训辅导质量保证措施，</w:t>
            </w:r>
            <w:r>
              <w:rPr>
                <w:rFonts w:ascii="Times New Roman" w:cs="Times New Roman"/>
                <w:color w:val="auto"/>
                <w:kern w:val="2"/>
                <w:sz w:val="21"/>
                <w:szCs w:val="21"/>
              </w:rPr>
              <w:t>1-3</w:t>
            </w:r>
            <w:r>
              <w:rPr>
                <w:rFonts w:hint="eastAsia" w:ascii="Times New Roman" w:cs="Times New Roman"/>
                <w:color w:val="auto"/>
                <w:kern w:val="2"/>
                <w:sz w:val="21"/>
                <w:szCs w:val="21"/>
              </w:rPr>
              <w:t>分</w:t>
            </w:r>
          </w:p>
          <w:p w14:paraId="29F9A592">
            <w:pPr>
              <w:pStyle w:val="398"/>
              <w:rPr>
                <w:rFonts w:ascii="Times New Roman" w:cs="Times New Roman"/>
                <w:color w:val="auto"/>
                <w:kern w:val="2"/>
                <w:sz w:val="21"/>
                <w:szCs w:val="21"/>
              </w:rPr>
            </w:pPr>
            <w:r>
              <w:rPr>
                <w:rFonts w:hint="eastAsia" w:ascii="Times New Roman" w:cs="Times New Roman"/>
                <w:color w:val="auto"/>
                <w:kern w:val="2"/>
                <w:sz w:val="21"/>
                <w:szCs w:val="21"/>
              </w:rPr>
              <w:t>3、培训效果保证措施，1-4分</w:t>
            </w:r>
          </w:p>
          <w:p w14:paraId="280CADC5">
            <w:pPr>
              <w:pStyle w:val="398"/>
              <w:rPr>
                <w:rFonts w:ascii="Times New Roman" w:cs="Times New Roman"/>
                <w:color w:val="auto"/>
                <w:kern w:val="2"/>
                <w:sz w:val="21"/>
                <w:szCs w:val="21"/>
              </w:rPr>
            </w:pPr>
            <w:r>
              <w:rPr>
                <w:rFonts w:hint="eastAsia" w:ascii="Times New Roman" w:cs="Times New Roman"/>
                <w:color w:val="auto"/>
                <w:kern w:val="2"/>
                <w:sz w:val="21"/>
                <w:szCs w:val="21"/>
              </w:rPr>
              <w:t>未提供完整方案说明或内容明显不合理或内容缺失的不得分</w:t>
            </w:r>
          </w:p>
        </w:tc>
        <w:tc>
          <w:tcPr>
            <w:tcW w:w="782" w:type="dxa"/>
            <w:tcBorders>
              <w:top w:val="single" w:color="auto" w:sz="4" w:space="0"/>
              <w:left w:val="single" w:color="auto" w:sz="4" w:space="0"/>
              <w:bottom w:val="single" w:color="auto" w:sz="4" w:space="0"/>
              <w:right w:val="single" w:color="auto" w:sz="4" w:space="0"/>
            </w:tcBorders>
            <w:vAlign w:val="center"/>
          </w:tcPr>
          <w:p w14:paraId="3B439204">
            <w:pPr>
              <w:widowControl/>
              <w:textAlignment w:val="center"/>
              <w:rPr>
                <w:rFonts w:ascii="宋体" w:hAnsi="宋体" w:cs="宋体"/>
                <w:b/>
                <w:bCs/>
                <w:color w:val="000000"/>
                <w:kern w:val="0"/>
                <w:lang w:bidi="ar"/>
              </w:rPr>
            </w:pPr>
            <w:r>
              <w:rPr>
                <w:rFonts w:hint="eastAsia" w:ascii="宋体" w:hAnsi="宋体" w:cs="宋体"/>
                <w:b/>
                <w:bCs/>
                <w:color w:val="000000"/>
                <w:kern w:val="0"/>
                <w:lang w:bidi="ar"/>
              </w:rPr>
              <w:t>0-10分</w:t>
            </w:r>
          </w:p>
        </w:tc>
      </w:tr>
      <w:tr w14:paraId="65E6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C98DF14">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611FD493">
            <w:pPr>
              <w:widowControl/>
              <w:jc w:val="center"/>
              <w:textAlignment w:val="center"/>
              <w:rPr>
                <w:rFonts w:ascii="宋体" w:hAnsi="宋体" w:cs="宋体"/>
                <w:b/>
                <w:bCs/>
                <w:color w:val="000000"/>
                <w:sz w:val="24"/>
                <w:szCs w:val="24"/>
              </w:rPr>
            </w:pPr>
            <w:r>
              <w:rPr>
                <w:rFonts w:hint="eastAsia" w:ascii="宋体" w:hAnsi="宋体" w:cs="宋体"/>
                <w:b/>
                <w:bCs/>
                <w:color w:val="000000"/>
                <w:kern w:val="0"/>
                <w:lang w:bidi="ar"/>
              </w:rPr>
              <w:t>团队成员（</w:t>
            </w:r>
            <w:r>
              <w:rPr>
                <w:rFonts w:ascii="宋体" w:hAnsi="宋体" w:cs="宋体"/>
                <w:b/>
                <w:bCs/>
                <w:color w:val="000000"/>
                <w:kern w:val="0"/>
                <w:lang w:bidi="ar"/>
              </w:rPr>
              <w:t>1</w:t>
            </w:r>
            <w:r>
              <w:rPr>
                <w:rFonts w:hint="eastAsia" w:ascii="宋体" w:hAnsi="宋体" w:cs="宋体"/>
                <w:b/>
                <w:bCs/>
                <w:color w:val="000000"/>
                <w:kern w:val="0"/>
                <w:lang w:val="en-US" w:eastAsia="zh-CN" w:bidi="ar"/>
              </w:rPr>
              <w:t>0</w:t>
            </w:r>
            <w:r>
              <w:rPr>
                <w:rFonts w:hint="eastAsia" w:ascii="宋体" w:hAnsi="宋体" w:cs="宋体"/>
                <w:b/>
                <w:bCs/>
                <w:color w:val="000000"/>
                <w:kern w:val="0"/>
                <w:lang w:bidi="ar"/>
              </w:rPr>
              <w:t>分）</w:t>
            </w:r>
          </w:p>
        </w:tc>
        <w:tc>
          <w:tcPr>
            <w:tcW w:w="6497" w:type="dxa"/>
            <w:tcBorders>
              <w:top w:val="single" w:color="auto" w:sz="4" w:space="0"/>
              <w:left w:val="single" w:color="auto" w:sz="4" w:space="0"/>
              <w:bottom w:val="single" w:color="auto" w:sz="4" w:space="0"/>
              <w:right w:val="single" w:color="auto" w:sz="4" w:space="0"/>
            </w:tcBorders>
          </w:tcPr>
          <w:p w14:paraId="6E1AE045">
            <w:pPr>
              <w:pStyle w:val="398"/>
              <w:rPr>
                <w:rFonts w:hAnsi="宋体"/>
                <w:b/>
                <w:bCs/>
                <w:lang w:bidi="ar"/>
              </w:rPr>
            </w:pPr>
            <w:r>
              <w:rPr>
                <w:rFonts w:hint="eastAsia" w:ascii="Times New Roman" w:cs="Times New Roman"/>
                <w:color w:val="auto"/>
                <w:kern w:val="2"/>
                <w:sz w:val="21"/>
                <w:szCs w:val="21"/>
              </w:rPr>
              <w:t>投标人针对本项目拟派项目经理</w:t>
            </w:r>
            <w:r>
              <w:rPr>
                <w:rFonts w:hint="eastAsia" w:ascii="Times New Roman" w:cs="Times New Roman"/>
                <w:color w:val="auto"/>
                <w:kern w:val="2"/>
                <w:sz w:val="21"/>
                <w:szCs w:val="21"/>
                <w:lang w:eastAsia="zh-CN"/>
              </w:rPr>
              <w:t>，</w:t>
            </w:r>
            <w:r>
              <w:rPr>
                <w:rFonts w:hint="eastAsia" w:ascii="Times New Roman" w:cs="Times New Roman"/>
                <w:color w:val="auto"/>
                <w:kern w:val="2"/>
                <w:sz w:val="21"/>
                <w:szCs w:val="21"/>
                <w:lang w:val="en-US" w:eastAsia="zh-CN"/>
              </w:rPr>
              <w:t>指导过大学生创新大赛（或互联网+大赛）获国家级奖项金奖10分，银奖8分，铜奖5分，获省级奖项金奖3分，不累加，最高得10分。</w:t>
            </w:r>
            <w:r>
              <w:rPr>
                <w:rFonts w:hint="eastAsia" w:ascii="Times New Roman" w:cs="Times New Roman"/>
                <w:color w:val="auto"/>
                <w:kern w:val="2"/>
                <w:sz w:val="21"/>
                <w:szCs w:val="21"/>
              </w:rPr>
              <w:t>未提供完整证明材料的不得分。</w:t>
            </w:r>
          </w:p>
        </w:tc>
        <w:tc>
          <w:tcPr>
            <w:tcW w:w="782" w:type="dxa"/>
            <w:tcBorders>
              <w:top w:val="single" w:color="auto" w:sz="4" w:space="0"/>
              <w:left w:val="single" w:color="auto" w:sz="4" w:space="0"/>
              <w:bottom w:val="single" w:color="auto" w:sz="4" w:space="0"/>
              <w:right w:val="single" w:color="auto" w:sz="4" w:space="0"/>
            </w:tcBorders>
            <w:vAlign w:val="center"/>
          </w:tcPr>
          <w:p w14:paraId="7E105644">
            <w:pPr>
              <w:widowControl/>
              <w:textAlignment w:val="center"/>
              <w:rPr>
                <w:rFonts w:ascii="宋体" w:hAnsi="宋体" w:cs="宋体"/>
                <w:b/>
                <w:bCs/>
                <w:color w:val="000000"/>
                <w:sz w:val="24"/>
                <w:szCs w:val="24"/>
              </w:rPr>
            </w:pPr>
            <w:r>
              <w:rPr>
                <w:rFonts w:hint="eastAsia" w:ascii="宋体" w:hAnsi="宋体" w:cs="宋体"/>
                <w:b/>
                <w:bCs/>
                <w:color w:val="000000"/>
                <w:kern w:val="0"/>
                <w:lang w:bidi="ar"/>
              </w:rPr>
              <w:t>0-</w:t>
            </w:r>
            <w:r>
              <w:rPr>
                <w:rFonts w:ascii="宋体" w:hAnsi="宋体" w:cs="宋体"/>
                <w:b/>
                <w:bCs/>
                <w:color w:val="000000"/>
                <w:kern w:val="0"/>
                <w:lang w:bidi="ar"/>
              </w:rPr>
              <w:t>1</w:t>
            </w:r>
            <w:r>
              <w:rPr>
                <w:rFonts w:hint="eastAsia" w:ascii="宋体" w:hAnsi="宋体" w:cs="宋体"/>
                <w:b/>
                <w:bCs/>
                <w:color w:val="000000"/>
                <w:kern w:val="0"/>
                <w:lang w:val="en-US" w:eastAsia="zh-CN" w:bidi="ar"/>
              </w:rPr>
              <w:t>0</w:t>
            </w:r>
            <w:r>
              <w:rPr>
                <w:rFonts w:hint="eastAsia" w:ascii="宋体" w:hAnsi="宋体" w:cs="宋体"/>
                <w:b/>
                <w:bCs/>
                <w:color w:val="000000"/>
                <w:kern w:val="0"/>
                <w:lang w:bidi="ar"/>
              </w:rPr>
              <w:t>分</w:t>
            </w:r>
          </w:p>
        </w:tc>
      </w:tr>
      <w:tr w14:paraId="5115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13C648C9">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134392C7">
            <w:pPr>
              <w:widowControl/>
              <w:jc w:val="center"/>
              <w:textAlignment w:val="center"/>
              <w:rPr>
                <w:rFonts w:ascii="宋体" w:hAnsi="宋体" w:cs="宋体"/>
                <w:b/>
                <w:bCs/>
                <w:color w:val="000000"/>
                <w:sz w:val="24"/>
                <w:szCs w:val="24"/>
              </w:rPr>
            </w:pPr>
            <w:r>
              <w:rPr>
                <w:rFonts w:hint="eastAsia" w:ascii="宋体" w:hAnsi="宋体" w:cs="宋体"/>
                <w:b/>
                <w:bCs/>
                <w:color w:val="000000"/>
                <w:kern w:val="0"/>
                <w:lang w:bidi="ar"/>
              </w:rPr>
              <w:t>企业实力（10分）</w:t>
            </w:r>
          </w:p>
        </w:tc>
        <w:tc>
          <w:tcPr>
            <w:tcW w:w="6497" w:type="dxa"/>
            <w:tcBorders>
              <w:top w:val="single" w:color="auto" w:sz="4" w:space="0"/>
              <w:left w:val="single" w:color="auto" w:sz="4" w:space="0"/>
              <w:bottom w:val="single" w:color="auto" w:sz="4" w:space="0"/>
              <w:right w:val="single" w:color="auto" w:sz="4" w:space="0"/>
            </w:tcBorders>
          </w:tcPr>
          <w:p w14:paraId="20F0C753">
            <w:pPr>
              <w:widowControl/>
              <w:jc w:val="left"/>
              <w:textAlignment w:val="top"/>
            </w:pPr>
            <w:r>
              <w:rPr>
                <w:rFonts w:hint="eastAsia"/>
              </w:rPr>
              <w:t>投标供应商自2020年1月1日至今合作的高校数量。</w:t>
            </w:r>
          </w:p>
          <w:p w14:paraId="5D756FFB">
            <w:pPr>
              <w:widowControl/>
              <w:jc w:val="left"/>
              <w:textAlignment w:val="top"/>
            </w:pPr>
            <w:r>
              <w:rPr>
                <w:rFonts w:hint="eastAsia"/>
              </w:rPr>
              <w:t>一档 供应商提供4-5所的得3分</w:t>
            </w:r>
          </w:p>
          <w:p w14:paraId="21F825F5">
            <w:pPr>
              <w:widowControl/>
              <w:jc w:val="left"/>
              <w:textAlignment w:val="top"/>
            </w:pPr>
            <w:r>
              <w:rPr>
                <w:rFonts w:hint="eastAsia"/>
              </w:rPr>
              <w:t>二档 供应商提供5-7所的得5分</w:t>
            </w:r>
          </w:p>
          <w:p w14:paraId="26A7B660">
            <w:pPr>
              <w:widowControl/>
              <w:jc w:val="left"/>
              <w:textAlignment w:val="top"/>
            </w:pPr>
            <w:r>
              <w:rPr>
                <w:rFonts w:hint="eastAsia"/>
              </w:rPr>
              <w:t>三档 供应商提供7所及以上的得10分。</w:t>
            </w:r>
          </w:p>
          <w:p w14:paraId="5B708FF1">
            <w:pPr>
              <w:widowControl/>
              <w:jc w:val="left"/>
              <w:textAlignment w:val="top"/>
              <w:rPr>
                <w:rFonts w:ascii="宋体" w:hAnsi="宋体" w:cs="宋体"/>
                <w:b/>
                <w:bCs/>
                <w:color w:val="000000"/>
                <w:sz w:val="28"/>
                <w:szCs w:val="28"/>
              </w:rPr>
            </w:pPr>
            <w:r>
              <w:rPr>
                <w:rFonts w:hint="eastAsia"/>
              </w:rPr>
              <w:t>低于4所的不得分。以上所有数据要求提供合同佐证材料</w:t>
            </w:r>
          </w:p>
        </w:tc>
        <w:tc>
          <w:tcPr>
            <w:tcW w:w="782" w:type="dxa"/>
            <w:tcBorders>
              <w:top w:val="single" w:color="auto" w:sz="4" w:space="0"/>
              <w:left w:val="single" w:color="auto" w:sz="4" w:space="0"/>
              <w:bottom w:val="single" w:color="auto" w:sz="4" w:space="0"/>
              <w:right w:val="single" w:color="auto" w:sz="4" w:space="0"/>
            </w:tcBorders>
            <w:vAlign w:val="center"/>
          </w:tcPr>
          <w:p w14:paraId="7605F0CD">
            <w:pPr>
              <w:widowControl/>
              <w:textAlignment w:val="center"/>
              <w:rPr>
                <w:rFonts w:ascii="宋体" w:hAnsi="宋体" w:cs="宋体"/>
                <w:b/>
                <w:bCs/>
                <w:color w:val="000000"/>
                <w:sz w:val="24"/>
                <w:szCs w:val="24"/>
              </w:rPr>
            </w:pPr>
            <w:r>
              <w:rPr>
                <w:rFonts w:hint="eastAsia" w:ascii="宋体" w:hAnsi="宋体" w:cs="宋体"/>
                <w:b/>
                <w:bCs/>
                <w:color w:val="000000"/>
                <w:kern w:val="0"/>
                <w:lang w:bidi="ar"/>
              </w:rPr>
              <w:t>0-10分</w:t>
            </w:r>
          </w:p>
        </w:tc>
      </w:tr>
      <w:tr w14:paraId="455E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24595425">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vAlign w:val="center"/>
          </w:tcPr>
          <w:p w14:paraId="4705CC56">
            <w:pPr>
              <w:widowControl/>
              <w:jc w:val="center"/>
              <w:textAlignment w:val="center"/>
              <w:rPr>
                <w:rFonts w:ascii="宋体" w:hAnsi="宋体" w:cs="宋体"/>
                <w:b/>
                <w:bCs/>
                <w:color w:val="000000"/>
                <w:sz w:val="24"/>
                <w:szCs w:val="24"/>
              </w:rPr>
            </w:pPr>
            <w:r>
              <w:rPr>
                <w:rFonts w:hint="eastAsia" w:ascii="宋体" w:hAnsi="宋体" w:cs="宋体"/>
                <w:b/>
                <w:bCs/>
                <w:color w:val="000000"/>
                <w:kern w:val="0"/>
                <w:lang w:bidi="ar"/>
              </w:rPr>
              <w:t>成功案例（</w:t>
            </w:r>
            <w:r>
              <w:rPr>
                <w:rFonts w:hint="eastAsia" w:ascii="宋体" w:hAnsi="宋体" w:cs="宋体"/>
                <w:b/>
                <w:bCs/>
                <w:color w:val="000000"/>
                <w:kern w:val="0"/>
                <w:lang w:val="en-US" w:eastAsia="zh-CN" w:bidi="ar"/>
              </w:rPr>
              <w:t>9</w:t>
            </w:r>
            <w:r>
              <w:rPr>
                <w:rFonts w:hint="eastAsia" w:ascii="宋体" w:hAnsi="宋体" w:cs="宋体"/>
                <w:b/>
                <w:bCs/>
                <w:color w:val="000000"/>
                <w:kern w:val="0"/>
                <w:lang w:bidi="ar"/>
              </w:rPr>
              <w:t>分）</w:t>
            </w:r>
          </w:p>
        </w:tc>
        <w:tc>
          <w:tcPr>
            <w:tcW w:w="6497" w:type="dxa"/>
            <w:tcBorders>
              <w:top w:val="single" w:color="auto" w:sz="4" w:space="0"/>
              <w:left w:val="single" w:color="auto" w:sz="4" w:space="0"/>
              <w:bottom w:val="single" w:color="auto" w:sz="4" w:space="0"/>
              <w:right w:val="single" w:color="auto" w:sz="4" w:space="0"/>
            </w:tcBorders>
          </w:tcPr>
          <w:p w14:paraId="508E53B8">
            <w:pPr>
              <w:pStyle w:val="398"/>
              <w:numPr>
                <w:ilvl w:val="0"/>
                <w:numId w:val="9"/>
              </w:numPr>
              <w:rPr>
                <w:rFonts w:ascii="Times New Roman" w:cs="Times New Roman"/>
                <w:color w:val="auto"/>
                <w:kern w:val="2"/>
                <w:sz w:val="21"/>
                <w:szCs w:val="21"/>
              </w:rPr>
            </w:pPr>
            <w:r>
              <w:rPr>
                <w:rFonts w:hint="eastAsia" w:ascii="Times New Roman" w:cs="Times New Roman"/>
                <w:color w:val="auto"/>
                <w:kern w:val="2"/>
                <w:sz w:val="21"/>
                <w:szCs w:val="21"/>
              </w:rPr>
              <w:t>投标供应商提供自2020年1月1日以来与高校签订创新大赛相关辅导或培训类服务业绩。每提供1份业绩得</w:t>
            </w:r>
            <w:r>
              <w:rPr>
                <w:rFonts w:hint="eastAsia" w:ascii="Times New Roman" w:cs="Times New Roman"/>
                <w:color w:val="auto"/>
                <w:kern w:val="2"/>
                <w:sz w:val="21"/>
                <w:szCs w:val="21"/>
                <w:lang w:val="en-US" w:eastAsia="zh-CN"/>
              </w:rPr>
              <w:t>3</w:t>
            </w:r>
            <w:r>
              <w:rPr>
                <w:rFonts w:hint="eastAsia" w:ascii="Times New Roman" w:cs="Times New Roman"/>
                <w:color w:val="auto"/>
                <w:kern w:val="2"/>
                <w:sz w:val="21"/>
                <w:szCs w:val="21"/>
              </w:rPr>
              <w:t>分，最多得</w:t>
            </w:r>
            <w:r>
              <w:rPr>
                <w:rFonts w:hint="eastAsia" w:ascii="Times New Roman" w:cs="Times New Roman"/>
                <w:color w:val="auto"/>
                <w:kern w:val="2"/>
                <w:sz w:val="21"/>
                <w:szCs w:val="21"/>
                <w:lang w:val="en-US" w:eastAsia="zh-CN"/>
              </w:rPr>
              <w:t>3</w:t>
            </w:r>
            <w:r>
              <w:rPr>
                <w:rFonts w:hint="eastAsia" w:ascii="Times New Roman" w:cs="Times New Roman"/>
                <w:color w:val="auto"/>
                <w:kern w:val="2"/>
                <w:sz w:val="21"/>
                <w:szCs w:val="21"/>
              </w:rPr>
              <w:t>分。提供相关业绩合同复印件、未提供完整证明材料的不得分。</w:t>
            </w:r>
          </w:p>
          <w:p w14:paraId="2AA815B4">
            <w:pPr>
              <w:pStyle w:val="398"/>
              <w:numPr>
                <w:ilvl w:val="0"/>
                <w:numId w:val="9"/>
              </w:numPr>
              <w:rPr>
                <w:rFonts w:ascii="Times New Roman" w:cs="Times New Roman"/>
                <w:color w:val="auto"/>
                <w:kern w:val="2"/>
                <w:sz w:val="21"/>
                <w:szCs w:val="21"/>
              </w:rPr>
            </w:pPr>
            <w:r>
              <w:rPr>
                <w:rFonts w:hint="eastAsia" w:ascii="Times New Roman" w:cs="Times New Roman"/>
                <w:color w:val="auto"/>
                <w:kern w:val="2"/>
                <w:sz w:val="21"/>
                <w:szCs w:val="21"/>
              </w:rPr>
              <w:t>投标供应商提供创新大赛相关辅导或培训类服务获得国赛奖项项目，提供一个得</w:t>
            </w:r>
            <w:r>
              <w:rPr>
                <w:rFonts w:hint="eastAsia" w:ascii="Times New Roman" w:cs="Times New Roman"/>
                <w:color w:val="auto"/>
                <w:kern w:val="2"/>
                <w:sz w:val="21"/>
                <w:szCs w:val="21"/>
                <w:lang w:val="en-US" w:eastAsia="zh-CN"/>
              </w:rPr>
              <w:t>3</w:t>
            </w:r>
            <w:r>
              <w:rPr>
                <w:rFonts w:hint="eastAsia" w:ascii="Times New Roman" w:cs="Times New Roman"/>
                <w:color w:val="auto"/>
                <w:kern w:val="2"/>
                <w:sz w:val="21"/>
                <w:szCs w:val="21"/>
              </w:rPr>
              <w:t>分。最高得</w:t>
            </w:r>
            <w:r>
              <w:rPr>
                <w:rFonts w:hint="eastAsia" w:ascii="Times New Roman" w:cs="Times New Roman"/>
                <w:color w:val="auto"/>
                <w:kern w:val="2"/>
                <w:sz w:val="21"/>
                <w:szCs w:val="21"/>
                <w:lang w:val="en-US" w:eastAsia="zh-CN"/>
              </w:rPr>
              <w:t>6</w:t>
            </w:r>
            <w:r>
              <w:rPr>
                <w:rFonts w:hint="eastAsia" w:ascii="Times New Roman" w:cs="Times New Roman"/>
                <w:color w:val="auto"/>
                <w:kern w:val="2"/>
                <w:sz w:val="21"/>
                <w:szCs w:val="21"/>
              </w:rPr>
              <w:t>分。</w:t>
            </w:r>
          </w:p>
          <w:p w14:paraId="7F733A59">
            <w:pPr>
              <w:widowControl/>
              <w:ind w:firstLine="420" w:firstLineChars="200"/>
              <w:jc w:val="left"/>
              <w:textAlignment w:val="top"/>
              <w:rPr>
                <w:rFonts w:ascii="宋体" w:hAnsi="宋体" w:cs="宋体"/>
                <w:b/>
                <w:bCs/>
                <w:color w:val="000000"/>
                <w:sz w:val="28"/>
                <w:szCs w:val="28"/>
              </w:rPr>
            </w:pPr>
            <w:r>
              <w:rPr>
                <w:rFonts w:hint="eastAsia"/>
              </w:rPr>
              <w:t>同等情况下，供应商服务的院校项目获得过创新大赛国赛金奖，则优先选择。</w:t>
            </w:r>
          </w:p>
        </w:tc>
        <w:tc>
          <w:tcPr>
            <w:tcW w:w="782" w:type="dxa"/>
            <w:tcBorders>
              <w:top w:val="single" w:color="auto" w:sz="4" w:space="0"/>
              <w:left w:val="single" w:color="auto" w:sz="4" w:space="0"/>
              <w:bottom w:val="single" w:color="auto" w:sz="4" w:space="0"/>
              <w:right w:val="single" w:color="auto" w:sz="4" w:space="0"/>
            </w:tcBorders>
            <w:vAlign w:val="center"/>
          </w:tcPr>
          <w:p w14:paraId="5221E676">
            <w:pPr>
              <w:widowControl/>
              <w:textAlignment w:val="center"/>
              <w:rPr>
                <w:rFonts w:ascii="宋体" w:hAnsi="宋体" w:cs="宋体"/>
                <w:b/>
                <w:bCs/>
                <w:color w:val="000000"/>
                <w:sz w:val="24"/>
                <w:szCs w:val="24"/>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9</w:t>
            </w:r>
            <w:r>
              <w:rPr>
                <w:rFonts w:hint="eastAsia" w:ascii="宋体" w:hAnsi="宋体" w:cs="宋体"/>
                <w:b/>
                <w:bCs/>
                <w:color w:val="000000"/>
                <w:kern w:val="0"/>
                <w:lang w:bidi="ar"/>
              </w:rPr>
              <w:t>分</w:t>
            </w:r>
          </w:p>
        </w:tc>
      </w:tr>
      <w:tr w14:paraId="7011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7B518704">
            <w:pPr>
              <w:spacing w:line="400" w:lineRule="exact"/>
              <w:jc w:val="center"/>
              <w:rPr>
                <w:rFonts w:hint="eastAsia" w:ascii="宋体" w:hAnsi="宋体" w:cs="宋体"/>
                <w:sz w:val="24"/>
                <w:szCs w:val="24"/>
              </w:rPr>
            </w:pPr>
            <w:r>
              <w:rPr>
                <w:rFonts w:hint="eastAsia" w:ascii="宋体" w:hAnsi="宋体" w:cs="宋体"/>
                <w:sz w:val="24"/>
                <w:szCs w:val="24"/>
              </w:rPr>
              <w:t>价格分</w:t>
            </w:r>
          </w:p>
          <w:p w14:paraId="485B8D8E">
            <w:pPr>
              <w:spacing w:line="400" w:lineRule="exact"/>
              <w:jc w:val="cente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20分</w:t>
            </w:r>
            <w:r>
              <w:rPr>
                <w:rFonts w:hint="eastAsia" w:ascii="宋体" w:hAnsi="宋体" w:cs="宋体"/>
                <w:sz w:val="24"/>
                <w:szCs w:val="24"/>
                <w:lang w:eastAsia="zh-CN"/>
              </w:rPr>
              <w:t>）</w:t>
            </w:r>
          </w:p>
        </w:tc>
        <w:tc>
          <w:tcPr>
            <w:tcW w:w="7571" w:type="dxa"/>
            <w:gridSpan w:val="2"/>
            <w:tcBorders>
              <w:left w:val="single" w:color="auto" w:sz="4" w:space="0"/>
              <w:bottom w:val="single" w:color="auto" w:sz="4" w:space="0"/>
              <w:right w:val="single" w:color="auto" w:sz="4" w:space="0"/>
            </w:tcBorders>
            <w:vAlign w:val="center"/>
          </w:tcPr>
          <w:p w14:paraId="084BA805">
            <w:pPr>
              <w:widowControl/>
              <w:jc w:val="left"/>
              <w:textAlignment w:val="top"/>
              <w:rPr>
                <w:rFonts w:hint="eastAsia"/>
              </w:rPr>
            </w:pPr>
            <w:r>
              <w:rPr>
                <w:rFonts w:hint="eastAsia"/>
                <w:lang w:val="en-US" w:eastAsia="zh-CN"/>
              </w:rPr>
              <w:t>供应商磋商</w:t>
            </w:r>
            <w:r>
              <w:rPr>
                <w:rFonts w:hint="eastAsia"/>
              </w:rPr>
              <w:t>报价得分＝（</w:t>
            </w:r>
            <w:r>
              <w:rPr>
                <w:rFonts w:hint="eastAsia"/>
                <w:lang w:eastAsia="zh-CN"/>
              </w:rPr>
              <w:t>磋商</w:t>
            </w:r>
            <w:r>
              <w:rPr>
                <w:rFonts w:hint="eastAsia"/>
              </w:rPr>
              <w:t>基准价/</w:t>
            </w:r>
            <w:r>
              <w:rPr>
                <w:rFonts w:hint="eastAsia"/>
                <w:lang w:val="en-US" w:eastAsia="zh-CN"/>
              </w:rPr>
              <w:t>最后磋商</w:t>
            </w:r>
            <w:r>
              <w:rPr>
                <w:rFonts w:hint="eastAsia"/>
              </w:rPr>
              <w:t>报价）×</w:t>
            </w:r>
            <w:r>
              <w:rPr>
                <w:rFonts w:hint="eastAsia"/>
                <w:lang w:val="en-US" w:eastAsia="zh-CN"/>
              </w:rPr>
              <w:t xml:space="preserve"> 20 </w:t>
            </w:r>
            <w:r>
              <w:rPr>
                <w:rFonts w:hint="eastAsia"/>
              </w:rPr>
              <w:t>％×100；</w:t>
            </w:r>
          </w:p>
          <w:p w14:paraId="452043F0">
            <w:pPr>
              <w:widowControl/>
              <w:jc w:val="left"/>
              <w:textAlignment w:val="top"/>
              <w:rPr>
                <w:rFonts w:hint="eastAsia"/>
              </w:rPr>
            </w:pPr>
            <w:r>
              <w:rPr>
                <w:rFonts w:hint="eastAsia"/>
              </w:rPr>
              <w:t>满足磋商文件要求且最后</w:t>
            </w:r>
            <w:r>
              <w:rPr>
                <w:rFonts w:hint="eastAsia"/>
                <w:lang w:eastAsia="zh-CN"/>
              </w:rPr>
              <w:t>磋商</w:t>
            </w:r>
            <w:r>
              <w:rPr>
                <w:rFonts w:hint="eastAsia"/>
              </w:rPr>
              <w:t>报价最低的供应商的价格为磋商基准价。</w:t>
            </w:r>
          </w:p>
          <w:p w14:paraId="66B1D288">
            <w:pPr>
              <w:widowControl/>
              <w:jc w:val="left"/>
              <w:textAlignment w:val="top"/>
              <w:rPr>
                <w:rFonts w:hint="eastAsia"/>
              </w:rPr>
            </w:pPr>
            <w:r>
              <w:rPr>
                <w:rFonts w:hint="eastAsia"/>
              </w:rPr>
              <w:t>（商务报价分计算至小数点后第二位、小数点后第</w:t>
            </w:r>
            <w:bookmarkStart w:id="131" w:name="_GoBack"/>
            <w:bookmarkEnd w:id="131"/>
            <w:r>
              <w:rPr>
                <w:rFonts w:hint="eastAsia"/>
              </w:rPr>
              <w:t>三位四舍五入）</w:t>
            </w:r>
          </w:p>
          <w:p w14:paraId="0CDA39B0">
            <w:pPr>
              <w:widowControl/>
              <w:jc w:val="left"/>
              <w:textAlignment w:val="top"/>
              <w:rPr>
                <w:rFonts w:hint="eastAsia"/>
              </w:rPr>
            </w:pPr>
            <w:r>
              <w:rPr>
                <w:rFonts w:hint="eastAsia"/>
                <w:b/>
                <w:bCs/>
              </w:rPr>
              <w:t>注：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p>
        </w:tc>
        <w:tc>
          <w:tcPr>
            <w:tcW w:w="782" w:type="dxa"/>
            <w:tcBorders>
              <w:top w:val="single" w:color="auto" w:sz="4" w:space="0"/>
              <w:left w:val="single" w:color="auto" w:sz="4" w:space="0"/>
              <w:bottom w:val="single" w:color="auto" w:sz="4" w:space="0"/>
              <w:right w:val="single" w:color="auto" w:sz="4" w:space="0"/>
            </w:tcBorders>
            <w:vAlign w:val="center"/>
          </w:tcPr>
          <w:p w14:paraId="7800EB77">
            <w:pPr>
              <w:widowControl/>
              <w:textAlignment w:val="center"/>
              <w:rPr>
                <w:rFonts w:hint="eastAsia" w:ascii="宋体" w:hAnsi="宋体" w:cs="宋体"/>
                <w:b/>
                <w:bCs/>
                <w:color w:val="000000"/>
                <w:kern w:val="0"/>
                <w:lang w:bidi="ar"/>
              </w:rPr>
            </w:pPr>
          </w:p>
        </w:tc>
      </w:tr>
    </w:tbl>
    <w:p w14:paraId="227F3634">
      <w:pPr>
        <w:spacing w:line="360" w:lineRule="auto"/>
        <w:rPr>
          <w:rFonts w:hint="eastAsia" w:ascii="宋体" w:hAnsi="宋体" w:cs="宋体"/>
          <w:b/>
          <w:color w:val="auto"/>
          <w:szCs w:val="21"/>
          <w:highlight w:val="none"/>
        </w:rPr>
      </w:pPr>
    </w:p>
    <w:p w14:paraId="5190810D">
      <w:pPr>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备注：</w:t>
      </w:r>
    </w:p>
    <w:p w14:paraId="76123D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以上评分汇总分精确至小数点后二位、小数点后第三位四舍五入。</w:t>
      </w:r>
    </w:p>
    <w:p w14:paraId="5EBCA84A">
      <w:pPr>
        <w:spacing w:line="360" w:lineRule="auto"/>
        <w:ind w:left="842" w:leftChars="200" w:hanging="422" w:hangingChars="200"/>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人提供的证明材料要能清晰反映评分的实质内容，如因材料模糊不清，导致无法辨认的</w:t>
      </w:r>
      <w:r>
        <w:rPr>
          <w:rFonts w:hint="eastAsia" w:ascii="宋体" w:hAnsi="宋体" w:cs="宋体"/>
          <w:b/>
          <w:color w:val="auto"/>
          <w:szCs w:val="21"/>
          <w:highlight w:val="none"/>
          <w:lang w:val="en-US" w:eastAsia="zh-CN"/>
        </w:rPr>
        <w:t>磋商小组</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磋商小组</w:t>
      </w:r>
      <w:r>
        <w:rPr>
          <w:rFonts w:hint="eastAsia" w:ascii="宋体" w:hAnsi="宋体" w:cs="宋体"/>
          <w:b/>
          <w:color w:val="auto"/>
          <w:szCs w:val="21"/>
          <w:highlight w:val="none"/>
        </w:rPr>
        <w:t>可以不予认可，一切后果由</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人自行承担。</w:t>
      </w:r>
    </w:p>
    <w:p w14:paraId="37847430">
      <w:pPr>
        <w:spacing w:line="360" w:lineRule="auto"/>
        <w:ind w:left="842" w:leftChars="200" w:hanging="422" w:hangingChars="200"/>
        <w:rPr>
          <w:rFonts w:hint="eastAsia" w:eastAsia="宋体"/>
          <w:color w:val="auto"/>
          <w:highlight w:val="none"/>
          <w:lang w:eastAsia="zh-CN"/>
        </w:rPr>
      </w:pPr>
      <w:r>
        <w:rPr>
          <w:rFonts w:hint="eastAsia" w:ascii="宋体" w:hAnsi="宋体" w:cs="宋体"/>
          <w:b/>
          <w:color w:val="auto"/>
          <w:szCs w:val="21"/>
          <w:highlight w:val="none"/>
        </w:rPr>
        <w:t>（3）以上评分项中要求</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人提供的证明文件，</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人提供证明文件的扫描件或复印件或影印件</w:t>
      </w:r>
      <w:r>
        <w:rPr>
          <w:rFonts w:hint="eastAsia" w:ascii="宋体" w:hAnsi="宋体" w:cs="宋体"/>
          <w:b/>
          <w:color w:val="auto"/>
          <w:szCs w:val="21"/>
          <w:highlight w:val="none"/>
          <w:lang w:val="en-US" w:eastAsia="zh-CN"/>
        </w:rPr>
        <w:t>加盖响应人公章</w:t>
      </w:r>
      <w:r>
        <w:rPr>
          <w:rFonts w:hint="eastAsia" w:ascii="宋体" w:hAnsi="宋体" w:cs="宋体"/>
          <w:b/>
          <w:color w:val="auto"/>
          <w:szCs w:val="21"/>
          <w:highlight w:val="none"/>
        </w:rPr>
        <w:t>。</w:t>
      </w:r>
    </w:p>
    <w:p w14:paraId="1E50215C">
      <w:pPr>
        <w:keepNext w:val="0"/>
        <w:keepLines w:val="0"/>
        <w:widowControl/>
        <w:suppressLineNumbers w:val="0"/>
        <w:spacing w:line="360" w:lineRule="auto"/>
        <w:ind w:firstLine="630" w:firstLineChars="3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.3 分值汇总 </w:t>
      </w:r>
    </w:p>
    <w:p w14:paraId="2D62FB0A">
      <w:pPr>
        <w:keepNext w:val="0"/>
        <w:keepLines w:val="0"/>
        <w:widowControl/>
        <w:suppressLineNumbers w:val="0"/>
        <w:spacing w:line="360" w:lineRule="auto"/>
        <w:ind w:firstLine="420" w:firstLineChars="2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（1）磋商小组各成员应当独立对每个有效响应的文件进行评价、打分，然后汇总每个供应商每项评分因素的得分，再取各位评委评分之平均值，四舍五入保留至小数点后两位数，得到该供应商的技术资信分。 </w:t>
      </w:r>
    </w:p>
    <w:p w14:paraId="2740AD00">
      <w:pPr>
        <w:keepNext w:val="0"/>
        <w:keepLines w:val="0"/>
        <w:widowControl/>
        <w:suppressLineNumbers w:val="0"/>
        <w:spacing w:line="360" w:lineRule="auto"/>
        <w:ind w:firstLine="420" w:firstLineChars="2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（2）将每个供应商的技术资信分加上根据上述标准计算出的价格分，即为该供应商的综合总得分。</w:t>
      </w:r>
    </w:p>
    <w:p w14:paraId="2E65979A">
      <w:pPr>
        <w:spacing w:line="360" w:lineRule="auto"/>
        <w:ind w:firstLine="420" w:firstLineChars="200"/>
        <w:rPr>
          <w:rFonts w:hint="eastAsia" w:cs="宋体"/>
          <w:color w:val="auto"/>
          <w:sz w:val="21"/>
          <w:szCs w:val="21"/>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p>
    <w:p w14:paraId="57DAED48">
      <w:pPr>
        <w:pStyle w:val="2"/>
        <w:numPr>
          <w:ilvl w:val="0"/>
          <w:numId w:val="0"/>
        </w:numPr>
        <w:tabs>
          <w:tab w:val="clear" w:pos="1440"/>
          <w:tab w:val="clear" w:pos="5670"/>
        </w:tabs>
        <w:ind w:leftChars="1203"/>
        <w:rPr>
          <w:color w:val="auto"/>
          <w:highlight w:val="none"/>
        </w:rPr>
      </w:pPr>
      <w:bookmarkStart w:id="71" w:name="_Toc7241"/>
      <w:bookmarkStart w:id="72" w:name="_Toc3977"/>
      <w:bookmarkStart w:id="73" w:name="_Toc28300"/>
      <w:bookmarkStart w:id="74" w:name="_Toc431"/>
      <w:bookmarkStart w:id="75" w:name="_Toc27586"/>
      <w:bookmarkStart w:id="76" w:name="_Toc10569"/>
      <w:bookmarkStart w:id="77" w:name="_Toc54941340"/>
      <w:r>
        <w:rPr>
          <w:rFonts w:hint="eastAsia"/>
          <w:color w:val="auto"/>
          <w:highlight w:val="none"/>
          <w:lang w:val="en-US" w:eastAsia="zh-CN"/>
        </w:rPr>
        <w:t xml:space="preserve">第五章  </w:t>
      </w:r>
      <w:r>
        <w:rPr>
          <w:rFonts w:hint="eastAsia"/>
          <w:color w:val="auto"/>
          <w:highlight w:val="none"/>
        </w:rPr>
        <w:t>政府采购合同主要条款</w:t>
      </w:r>
      <w:bookmarkEnd w:id="71"/>
      <w:bookmarkEnd w:id="72"/>
      <w:bookmarkEnd w:id="73"/>
      <w:bookmarkEnd w:id="74"/>
      <w:bookmarkEnd w:id="75"/>
      <w:r>
        <w:rPr>
          <w:rFonts w:hint="eastAsia"/>
          <w:color w:val="auto"/>
          <w:highlight w:val="none"/>
        </w:rPr>
        <w:t xml:space="preserve"> </w:t>
      </w:r>
    </w:p>
    <w:p w14:paraId="5C1AA18F">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33AC2DE3">
      <w:pPr>
        <w:spacing w:line="480" w:lineRule="auto"/>
        <w:jc w:val="center"/>
        <w:rPr>
          <w:rFonts w:asciiTheme="minorEastAsia" w:hAnsiTheme="minorEastAsia" w:eastAsiaTheme="minorEastAsia"/>
          <w:b/>
          <w:color w:val="auto"/>
          <w:sz w:val="24"/>
          <w:highlight w:val="none"/>
        </w:rPr>
      </w:pPr>
    </w:p>
    <w:p w14:paraId="61EBA41B">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549AFC93">
      <w:pPr>
        <w:spacing w:before="120" w:line="480" w:lineRule="auto"/>
        <w:ind w:left="960"/>
        <w:rPr>
          <w:rFonts w:asciiTheme="minorEastAsia" w:hAnsiTheme="minorEastAsia" w:eastAsiaTheme="minorEastAsia"/>
          <w:color w:val="auto"/>
          <w:sz w:val="24"/>
          <w:highlight w:val="none"/>
        </w:rPr>
      </w:pPr>
    </w:p>
    <w:p w14:paraId="0248F785">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AEBEAF3">
      <w:pPr>
        <w:spacing w:before="120" w:line="480" w:lineRule="auto"/>
        <w:ind w:left="960"/>
        <w:rPr>
          <w:rFonts w:asciiTheme="minorEastAsia" w:hAnsiTheme="minorEastAsia" w:eastAsiaTheme="minorEastAsia"/>
          <w:color w:val="auto"/>
          <w:sz w:val="24"/>
          <w:highlight w:val="none"/>
        </w:rPr>
      </w:pPr>
    </w:p>
    <w:p w14:paraId="291B2733">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u w:val="single"/>
          <w:lang w:val="en-US" w:eastAsia="zh-CN"/>
        </w:rPr>
        <w:t xml:space="preserve">                                       </w:t>
      </w:r>
    </w:p>
    <w:p w14:paraId="6C8FBE5B">
      <w:pPr>
        <w:spacing w:before="120" w:line="480" w:lineRule="auto"/>
        <w:ind w:firstLine="960" w:firstLineChars="400"/>
        <w:rPr>
          <w:rFonts w:asciiTheme="minorEastAsia" w:hAnsiTheme="minorEastAsia" w:eastAsiaTheme="minorEastAsia"/>
          <w:color w:val="auto"/>
          <w:sz w:val="24"/>
          <w:highlight w:val="none"/>
        </w:rPr>
      </w:pPr>
    </w:p>
    <w:p w14:paraId="60607F4A">
      <w:pPr>
        <w:spacing w:before="120" w:line="480" w:lineRule="auto"/>
        <w:ind w:firstLine="960" w:firstLineChars="400"/>
        <w:rPr>
          <w:rFonts w:asciiTheme="minorEastAsia" w:hAnsiTheme="minorEastAsia" w:eastAsiaTheme="minorEastAsia"/>
          <w:color w:val="auto"/>
          <w:sz w:val="24"/>
          <w:highlight w:val="none"/>
        </w:rPr>
      </w:pPr>
    </w:p>
    <w:p w14:paraId="0E6E84EF">
      <w:pPr>
        <w:spacing w:before="120" w:line="480" w:lineRule="auto"/>
        <w:ind w:firstLine="960" w:firstLineChars="400"/>
        <w:rPr>
          <w:rFonts w:asciiTheme="minorEastAsia" w:hAnsiTheme="minorEastAsia" w:eastAsiaTheme="minorEastAsia"/>
          <w:color w:val="auto"/>
          <w:sz w:val="24"/>
          <w:highlight w:val="none"/>
        </w:rPr>
      </w:pPr>
    </w:p>
    <w:p w14:paraId="5C9369DD">
      <w:pPr>
        <w:spacing w:before="120" w:line="480" w:lineRule="auto"/>
        <w:rPr>
          <w:rFonts w:asciiTheme="minorEastAsia" w:hAnsiTheme="minorEastAsia" w:eastAsiaTheme="minorEastAsia"/>
          <w:color w:val="auto"/>
          <w:sz w:val="24"/>
          <w:highlight w:val="none"/>
        </w:rPr>
      </w:pPr>
    </w:p>
    <w:p w14:paraId="154853C6">
      <w:pPr>
        <w:spacing w:before="120" w:line="480" w:lineRule="auto"/>
        <w:ind w:firstLine="960" w:firstLineChars="400"/>
        <w:rPr>
          <w:rFonts w:asciiTheme="minorEastAsia" w:hAnsiTheme="minorEastAsia" w:eastAsiaTheme="minorEastAsia"/>
          <w:color w:val="auto"/>
          <w:sz w:val="24"/>
          <w:highlight w:val="none"/>
        </w:rPr>
      </w:pPr>
    </w:p>
    <w:p w14:paraId="0C6C066E">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FCB97A3">
      <w:pPr>
        <w:spacing w:before="120" w:line="480" w:lineRule="auto"/>
        <w:ind w:firstLine="960" w:firstLineChars="400"/>
        <w:rPr>
          <w:rFonts w:asciiTheme="minorEastAsia" w:hAnsiTheme="minorEastAsia" w:eastAsiaTheme="minorEastAsia"/>
          <w:color w:val="auto"/>
          <w:sz w:val="24"/>
          <w:highlight w:val="none"/>
        </w:rPr>
      </w:pPr>
    </w:p>
    <w:p w14:paraId="402ECCC6">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FC580F0">
      <w:pPr>
        <w:pStyle w:val="75"/>
        <w:rPr>
          <w:color w:val="auto"/>
          <w:highlight w:val="none"/>
        </w:rPr>
      </w:pPr>
    </w:p>
    <w:p w14:paraId="6BF07EE0">
      <w:pPr>
        <w:pStyle w:val="75"/>
        <w:rPr>
          <w:color w:val="auto"/>
          <w:highlight w:val="none"/>
        </w:rPr>
        <w:sectPr>
          <w:footerReference r:id="rId9" w:type="default"/>
          <w:pgSz w:w="11906" w:h="16838"/>
          <w:pgMar w:top="1418" w:right="1418" w:bottom="1276" w:left="1418" w:header="680" w:footer="680" w:gutter="0"/>
          <w:pgNumType w:fmt="decimal"/>
          <w:cols w:space="720" w:num="1"/>
          <w:docGrid w:type="lines" w:linePitch="312" w:charSpace="0"/>
        </w:sectPr>
      </w:pPr>
    </w:p>
    <w:p w14:paraId="532B79A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中华人民共和国政府采购法》等相关法律法规的规定，按照平等、自愿、公平和诚实信用的原则，经甲方和乙方协商一致，约定下述合同条款，以共同遵守并全面履行。</w:t>
      </w:r>
    </w:p>
    <w:p w14:paraId="7FFFB5ED">
      <w:pPr>
        <w:spacing w:line="360" w:lineRule="auto"/>
        <w:ind w:firstLine="437"/>
        <w:outlineLvl w:val="3"/>
        <w:rPr>
          <w:rFonts w:asciiTheme="minorEastAsia" w:hAnsiTheme="minorEastAsia" w:eastAsiaTheme="minorEastAsia"/>
          <w:b/>
          <w:bCs/>
          <w:color w:val="auto"/>
          <w:sz w:val="24"/>
          <w:highlight w:val="none"/>
          <w:lang w:val="zh-CN"/>
        </w:rPr>
      </w:pPr>
      <w:bookmarkStart w:id="78" w:name="_Toc2232"/>
      <w:bookmarkStart w:id="79" w:name="_Toc3029"/>
      <w:bookmarkStart w:id="80" w:name="_Toc2405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78"/>
      <w:bookmarkEnd w:id="79"/>
      <w:bookmarkEnd w:id="80"/>
    </w:p>
    <w:p w14:paraId="620A4A1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D1B9F9">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50E657F1">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53FAF75B">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26ADBCF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54019E2A">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33100B40">
      <w:pPr>
        <w:spacing w:line="360" w:lineRule="auto"/>
        <w:ind w:firstLine="437"/>
        <w:outlineLvl w:val="3"/>
        <w:rPr>
          <w:rFonts w:hint="eastAsia" w:asciiTheme="minorEastAsia" w:hAnsiTheme="minorEastAsia" w:eastAsiaTheme="minorEastAsia"/>
          <w:b/>
          <w:bCs/>
          <w:color w:val="auto"/>
          <w:sz w:val="24"/>
          <w:highlight w:val="none"/>
          <w:lang w:val="zh-CN"/>
        </w:rPr>
      </w:pPr>
      <w:bookmarkStart w:id="81" w:name="_Toc24300"/>
      <w:bookmarkStart w:id="82" w:name="_Toc27126"/>
      <w:bookmarkStart w:id="83" w:name="_Toc21295"/>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81"/>
      <w:bookmarkEnd w:id="82"/>
      <w:bookmarkEnd w:id="83"/>
      <w:r>
        <w:rPr>
          <w:rFonts w:hint="eastAsia" w:asciiTheme="minorEastAsia" w:hAnsiTheme="minorEastAsia" w:eastAsiaTheme="minorEastAsia"/>
          <w:b/>
          <w:bCs/>
          <w:color w:val="auto"/>
          <w:sz w:val="24"/>
          <w:highlight w:val="none"/>
          <w:lang w:val="zh-CN"/>
        </w:rPr>
        <w:t>服务</w:t>
      </w:r>
    </w:p>
    <w:p w14:paraId="23D4AAA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F8876C2">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5DF9574">
      <w:pPr>
        <w:spacing w:line="360" w:lineRule="auto"/>
        <w:ind w:firstLine="435"/>
        <w:rPr>
          <w:color w:val="auto"/>
          <w:highlight w:val="none"/>
          <w:lang w:val="zh-CN"/>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01EA1CB">
      <w:pPr>
        <w:spacing w:line="360" w:lineRule="auto"/>
        <w:ind w:firstLine="437"/>
        <w:outlineLvl w:val="3"/>
        <w:rPr>
          <w:rFonts w:asciiTheme="minorEastAsia" w:hAnsiTheme="minorEastAsia" w:eastAsiaTheme="minorEastAsia"/>
          <w:b/>
          <w:bCs/>
          <w:color w:val="auto"/>
          <w:sz w:val="24"/>
          <w:highlight w:val="none"/>
          <w:lang w:val="zh-CN"/>
        </w:rPr>
      </w:pPr>
      <w:bookmarkStart w:id="84" w:name="_Toc23292"/>
      <w:bookmarkStart w:id="85" w:name="_Toc21631"/>
      <w:bookmarkStart w:id="86"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4"/>
      <w:bookmarkEnd w:id="85"/>
      <w:bookmarkEnd w:id="86"/>
    </w:p>
    <w:p w14:paraId="1044FBC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1F1E769D">
      <w:pPr>
        <w:spacing w:line="360" w:lineRule="auto"/>
        <w:ind w:firstLine="4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61"/>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4BE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14:paraId="521E0C49">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4447" w:type="dxa"/>
            <w:vAlign w:val="center"/>
          </w:tcPr>
          <w:p w14:paraId="4F5AE337">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分项名称</w:t>
            </w:r>
          </w:p>
        </w:tc>
        <w:tc>
          <w:tcPr>
            <w:tcW w:w="3368" w:type="dxa"/>
            <w:gridSpan w:val="2"/>
            <w:vAlign w:val="center"/>
          </w:tcPr>
          <w:p w14:paraId="409E8AD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分项价格</w:t>
            </w:r>
          </w:p>
        </w:tc>
      </w:tr>
      <w:tr w14:paraId="61C6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689AC35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4447" w:type="dxa"/>
            <w:vAlign w:val="center"/>
          </w:tcPr>
          <w:p w14:paraId="360BC1E4">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165BF1B">
            <w:pPr>
              <w:ind w:firstLine="200"/>
              <w:jc w:val="center"/>
              <w:rPr>
                <w:rFonts w:asciiTheme="minorEastAsia" w:hAnsiTheme="minorEastAsia" w:eastAsiaTheme="minorEastAsia"/>
                <w:color w:val="auto"/>
                <w:sz w:val="24"/>
                <w:highlight w:val="none"/>
              </w:rPr>
            </w:pPr>
          </w:p>
        </w:tc>
      </w:tr>
      <w:tr w14:paraId="5623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12277773">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4447" w:type="dxa"/>
            <w:vAlign w:val="center"/>
          </w:tcPr>
          <w:p w14:paraId="68C99B67">
            <w:pPr>
              <w:ind w:firstLine="200"/>
              <w:jc w:val="center"/>
              <w:rPr>
                <w:rFonts w:asciiTheme="minorEastAsia" w:hAnsiTheme="minorEastAsia" w:eastAsiaTheme="minorEastAsia"/>
                <w:color w:val="auto"/>
                <w:sz w:val="24"/>
                <w:highlight w:val="none"/>
              </w:rPr>
            </w:pPr>
          </w:p>
        </w:tc>
        <w:tc>
          <w:tcPr>
            <w:tcW w:w="3368" w:type="dxa"/>
            <w:gridSpan w:val="2"/>
            <w:vAlign w:val="center"/>
          </w:tcPr>
          <w:p w14:paraId="67FD351A">
            <w:pPr>
              <w:ind w:firstLine="200"/>
              <w:jc w:val="center"/>
              <w:rPr>
                <w:rFonts w:asciiTheme="minorEastAsia" w:hAnsiTheme="minorEastAsia" w:eastAsiaTheme="minorEastAsia"/>
                <w:color w:val="auto"/>
                <w:sz w:val="24"/>
                <w:highlight w:val="none"/>
              </w:rPr>
            </w:pPr>
          </w:p>
        </w:tc>
      </w:tr>
      <w:tr w14:paraId="45F8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0CC93CCA">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4447" w:type="dxa"/>
            <w:vAlign w:val="center"/>
          </w:tcPr>
          <w:p w14:paraId="54B8EBC6">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DDBCF15">
            <w:pPr>
              <w:ind w:firstLine="200"/>
              <w:jc w:val="center"/>
              <w:rPr>
                <w:rFonts w:asciiTheme="minorEastAsia" w:hAnsiTheme="minorEastAsia" w:eastAsiaTheme="minorEastAsia"/>
                <w:color w:val="auto"/>
                <w:sz w:val="24"/>
                <w:highlight w:val="none"/>
              </w:rPr>
            </w:pPr>
          </w:p>
        </w:tc>
      </w:tr>
      <w:tr w14:paraId="2E4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1E59474C">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4447" w:type="dxa"/>
            <w:vAlign w:val="center"/>
          </w:tcPr>
          <w:p w14:paraId="55E0C63F">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A123349">
            <w:pPr>
              <w:ind w:firstLine="200"/>
              <w:jc w:val="center"/>
              <w:rPr>
                <w:rFonts w:asciiTheme="minorEastAsia" w:hAnsiTheme="minorEastAsia" w:eastAsiaTheme="minorEastAsia"/>
                <w:color w:val="auto"/>
                <w:sz w:val="24"/>
                <w:highlight w:val="none"/>
              </w:rPr>
            </w:pPr>
          </w:p>
        </w:tc>
      </w:tr>
      <w:tr w14:paraId="1C4D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7D5EEA6C">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总价</w:t>
            </w:r>
          </w:p>
        </w:tc>
        <w:tc>
          <w:tcPr>
            <w:tcW w:w="3345" w:type="dxa"/>
            <w:vAlign w:val="center"/>
          </w:tcPr>
          <w:p w14:paraId="0F90CF2A">
            <w:pPr>
              <w:ind w:firstLine="200"/>
              <w:jc w:val="center"/>
              <w:rPr>
                <w:rFonts w:asciiTheme="minorEastAsia" w:hAnsiTheme="minorEastAsia" w:eastAsiaTheme="minorEastAsia"/>
                <w:color w:val="auto"/>
                <w:sz w:val="24"/>
                <w:highlight w:val="none"/>
              </w:rPr>
            </w:pPr>
          </w:p>
        </w:tc>
      </w:tr>
    </w:tbl>
    <w:p w14:paraId="4C84F1CD">
      <w:pPr>
        <w:spacing w:line="360" w:lineRule="auto"/>
        <w:ind w:firstLine="437"/>
        <w:outlineLvl w:val="3"/>
        <w:rPr>
          <w:rFonts w:asciiTheme="minorEastAsia" w:hAnsiTheme="minorEastAsia" w:eastAsiaTheme="minorEastAsia"/>
          <w:b/>
          <w:bCs/>
          <w:color w:val="auto"/>
          <w:sz w:val="24"/>
          <w:highlight w:val="none"/>
          <w:lang w:val="zh-CN"/>
        </w:rPr>
      </w:pPr>
      <w:bookmarkStart w:id="87" w:name="_Toc10340"/>
      <w:bookmarkStart w:id="88" w:name="_Toc22618"/>
      <w:bookmarkStart w:id="89"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7"/>
      <w:bookmarkEnd w:id="88"/>
      <w:bookmarkEnd w:id="89"/>
    </w:p>
    <w:p w14:paraId="5DF7A7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201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98F2AD5">
      <w:pPr>
        <w:spacing w:line="360" w:lineRule="auto"/>
        <w:ind w:firstLine="437"/>
        <w:outlineLvl w:val="3"/>
        <w:rPr>
          <w:rFonts w:asciiTheme="minorEastAsia" w:hAnsiTheme="minorEastAsia" w:eastAsiaTheme="minorEastAsia"/>
          <w:b/>
          <w:bCs/>
          <w:color w:val="auto"/>
          <w:sz w:val="24"/>
          <w:highlight w:val="none"/>
          <w:lang w:val="zh-CN"/>
        </w:rPr>
      </w:pPr>
      <w:bookmarkStart w:id="90" w:name="_Toc19304"/>
      <w:bookmarkStart w:id="91" w:name="_Toc2846"/>
      <w:bookmarkStart w:id="92" w:name="_Toc3207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r>
        <w:rPr>
          <w:rFonts w:hint="eastAsia" w:asciiTheme="minorEastAsia" w:hAnsiTheme="minorEastAsia" w:eastAsiaTheme="minorEastAsia"/>
          <w:b/>
          <w:bCs/>
          <w:color w:val="auto"/>
          <w:sz w:val="24"/>
          <w:highlight w:val="none"/>
          <w:lang w:val="zh-CN"/>
        </w:rPr>
        <w:t>服务</w:t>
      </w:r>
      <w:r>
        <w:rPr>
          <w:rFonts w:asciiTheme="minorEastAsia" w:hAnsiTheme="minorEastAsia" w:eastAsiaTheme="minorEastAsia"/>
          <w:b/>
          <w:bCs/>
          <w:color w:val="auto"/>
          <w:sz w:val="24"/>
          <w:highlight w:val="none"/>
          <w:lang w:val="zh-CN"/>
        </w:rPr>
        <w:t>期限</w:t>
      </w:r>
      <w:r>
        <w:rPr>
          <w:rFonts w:hint="eastAsia" w:asciiTheme="minorEastAsia" w:hAnsiTheme="minorEastAsia" w:eastAsiaTheme="minorEastAsia"/>
          <w:b/>
          <w:bCs/>
          <w:color w:val="auto"/>
          <w:sz w:val="24"/>
          <w:highlight w:val="none"/>
          <w:lang w:val="zh-CN"/>
        </w:rPr>
        <w:t>、地点和方式</w:t>
      </w:r>
      <w:bookmarkEnd w:id="90"/>
      <w:bookmarkEnd w:id="91"/>
      <w:bookmarkEnd w:id="92"/>
    </w:p>
    <w:p w14:paraId="346BBC9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B0F6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CFA8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C99DF1B">
      <w:pPr>
        <w:spacing w:line="360" w:lineRule="auto"/>
        <w:ind w:firstLine="437"/>
        <w:outlineLvl w:val="3"/>
        <w:rPr>
          <w:rFonts w:asciiTheme="minorEastAsia" w:hAnsiTheme="minorEastAsia" w:eastAsiaTheme="minorEastAsia"/>
          <w:b/>
          <w:bCs/>
          <w:color w:val="auto"/>
          <w:sz w:val="24"/>
          <w:highlight w:val="none"/>
          <w:lang w:val="zh-CN"/>
        </w:rPr>
      </w:pPr>
      <w:bookmarkStart w:id="93" w:name="_Toc27250"/>
      <w:bookmarkStart w:id="94" w:name="_Toc19554"/>
      <w:bookmarkStart w:id="95" w:name="_Toc21423"/>
      <w:r>
        <w:rPr>
          <w:rFonts w:hint="eastAsia" w:asciiTheme="minorEastAsia" w:hAnsiTheme="minorEastAsia" w:eastAsiaTheme="minorEastAsia"/>
          <w:b/>
          <w:bCs/>
          <w:color w:val="auto"/>
          <w:sz w:val="24"/>
          <w:highlight w:val="none"/>
          <w:lang w:val="zh-CN"/>
        </w:rPr>
        <w:t>1.6 违约责任</w:t>
      </w:r>
      <w:bookmarkEnd w:id="93"/>
      <w:bookmarkEnd w:id="94"/>
      <w:bookmarkEnd w:id="95"/>
    </w:p>
    <w:p w14:paraId="6127A6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1.6.1除不可抗力外，如果乙方没有按照本合同约定的期限、地点和方式履行，那么甲方可要求乙方支付违约金，违约金按每迟延履行一日的应提供而未提供服务价格的    %计算，最高限额为本合同总价的     %；迟延履行的违约金计算数额达到前述最高限额之日起，甲方有权在要求乙方支付违约金的同时，书面通知乙方解除本合同；</w:t>
      </w:r>
    </w:p>
    <w:p w14:paraId="6E5012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362027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1E06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F2A9D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C61300B">
      <w:pPr>
        <w:spacing w:line="360" w:lineRule="auto"/>
        <w:ind w:firstLine="437"/>
        <w:outlineLvl w:val="3"/>
        <w:rPr>
          <w:rFonts w:asciiTheme="minorEastAsia" w:hAnsiTheme="minorEastAsia" w:eastAsiaTheme="minorEastAsia"/>
          <w:b/>
          <w:bCs/>
          <w:color w:val="auto"/>
          <w:sz w:val="24"/>
          <w:highlight w:val="none"/>
          <w:lang w:val="zh-CN"/>
        </w:rPr>
      </w:pPr>
      <w:bookmarkStart w:id="96" w:name="_Toc16021"/>
      <w:bookmarkStart w:id="97" w:name="_Toc28375"/>
      <w:bookmarkStart w:id="98" w:name="_Toc15583"/>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6"/>
      <w:bookmarkEnd w:id="97"/>
      <w:bookmarkEnd w:id="98"/>
    </w:p>
    <w:p w14:paraId="08796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本合同如发生争议，买卖双方应当及时协商解决，协商不成时，按以下第（①）项方式处理：①根据《中华人民共和国仲裁法》的规定向安庆仲裁委员会申请仲裁。②向________人民法院起诉。</w:t>
      </w:r>
    </w:p>
    <w:p w14:paraId="685F144B">
      <w:pPr>
        <w:spacing w:line="360" w:lineRule="auto"/>
        <w:ind w:firstLine="437"/>
        <w:outlineLvl w:val="3"/>
        <w:rPr>
          <w:rFonts w:asciiTheme="minorEastAsia" w:hAnsiTheme="minorEastAsia" w:eastAsiaTheme="minorEastAsia"/>
          <w:b/>
          <w:bCs/>
          <w:color w:val="auto"/>
          <w:sz w:val="24"/>
          <w:highlight w:val="none"/>
          <w:lang w:val="zh-CN"/>
        </w:rPr>
      </w:pPr>
      <w:bookmarkStart w:id="99" w:name="_Toc15322"/>
      <w:bookmarkStart w:id="100" w:name="_Toc7245"/>
      <w:bookmarkStart w:id="101" w:name="_Toc11173"/>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9"/>
      <w:bookmarkEnd w:id="100"/>
      <w:bookmarkEnd w:id="101"/>
    </w:p>
    <w:p w14:paraId="5BE4F14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58C70989">
      <w:pPr>
        <w:autoSpaceDE w:val="0"/>
        <w:autoSpaceDN w:val="0"/>
        <w:adjustRightInd w:val="0"/>
        <w:spacing w:line="560" w:lineRule="exact"/>
        <w:rPr>
          <w:rFonts w:asciiTheme="minorEastAsia" w:hAnsiTheme="minorEastAsia" w:eastAsiaTheme="minorEastAsia"/>
          <w:color w:val="auto"/>
          <w:sz w:val="24"/>
          <w:highlight w:val="none"/>
          <w:lang w:val="zh-CN"/>
        </w:rPr>
      </w:pPr>
    </w:p>
    <w:p w14:paraId="1E9A0B00">
      <w:pPr>
        <w:autoSpaceDE w:val="0"/>
        <w:autoSpaceDN w:val="0"/>
        <w:adjustRightInd w:val="0"/>
        <w:spacing w:line="560" w:lineRule="exact"/>
        <w:rPr>
          <w:rFonts w:asciiTheme="minorEastAsia" w:hAnsiTheme="minorEastAsia" w:eastAsiaTheme="minorEastAsia"/>
          <w:color w:val="auto"/>
          <w:sz w:val="24"/>
          <w:highlight w:val="none"/>
          <w:lang w:val="zh-CN"/>
        </w:rPr>
      </w:pPr>
    </w:p>
    <w:p w14:paraId="426563BD">
      <w:pPr>
        <w:autoSpaceDE w:val="0"/>
        <w:autoSpaceDN w:val="0"/>
        <w:adjustRightInd w:val="0"/>
        <w:spacing w:line="560" w:lineRule="exact"/>
        <w:rPr>
          <w:rFonts w:asciiTheme="minorEastAsia" w:hAnsiTheme="minorEastAsia" w:eastAsiaTheme="minorEastAsia"/>
          <w:color w:val="auto"/>
          <w:sz w:val="24"/>
          <w:highlight w:val="none"/>
          <w:lang w:val="zh-CN"/>
        </w:rPr>
      </w:pPr>
    </w:p>
    <w:p w14:paraId="31F46258">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0ED1E567">
      <w:pPr>
        <w:widowControl/>
        <w:spacing w:line="560" w:lineRule="exact"/>
        <w:jc w:val="left"/>
        <w:rPr>
          <w:rFonts w:hint="eastAsia" w:asciiTheme="minorEastAsia" w:hAnsiTheme="minorEastAsia" w:eastAsiaTheme="minorEastAsia"/>
          <w:bCs/>
          <w:color w:val="auto"/>
          <w:sz w:val="24"/>
          <w:highlight w:val="none"/>
        </w:rPr>
      </w:pPr>
    </w:p>
    <w:p w14:paraId="31A35200">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948E7B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6"/>
    <w:bookmarkEnd w:id="77"/>
    <w:p w14:paraId="6585ED6F">
      <w:pPr>
        <w:pStyle w:val="2"/>
        <w:spacing w:before="62" w:beforeLines="20" w:after="62" w:afterLines="20" w:line="480" w:lineRule="exact"/>
        <w:ind w:firstLine="0" w:firstLineChars="0"/>
        <w:jc w:val="right"/>
        <w:rPr>
          <w:rFonts w:hint="default" w:ascii="Arial" w:hAnsi="Arial" w:eastAsia="黑体"/>
          <w:color w:val="auto"/>
          <w:kern w:val="2"/>
          <w:sz w:val="36"/>
          <w:szCs w:val="36"/>
          <w:highlight w:val="none"/>
          <w:lang w:val="en-US" w:eastAsia="zh-CN"/>
        </w:rPr>
      </w:pPr>
      <w:bookmarkStart w:id="102" w:name="_Toc439316880"/>
      <w:bookmarkStart w:id="103" w:name="_Toc8981"/>
      <w:bookmarkStart w:id="104" w:name="_Toc54941341"/>
      <w:bookmarkStart w:id="105" w:name="_Toc1812"/>
      <w:r>
        <w:rPr>
          <w:rFonts w:hint="eastAsia" w:ascii="Arial" w:hAnsi="Arial"/>
          <w:color w:val="auto"/>
          <w:kern w:val="2"/>
          <w:sz w:val="36"/>
          <w:szCs w:val="36"/>
          <w:highlight w:val="none"/>
          <w:lang w:val="en-US" w:eastAsia="zh-CN"/>
        </w:rPr>
        <w:t>正本/副本</w:t>
      </w:r>
    </w:p>
    <w:p w14:paraId="60E7E9C1">
      <w:pPr>
        <w:pStyle w:val="2"/>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1D5F0746">
      <w:pPr>
        <w:spacing w:line="360" w:lineRule="auto"/>
        <w:jc w:val="center"/>
        <w:rPr>
          <w:rFonts w:ascii="仿宋" w:hAnsi="仿宋" w:eastAsia="仿宋"/>
          <w:b/>
          <w:color w:val="auto"/>
          <w:spacing w:val="20"/>
          <w:sz w:val="36"/>
          <w:szCs w:val="36"/>
          <w:highlight w:val="none"/>
          <w:u w:val="single"/>
        </w:rPr>
      </w:pPr>
    </w:p>
    <w:p w14:paraId="7DDAA8F9">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8409156">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6863C5">
      <w:pPr>
        <w:spacing w:line="480" w:lineRule="auto"/>
        <w:jc w:val="center"/>
        <w:rPr>
          <w:rFonts w:ascii="宋体"/>
          <w:b/>
          <w:color w:val="auto"/>
          <w:sz w:val="72"/>
          <w:szCs w:val="72"/>
          <w:highlight w:val="none"/>
        </w:rPr>
      </w:pPr>
    </w:p>
    <w:p w14:paraId="37EDBF91">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6C07002">
      <w:pPr>
        <w:spacing w:line="480" w:lineRule="auto"/>
        <w:jc w:val="center"/>
        <w:rPr>
          <w:rFonts w:ascii="宋体"/>
          <w:b/>
          <w:color w:val="auto"/>
          <w:sz w:val="72"/>
          <w:szCs w:val="72"/>
          <w:highlight w:val="none"/>
        </w:rPr>
      </w:pPr>
    </w:p>
    <w:p w14:paraId="68A8A07D">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23959BD7">
      <w:pPr>
        <w:spacing w:line="480" w:lineRule="auto"/>
        <w:jc w:val="center"/>
        <w:rPr>
          <w:rFonts w:ascii="宋体"/>
          <w:b/>
          <w:color w:val="auto"/>
          <w:sz w:val="72"/>
          <w:szCs w:val="72"/>
          <w:highlight w:val="none"/>
        </w:rPr>
      </w:pPr>
    </w:p>
    <w:p w14:paraId="5CD60857">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2AFCB3E">
      <w:pPr>
        <w:spacing w:line="360" w:lineRule="auto"/>
        <w:rPr>
          <w:rFonts w:ascii="宋体"/>
          <w:color w:val="auto"/>
          <w:sz w:val="24"/>
          <w:highlight w:val="none"/>
        </w:rPr>
      </w:pPr>
    </w:p>
    <w:p w14:paraId="6B48638D">
      <w:pPr>
        <w:spacing w:line="360" w:lineRule="auto"/>
        <w:rPr>
          <w:rFonts w:ascii="宋体"/>
          <w:color w:val="auto"/>
          <w:sz w:val="24"/>
          <w:highlight w:val="none"/>
        </w:rPr>
      </w:pPr>
    </w:p>
    <w:p w14:paraId="7683CDE5">
      <w:pPr>
        <w:spacing w:line="360" w:lineRule="auto"/>
        <w:rPr>
          <w:rFonts w:ascii="宋体"/>
          <w:color w:val="auto"/>
          <w:sz w:val="24"/>
          <w:highlight w:val="none"/>
        </w:rPr>
      </w:pPr>
    </w:p>
    <w:p w14:paraId="5E12031D">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7346C4C6">
      <w:pPr>
        <w:spacing w:line="360" w:lineRule="auto"/>
        <w:rPr>
          <w:rFonts w:ascii="仿宋_GB2312" w:eastAsia="仿宋_GB2312"/>
          <w:color w:val="auto"/>
          <w:sz w:val="30"/>
          <w:szCs w:val="30"/>
          <w:highlight w:val="none"/>
        </w:rPr>
      </w:pPr>
    </w:p>
    <w:p w14:paraId="2AE2993B">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67A480D6">
      <w:pPr>
        <w:spacing w:line="480" w:lineRule="exact"/>
        <w:jc w:val="center"/>
        <w:rPr>
          <w:rFonts w:ascii="宋体" w:hAnsi="宋体"/>
          <w:b/>
          <w:color w:val="auto"/>
          <w:sz w:val="30"/>
          <w:szCs w:val="30"/>
          <w:highlight w:val="none"/>
        </w:rPr>
      </w:pPr>
    </w:p>
    <w:p w14:paraId="66369AE4">
      <w:pPr>
        <w:spacing w:line="480" w:lineRule="exact"/>
        <w:rPr>
          <w:rFonts w:ascii="黑体" w:eastAsia="黑体"/>
          <w:b/>
          <w:bCs/>
          <w:color w:val="auto"/>
          <w:szCs w:val="21"/>
          <w:highlight w:val="none"/>
        </w:rPr>
      </w:pPr>
    </w:p>
    <w:p w14:paraId="7CBD4F26">
      <w:pPr>
        <w:jc w:val="center"/>
        <w:rPr>
          <w:rFonts w:hint="eastAsia" w:ascii="宋体" w:hAnsi="宋体" w:cs="宋体"/>
          <w:b/>
          <w:color w:val="auto"/>
          <w:sz w:val="30"/>
          <w:szCs w:val="30"/>
          <w:highlight w:val="none"/>
        </w:rPr>
        <w:sectPr>
          <w:footerReference r:id="rId10" w:type="default"/>
          <w:pgSz w:w="11906" w:h="16838"/>
          <w:pgMar w:top="1418" w:right="1418" w:bottom="1276" w:left="1418" w:header="680" w:footer="680" w:gutter="0"/>
          <w:pgNumType w:fmt="decimal"/>
          <w:cols w:space="720" w:num="1"/>
          <w:docGrid w:type="lines" w:linePitch="312" w:charSpace="0"/>
        </w:sectPr>
      </w:pPr>
    </w:p>
    <w:p w14:paraId="440108AD">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录</w:t>
      </w:r>
    </w:p>
    <w:p w14:paraId="20013CA7">
      <w:pPr>
        <w:numPr>
          <w:ilvl w:val="0"/>
          <w:numId w:val="0"/>
        </w:numPr>
        <w:spacing w:line="480" w:lineRule="auto"/>
        <w:ind w:left="-60" w:leftChars="0" w:firstLine="480" w:firstLineChars="0"/>
        <w:rPr>
          <w:rFonts w:ascii="宋体" w:cs="宋体"/>
          <w:color w:val="auto"/>
          <w:sz w:val="24"/>
          <w:highlight w:val="none"/>
        </w:rPr>
      </w:pPr>
      <w:r>
        <w:rPr>
          <w:rFonts w:ascii="宋体" w:hAnsi="Times New Roman" w:eastAsia="宋体" w:cs="Times New Roman"/>
          <w:color w:val="auto"/>
          <w:kern w:val="2"/>
          <w:sz w:val="24"/>
          <w:lang w:val="en-US" w:eastAsia="zh-CN" w:bidi="ar-SA"/>
        </w:rPr>
        <w:t>一、</w:t>
      </w:r>
      <w:r>
        <w:rPr>
          <w:rFonts w:hint="eastAsia" w:ascii="宋体" w:hAnsi="宋体" w:cs="宋体"/>
          <w:color w:val="auto"/>
          <w:sz w:val="24"/>
          <w:highlight w:val="none"/>
        </w:rPr>
        <w:t>磋商响应函</w:t>
      </w:r>
    </w:p>
    <w:p w14:paraId="37009D0B">
      <w:pPr>
        <w:numPr>
          <w:ilvl w:val="0"/>
          <w:numId w:val="0"/>
        </w:numPr>
        <w:spacing w:line="480" w:lineRule="auto"/>
        <w:ind w:left="-60" w:leftChars="0" w:firstLine="480" w:firstLineChars="0"/>
        <w:rPr>
          <w:rFonts w:ascii="宋体" w:cs="宋体"/>
          <w:color w:val="auto"/>
          <w:sz w:val="24"/>
          <w:highlight w:val="none"/>
        </w:rPr>
      </w:pPr>
      <w:r>
        <w:rPr>
          <w:rFonts w:ascii="宋体" w:hAnsi="Times New Roman" w:eastAsia="宋体" w:cs="Times New Roman"/>
          <w:color w:val="auto"/>
          <w:kern w:val="2"/>
          <w:sz w:val="24"/>
          <w:lang w:val="en-US" w:eastAsia="zh-CN" w:bidi="ar-SA"/>
        </w:rPr>
        <w:t>二、</w:t>
      </w:r>
      <w:r>
        <w:rPr>
          <w:rFonts w:hint="eastAsia" w:ascii="宋体" w:hAnsi="宋体" w:cs="宋体"/>
          <w:color w:val="auto"/>
          <w:sz w:val="24"/>
          <w:highlight w:val="none"/>
        </w:rPr>
        <w:t>报价表</w:t>
      </w:r>
    </w:p>
    <w:p w14:paraId="1550AAB7">
      <w:pPr>
        <w:numPr>
          <w:ilvl w:val="0"/>
          <w:numId w:val="0"/>
        </w:numPr>
        <w:spacing w:line="480" w:lineRule="auto"/>
        <w:ind w:left="-60" w:leftChars="0" w:firstLine="480" w:firstLineChars="0"/>
        <w:rPr>
          <w:rFonts w:ascii="宋体" w:cs="宋体"/>
          <w:color w:val="auto"/>
          <w:sz w:val="24"/>
          <w:highlight w:val="none"/>
        </w:rPr>
      </w:pPr>
      <w:r>
        <w:rPr>
          <w:rFonts w:ascii="宋体" w:hAnsi="Times New Roman" w:eastAsia="宋体" w:cs="Times New Roman"/>
          <w:color w:val="auto"/>
          <w:kern w:val="2"/>
          <w:sz w:val="24"/>
          <w:lang w:val="en-US" w:eastAsia="zh-CN" w:bidi="ar-SA"/>
        </w:rPr>
        <w:t>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响应表</w:t>
      </w:r>
    </w:p>
    <w:p w14:paraId="273F9FCC">
      <w:pPr>
        <w:numPr>
          <w:ilvl w:val="0"/>
          <w:numId w:val="0"/>
        </w:numPr>
        <w:spacing w:line="480" w:lineRule="auto"/>
        <w:ind w:left="-60" w:leftChars="0" w:firstLine="480" w:firstLineChars="0"/>
        <w:rPr>
          <w:color w:val="auto"/>
          <w:highlight w:val="none"/>
        </w:rPr>
      </w:pPr>
      <w:r>
        <w:rPr>
          <w:rFonts w:ascii="Times New Roman" w:hAnsi="Times New Roman" w:eastAsia="宋体" w:cs="Times New Roman"/>
          <w:color w:val="auto"/>
          <w:kern w:val="2"/>
          <w:sz w:val="21"/>
          <w:lang w:val="en-US" w:eastAsia="zh-CN" w:bidi="ar-SA"/>
        </w:rPr>
        <w:t>四、</w:t>
      </w:r>
      <w:r>
        <w:rPr>
          <w:rFonts w:hint="eastAsia" w:ascii="宋体" w:hAnsi="宋体" w:cs="宋体"/>
          <w:color w:val="auto"/>
          <w:sz w:val="24"/>
          <w:highlight w:val="none"/>
        </w:rPr>
        <w:t>最后报价表</w:t>
      </w:r>
    </w:p>
    <w:p w14:paraId="15EA1024">
      <w:pPr>
        <w:numPr>
          <w:ilvl w:val="0"/>
          <w:numId w:val="0"/>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eastAsia="宋体" w:cs="Times New Roman"/>
          <w:color w:val="auto"/>
          <w:kern w:val="2"/>
          <w:sz w:val="24"/>
          <w:lang w:val="en-US" w:eastAsia="zh-CN" w:bidi="ar-SA"/>
        </w:rPr>
        <w:t>五、</w:t>
      </w: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及技术方案</w:t>
      </w:r>
    </w:p>
    <w:p w14:paraId="7B07C3B6">
      <w:pPr>
        <w:numPr>
          <w:ilvl w:val="0"/>
          <w:numId w:val="0"/>
        </w:numPr>
        <w:spacing w:line="480" w:lineRule="auto"/>
        <w:ind w:left="-60" w:leftChars="0" w:firstLine="480" w:firstLineChars="0"/>
        <w:rPr>
          <w:rFonts w:hint="eastAsia" w:ascii="宋体" w:hAnsi="宋体" w:cs="宋体"/>
          <w:color w:val="auto"/>
          <w:sz w:val="24"/>
          <w:highlight w:val="none"/>
        </w:rPr>
      </w:pPr>
      <w:r>
        <w:rPr>
          <w:rFonts w:hint="eastAsia" w:ascii="宋体" w:hAnsi="宋体" w:eastAsia="宋体" w:cs="Times New Roman"/>
          <w:color w:val="auto"/>
          <w:kern w:val="2"/>
          <w:sz w:val="24"/>
          <w:lang w:val="en-US" w:eastAsia="zh-CN" w:bidi="ar-SA"/>
        </w:rPr>
        <w:t>六、</w:t>
      </w:r>
      <w:r>
        <w:rPr>
          <w:rFonts w:hint="eastAsia" w:ascii="宋体" w:hAnsi="宋体" w:cs="宋体"/>
          <w:color w:val="auto"/>
          <w:sz w:val="24"/>
          <w:highlight w:val="none"/>
        </w:rPr>
        <w:t>诚信响应承诺书</w:t>
      </w:r>
    </w:p>
    <w:p w14:paraId="531521CD">
      <w:pPr>
        <w:numPr>
          <w:ilvl w:val="0"/>
          <w:numId w:val="0"/>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cs="Times New Roman"/>
          <w:color w:val="auto"/>
          <w:kern w:val="2"/>
          <w:sz w:val="24"/>
          <w:lang w:val="en-US" w:eastAsia="zh-CN" w:bidi="ar-SA"/>
        </w:rPr>
        <w:t>七</w:t>
      </w:r>
      <w:r>
        <w:rPr>
          <w:rFonts w:hint="eastAsia" w:ascii="宋体" w:hAnsi="宋体" w:eastAsia="宋体" w:cs="Times New Roman"/>
          <w:color w:val="auto"/>
          <w:kern w:val="2"/>
          <w:sz w:val="24"/>
          <w:lang w:val="en-US" w:eastAsia="zh-CN" w:bidi="ar-SA"/>
        </w:rPr>
        <w:t>、</w:t>
      </w:r>
      <w:r>
        <w:rPr>
          <w:rFonts w:hint="eastAsia" w:ascii="宋体" w:hAnsi="宋体" w:cs="宋体"/>
          <w:color w:val="auto"/>
          <w:sz w:val="24"/>
          <w:highlight w:val="none"/>
          <w:lang w:val="en-US" w:eastAsia="zh-CN"/>
        </w:rPr>
        <w:t>供应商声明函</w:t>
      </w:r>
    </w:p>
    <w:p w14:paraId="32C664C2">
      <w:pPr>
        <w:numPr>
          <w:ilvl w:val="0"/>
          <w:numId w:val="0"/>
        </w:numPr>
        <w:spacing w:line="480" w:lineRule="auto"/>
        <w:ind w:left="-60" w:leftChars="0" w:firstLine="480" w:firstLineChars="0"/>
        <w:rPr>
          <w:rFonts w:hint="default" w:ascii="宋体" w:hAnsi="宋体" w:cs="宋体"/>
          <w:color w:val="auto"/>
          <w:sz w:val="24"/>
          <w:highlight w:val="none"/>
          <w:lang w:val="en-US" w:eastAsia="zh-CN"/>
        </w:rPr>
      </w:pPr>
      <w:r>
        <w:rPr>
          <w:rFonts w:hint="eastAsia" w:ascii="宋体" w:hAnsi="宋体" w:cs="Times New Roman"/>
          <w:color w:val="auto"/>
          <w:kern w:val="2"/>
          <w:sz w:val="24"/>
          <w:lang w:val="en-US" w:eastAsia="zh-CN" w:bidi="ar-SA"/>
        </w:rPr>
        <w:t>八</w:t>
      </w:r>
      <w:r>
        <w:rPr>
          <w:rFonts w:hint="default" w:ascii="宋体" w:hAnsi="宋体" w:eastAsia="宋体" w:cs="Times New Roman"/>
          <w:color w:val="auto"/>
          <w:kern w:val="2"/>
          <w:sz w:val="24"/>
          <w:lang w:val="en-US" w:eastAsia="zh-CN" w:bidi="ar-SA"/>
        </w:rPr>
        <w:t>、</w:t>
      </w:r>
      <w:r>
        <w:rPr>
          <w:rFonts w:hint="eastAsia" w:ascii="宋体" w:hAnsi="宋体" w:cs="宋体"/>
          <w:color w:val="auto"/>
          <w:sz w:val="24"/>
          <w:highlight w:val="none"/>
          <w:lang w:val="en-US" w:eastAsia="zh-CN"/>
        </w:rPr>
        <w:t>证明材料</w:t>
      </w:r>
    </w:p>
    <w:p w14:paraId="7BED029D">
      <w:pPr>
        <w:pStyle w:val="75"/>
        <w:rPr>
          <w:rFonts w:hint="default"/>
          <w:color w:val="auto"/>
          <w:highlight w:val="none"/>
          <w:lang w:val="en-US" w:eastAsia="zh-CN"/>
        </w:rPr>
      </w:pPr>
    </w:p>
    <w:p w14:paraId="0C8E0206">
      <w:pPr>
        <w:spacing w:line="480" w:lineRule="auto"/>
        <w:ind w:firstLine="480" w:firstLineChars="200"/>
        <w:rPr>
          <w:rFonts w:ascii="宋体" w:hAnsi="宋体" w:cs="宋体"/>
          <w:color w:val="auto"/>
          <w:sz w:val="24"/>
          <w:highlight w:val="none"/>
        </w:rPr>
      </w:pPr>
    </w:p>
    <w:p w14:paraId="17E987D4">
      <w:pPr>
        <w:spacing w:line="480" w:lineRule="auto"/>
        <w:ind w:firstLine="480" w:firstLineChars="200"/>
        <w:rPr>
          <w:rFonts w:ascii="宋体" w:cs="宋体"/>
          <w:color w:val="auto"/>
          <w:sz w:val="24"/>
          <w:highlight w:val="none"/>
        </w:rPr>
      </w:pPr>
    </w:p>
    <w:p w14:paraId="7651A476">
      <w:pPr>
        <w:spacing w:line="360" w:lineRule="auto"/>
        <w:ind w:firstLine="480" w:firstLineChars="200"/>
        <w:rPr>
          <w:rFonts w:ascii="宋体" w:cs="宋体"/>
          <w:color w:val="auto"/>
          <w:sz w:val="24"/>
          <w:highlight w:val="none"/>
        </w:rPr>
      </w:pPr>
    </w:p>
    <w:p w14:paraId="712E3438">
      <w:pPr>
        <w:widowControl/>
        <w:jc w:val="left"/>
        <w:rPr>
          <w:rFonts w:ascii="宋体" w:cs="宋体"/>
          <w:color w:val="auto"/>
          <w:sz w:val="24"/>
          <w:highlight w:val="none"/>
        </w:rPr>
      </w:pPr>
      <w:r>
        <w:rPr>
          <w:rFonts w:ascii="宋体" w:cs="宋体"/>
          <w:color w:val="auto"/>
          <w:sz w:val="24"/>
          <w:highlight w:val="none"/>
        </w:rPr>
        <w:br w:type="page"/>
      </w:r>
    </w:p>
    <w:p w14:paraId="1DC3A786">
      <w:pPr>
        <w:pStyle w:val="5"/>
        <w:jc w:val="center"/>
        <w:rPr>
          <w:rFonts w:cs="宋体"/>
          <w:color w:val="auto"/>
          <w:sz w:val="28"/>
          <w:szCs w:val="28"/>
          <w:highlight w:val="none"/>
        </w:rPr>
      </w:pPr>
      <w:bookmarkStart w:id="107" w:name="_Toc476584433"/>
      <w:bookmarkStart w:id="108" w:name="_Toc54941342"/>
      <w:r>
        <w:rPr>
          <w:rFonts w:hint="eastAsia" w:cs="宋体"/>
          <w:color w:val="auto"/>
          <w:sz w:val="28"/>
          <w:szCs w:val="28"/>
          <w:highlight w:val="none"/>
        </w:rPr>
        <w:t>一、磋商响应函</w:t>
      </w:r>
      <w:bookmarkEnd w:id="107"/>
      <w:bookmarkEnd w:id="108"/>
    </w:p>
    <w:p w14:paraId="401F9CF3">
      <w:pPr>
        <w:pStyle w:val="34"/>
        <w:spacing w:line="360" w:lineRule="auto"/>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采购人名称</w:t>
      </w:r>
      <w:r>
        <w:rPr>
          <w:rFonts w:hint="eastAsia" w:ascii="宋体" w:hAnsi="宋体"/>
          <w:color w:val="auto"/>
          <w:sz w:val="24"/>
          <w:szCs w:val="24"/>
          <w:highlight w:val="none"/>
          <w:u w:val="none"/>
          <w:lang w:eastAsia="zh-CN"/>
        </w:rPr>
        <w:t>）</w:t>
      </w:r>
    </w:p>
    <w:p w14:paraId="3EDDCA22">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9" w:name="_Hlk44287576"/>
      <w:r>
        <w:rPr>
          <w:rFonts w:hint="eastAsia" w:ascii="宋体" w:hAnsi="宋体" w:eastAsia="宋体"/>
          <w:color w:val="auto"/>
          <w:sz w:val="24"/>
          <w:highlight w:val="none"/>
        </w:rPr>
        <w:t>竞争性</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公告</w:t>
      </w:r>
      <w:bookmarkEnd w:id="109"/>
      <w:r>
        <w:rPr>
          <w:rFonts w:hint="eastAsia" w:ascii="宋体" w:hAnsi="宋体" w:eastAsia="宋体"/>
          <w:color w:val="auto"/>
          <w:sz w:val="24"/>
          <w:highlight w:val="none"/>
        </w:rPr>
        <w:t>，我方兹宣布同意如下：</w:t>
      </w:r>
    </w:p>
    <w:p w14:paraId="299D4CF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文件规定缴纳成交服务费。按本次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文件规定及最后报价承诺</w:t>
      </w:r>
      <w:r>
        <w:rPr>
          <w:rFonts w:hint="eastAsia" w:ascii="宋体" w:hAnsi="宋体"/>
          <w:color w:val="auto"/>
          <w:sz w:val="24"/>
          <w:highlight w:val="none"/>
          <w:lang w:val="en-US" w:eastAsia="zh-CN"/>
        </w:rPr>
        <w:t>提供服务</w:t>
      </w:r>
      <w:r>
        <w:rPr>
          <w:rFonts w:hint="eastAsia" w:ascii="宋体" w:hAnsi="宋体" w:eastAsia="宋体"/>
          <w:color w:val="auto"/>
          <w:sz w:val="24"/>
          <w:highlight w:val="none"/>
        </w:rPr>
        <w:t>。</w:t>
      </w:r>
    </w:p>
    <w:p w14:paraId="133A181A">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2.我方根据本次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文件的规定，严格履行合同的责任和义务</w:t>
      </w:r>
      <w:r>
        <w:rPr>
          <w:rFonts w:hint="eastAsia" w:ascii="宋体" w:hAnsi="宋体"/>
          <w:color w:val="auto"/>
          <w:sz w:val="24"/>
          <w:highlight w:val="none"/>
          <w:lang w:eastAsia="zh-CN"/>
        </w:rPr>
        <w:t>，</w:t>
      </w:r>
      <w:r>
        <w:rPr>
          <w:rFonts w:hint="eastAsia" w:ascii="宋体" w:hAnsi="宋体" w:eastAsia="宋体"/>
          <w:color w:val="auto"/>
          <w:sz w:val="24"/>
          <w:highlight w:val="none"/>
        </w:rPr>
        <w:t>并保证于甲方（采购人）要求的日期内完成服务，并通过甲方（采购人）验收。</w:t>
      </w:r>
    </w:p>
    <w:p w14:paraId="10A8E373">
      <w:pPr>
        <w:spacing w:line="360" w:lineRule="auto"/>
        <w:ind w:firstLine="480" w:firstLineChars="200"/>
        <w:rPr>
          <w:rFonts w:hint="eastAsia" w:ascii="宋体" w:hAnsi="宋体" w:eastAsia="宋体"/>
          <w:color w:val="auto"/>
          <w:sz w:val="24"/>
          <w:highlight w:val="none"/>
        </w:rPr>
      </w:pPr>
      <w:r>
        <w:rPr>
          <w:rFonts w:hint="default" w:ascii="宋体" w:hAnsi="宋体"/>
          <w:color w:val="auto"/>
          <w:sz w:val="24"/>
          <w:highlight w:val="none"/>
          <w:lang w:val="en-US"/>
        </w:rPr>
        <w:t>3</w:t>
      </w:r>
      <w:r>
        <w:rPr>
          <w:rFonts w:hint="eastAsia" w:ascii="宋体" w:hAnsi="宋体" w:eastAsia="宋体"/>
          <w:color w:val="auto"/>
          <w:sz w:val="24"/>
          <w:highlight w:val="none"/>
        </w:rPr>
        <w:t>.我方已详细审核本次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文件，包括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文件附件、参考资料、</w:t>
      </w:r>
      <w:r>
        <w:rPr>
          <w:rFonts w:hint="eastAsia" w:ascii="宋体" w:hAnsi="宋体"/>
          <w:color w:val="auto"/>
          <w:sz w:val="24"/>
          <w:highlight w:val="none"/>
          <w:lang w:val="en-US" w:eastAsia="zh-CN"/>
        </w:rPr>
        <w:t>更正公告</w:t>
      </w:r>
      <w:r>
        <w:rPr>
          <w:rFonts w:hint="eastAsia" w:ascii="宋体" w:hAnsi="宋体" w:eastAsia="宋体"/>
          <w:color w:val="auto"/>
          <w:sz w:val="24"/>
          <w:highlight w:val="none"/>
        </w:rPr>
        <w:t>或图纸（如有），我方正式认可并遵守本次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文件，并对</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文件各项条款、规定及要求均无异议。</w:t>
      </w:r>
    </w:p>
    <w:p w14:paraId="1BF72492">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4</w:t>
      </w:r>
      <w:r>
        <w:rPr>
          <w:rFonts w:hint="eastAsia" w:ascii="宋体" w:hAnsi="宋体" w:eastAsia="宋体"/>
          <w:color w:val="auto"/>
          <w:sz w:val="24"/>
          <w:highlight w:val="none"/>
        </w:rPr>
        <w:t>.我方同意从供应商须知规定的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文件，并在供应商须知规定的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有效期之前均具有约束力。</w:t>
      </w:r>
    </w:p>
    <w:p w14:paraId="3ADCA02F">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5</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有关的任何证据或补充资料，否则，我方的响应文件可被贵方拒绝。</w:t>
      </w:r>
    </w:p>
    <w:p w14:paraId="7CE5175D">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6</w:t>
      </w:r>
      <w:r>
        <w:rPr>
          <w:rFonts w:hint="eastAsia" w:ascii="宋体" w:hAnsi="宋体" w:eastAsia="宋体"/>
          <w:color w:val="auto"/>
          <w:sz w:val="24"/>
          <w:highlight w:val="none"/>
        </w:rPr>
        <w:t>.我方完全理解贵方不一定接受最低报价的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w:t>
      </w:r>
    </w:p>
    <w:p w14:paraId="2E38C81B">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7</w:t>
      </w:r>
      <w:r>
        <w:rPr>
          <w:rFonts w:hint="eastAsia" w:ascii="宋体" w:hAnsi="宋体" w:eastAsia="宋体"/>
          <w:color w:val="auto"/>
          <w:sz w:val="24"/>
          <w:highlight w:val="none"/>
        </w:rPr>
        <w:t>.我方同意</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文件规定的付款方式、服务期限。</w:t>
      </w:r>
    </w:p>
    <w:p w14:paraId="60800EF6">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8</w:t>
      </w:r>
      <w:r>
        <w:rPr>
          <w:rFonts w:hint="eastAsia" w:ascii="宋体" w:hAnsi="宋体" w:eastAsia="宋体"/>
          <w:color w:val="auto"/>
          <w:sz w:val="24"/>
          <w:highlight w:val="none"/>
        </w:rPr>
        <w:t>.我方对响应文件中所提供资料、文件、证书及证件的真实性和有效性负责。</w:t>
      </w:r>
    </w:p>
    <w:p w14:paraId="2C09EEB5">
      <w:pPr>
        <w:spacing w:line="360" w:lineRule="auto"/>
        <w:ind w:firstLine="480" w:firstLineChars="200"/>
        <w:rPr>
          <w:rFonts w:ascii="宋体" w:hAnsi="宋体" w:eastAsia="宋体"/>
          <w:color w:val="auto"/>
          <w:sz w:val="24"/>
          <w:highlight w:val="none"/>
        </w:rPr>
      </w:pPr>
    </w:p>
    <w:p w14:paraId="78A101DB">
      <w:pPr>
        <w:pStyle w:val="31"/>
        <w:tabs>
          <w:tab w:val="left" w:pos="5580"/>
        </w:tabs>
        <w:spacing w:line="480" w:lineRule="auto"/>
        <w:ind w:firstLine="3570" w:firstLineChars="1700"/>
        <w:rPr>
          <w:rFonts w:hint="eastAsia" w:hAnsi="宋体" w:cs="宋体"/>
          <w:color w:val="auto"/>
          <w:highlight w:val="none"/>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CB819B2">
      <w:pPr>
        <w:pStyle w:val="31"/>
        <w:tabs>
          <w:tab w:val="left" w:pos="5580"/>
        </w:tabs>
        <w:spacing w:line="480" w:lineRule="auto"/>
        <w:ind w:firstLine="3570" w:firstLineChars="1700"/>
        <w:rPr>
          <w:rFonts w:hint="eastAsia" w:hAnsi="宋体" w:cs="宋体"/>
          <w:color w:val="auto"/>
          <w:highlight w:val="none"/>
        </w:rPr>
      </w:pPr>
    </w:p>
    <w:p w14:paraId="69A3E89C">
      <w:pPr>
        <w:pStyle w:val="31"/>
        <w:tabs>
          <w:tab w:val="left" w:pos="5580"/>
        </w:tabs>
        <w:spacing w:line="480" w:lineRule="auto"/>
        <w:ind w:firstLine="3570" w:firstLineChars="1700"/>
        <w:rPr>
          <w:rFonts w:hint="eastAsia" w:hAnsi="宋体" w:cs="宋体"/>
          <w:color w:val="auto"/>
          <w:highlight w:val="none"/>
        </w:rPr>
      </w:pPr>
    </w:p>
    <w:p w14:paraId="4EB795B1">
      <w:pPr>
        <w:pStyle w:val="31"/>
        <w:tabs>
          <w:tab w:val="left" w:pos="5580"/>
        </w:tabs>
        <w:spacing w:line="480" w:lineRule="auto"/>
        <w:rPr>
          <w:rFonts w:hint="eastAsia" w:hAnsi="宋体" w:cs="宋体"/>
          <w:color w:val="auto"/>
          <w:highlight w:val="none"/>
        </w:rPr>
      </w:pPr>
    </w:p>
    <w:p w14:paraId="554C73BE">
      <w:pPr>
        <w:pStyle w:val="31"/>
        <w:tabs>
          <w:tab w:val="left" w:pos="5580"/>
        </w:tabs>
        <w:spacing w:line="480" w:lineRule="auto"/>
        <w:rPr>
          <w:rFonts w:hint="eastAsia" w:hAnsi="宋体" w:cs="宋体"/>
          <w:color w:val="auto"/>
          <w:highlight w:val="none"/>
        </w:rPr>
      </w:pPr>
    </w:p>
    <w:p w14:paraId="316A5DC2">
      <w:pPr>
        <w:pStyle w:val="31"/>
        <w:tabs>
          <w:tab w:val="left" w:pos="5580"/>
        </w:tabs>
        <w:spacing w:line="480" w:lineRule="auto"/>
        <w:rPr>
          <w:rFonts w:hint="eastAsia" w:hAnsi="宋体" w:cs="宋体"/>
          <w:color w:val="auto"/>
          <w:highlight w:val="none"/>
        </w:rPr>
      </w:pPr>
    </w:p>
    <w:p w14:paraId="541FF787">
      <w:pPr>
        <w:pStyle w:val="31"/>
        <w:tabs>
          <w:tab w:val="left" w:pos="5580"/>
        </w:tabs>
        <w:spacing w:line="480" w:lineRule="auto"/>
        <w:rPr>
          <w:rFonts w:hint="eastAsia" w:hAnsi="宋体" w:cs="宋体"/>
          <w:color w:val="auto"/>
          <w:highlight w:val="none"/>
        </w:rPr>
      </w:pPr>
    </w:p>
    <w:p w14:paraId="2AB88B26">
      <w:pPr>
        <w:pStyle w:val="31"/>
        <w:tabs>
          <w:tab w:val="left" w:pos="5580"/>
        </w:tabs>
        <w:spacing w:line="480" w:lineRule="auto"/>
        <w:rPr>
          <w:rFonts w:hint="eastAsia" w:hAnsi="宋体" w:cs="宋体"/>
          <w:color w:val="auto"/>
          <w:highlight w:val="none"/>
        </w:rPr>
      </w:pPr>
    </w:p>
    <w:p w14:paraId="16F67EE3">
      <w:pPr>
        <w:pStyle w:val="31"/>
        <w:tabs>
          <w:tab w:val="left" w:pos="5580"/>
        </w:tabs>
        <w:spacing w:line="480" w:lineRule="auto"/>
        <w:rPr>
          <w:rFonts w:hint="eastAsia" w:hAnsi="宋体" w:cs="宋体"/>
          <w:color w:val="auto"/>
          <w:highlight w:val="none"/>
        </w:rPr>
      </w:pPr>
    </w:p>
    <w:p w14:paraId="1306ACB4">
      <w:pPr>
        <w:pStyle w:val="5"/>
        <w:numPr>
          <w:ilvl w:val="0"/>
          <w:numId w:val="10"/>
        </w:numPr>
        <w:jc w:val="center"/>
        <w:rPr>
          <w:rFonts w:cs="宋体"/>
          <w:color w:val="auto"/>
          <w:sz w:val="28"/>
          <w:szCs w:val="28"/>
          <w:highlight w:val="none"/>
        </w:rPr>
      </w:pPr>
      <w:bookmarkStart w:id="110" w:name="_Toc54941343"/>
      <w:bookmarkStart w:id="111" w:name="_Toc476584434"/>
      <w:bookmarkStart w:id="112" w:name="_Toc28034"/>
      <w:bookmarkStart w:id="113" w:name="_Toc27341"/>
      <w:bookmarkStart w:id="114" w:name="_Toc388283751"/>
      <w:r>
        <w:rPr>
          <w:rFonts w:hint="eastAsia" w:cs="宋体"/>
          <w:color w:val="auto"/>
          <w:sz w:val="28"/>
          <w:szCs w:val="28"/>
          <w:highlight w:val="none"/>
        </w:rPr>
        <w:t>报价表</w:t>
      </w:r>
      <w:bookmarkEnd w:id="110"/>
      <w:bookmarkEnd w:id="111"/>
      <w:bookmarkEnd w:id="112"/>
    </w:p>
    <w:p w14:paraId="7700FA3B">
      <w:pPr>
        <w:rPr>
          <w:rFonts w:hint="eastAsia" w:hAnsi="宋体" w:eastAsia="宋体" w:cs="宋体"/>
          <w:color w:val="auto"/>
          <w:kern w:val="2"/>
          <w:sz w:val="28"/>
          <w:szCs w:val="28"/>
          <w:highlight w:val="none"/>
          <w:lang w:val="en-US" w:eastAsia="zh-CN" w:bidi="ar-SA"/>
        </w:rPr>
      </w:pPr>
      <w:r>
        <w:rPr>
          <w:rFonts w:hint="eastAsia" w:ascii="Times New Roman" w:hAnsi="宋体" w:eastAsia="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3A94B585">
      <w:pPr>
        <w:snapToGrid w:val="0"/>
        <w:spacing w:line="360" w:lineRule="auto"/>
        <w:jc w:val="left"/>
        <w:rPr>
          <w:rFonts w:hint="eastAsia" w:ascii="宋体" w:hAnsi="宋体" w:eastAsia="宋体"/>
          <w:b/>
          <w:color w:val="auto"/>
          <w:sz w:val="24"/>
          <w:szCs w:val="28"/>
          <w:highlight w:val="none"/>
        </w:rPr>
      </w:pPr>
    </w:p>
    <w:p w14:paraId="7B659C22">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3D1475A">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77B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4DEE18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2FDCCA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31785FD0">
            <w:pPr>
              <w:snapToGrid w:val="0"/>
              <w:spacing w:line="360" w:lineRule="auto"/>
              <w:jc w:val="center"/>
              <w:rPr>
                <w:rFonts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7257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600767F7">
            <w:pPr>
              <w:spacing w:line="360" w:lineRule="auto"/>
              <w:jc w:val="center"/>
              <w:rPr>
                <w:rFonts w:ascii="宋体" w:hAnsi="宋体" w:eastAsia="宋体"/>
                <w:b/>
                <w:color w:val="auto"/>
                <w:sz w:val="24"/>
                <w:highlight w:val="none"/>
              </w:rPr>
            </w:pPr>
          </w:p>
        </w:tc>
        <w:tc>
          <w:tcPr>
            <w:tcW w:w="3556" w:type="pct"/>
            <w:vAlign w:val="center"/>
          </w:tcPr>
          <w:p w14:paraId="113B1FCB">
            <w:pPr>
              <w:snapToGrid w:val="0"/>
              <w:spacing w:line="360" w:lineRule="auto"/>
              <w:jc w:val="center"/>
              <w:rPr>
                <w:rFonts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210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587EC40">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5915F05">
            <w:pPr>
              <w:spacing w:line="360" w:lineRule="auto"/>
              <w:rPr>
                <w:rFonts w:ascii="宋体" w:hAnsi="宋体" w:eastAsia="宋体"/>
                <w:b/>
                <w:color w:val="auto"/>
                <w:sz w:val="24"/>
                <w:highlight w:val="none"/>
              </w:rPr>
            </w:pPr>
          </w:p>
        </w:tc>
      </w:tr>
    </w:tbl>
    <w:p w14:paraId="02A0A169">
      <w:pPr>
        <w:snapToGrid w:val="0"/>
        <w:spacing w:after="156" w:afterLines="50" w:line="360" w:lineRule="auto"/>
        <w:jc w:val="left"/>
        <w:rPr>
          <w:rFonts w:ascii="宋体" w:hAnsi="宋体" w:eastAsia="宋体"/>
          <w:b/>
          <w:bCs/>
          <w:color w:val="auto"/>
          <w:sz w:val="24"/>
          <w:szCs w:val="28"/>
          <w:highlight w:val="none"/>
          <w:u w:val="single"/>
        </w:rPr>
      </w:pPr>
    </w:p>
    <w:p w14:paraId="3E6DBFAB">
      <w:pPr>
        <w:spacing w:line="440" w:lineRule="exact"/>
        <w:ind w:firstLine="4800" w:firstLineChars="2000"/>
        <w:rPr>
          <w:rFonts w:hint="eastAsia" w:ascii="宋体" w:hAnsi="宋体" w:eastAsia="宋体"/>
          <w:color w:val="auto"/>
          <w:sz w:val="24"/>
          <w:szCs w:val="24"/>
          <w:highlight w:val="none"/>
        </w:rPr>
      </w:pPr>
    </w:p>
    <w:p w14:paraId="4C1018EE">
      <w:pPr>
        <w:spacing w:line="440" w:lineRule="exact"/>
        <w:ind w:firstLine="4800" w:firstLineChars="2000"/>
        <w:rPr>
          <w:rFonts w:hint="eastAsia" w:ascii="宋体" w:hAnsi="宋体" w:eastAsia="宋体"/>
          <w:color w:val="auto"/>
          <w:sz w:val="24"/>
          <w:szCs w:val="24"/>
          <w:highlight w:val="none"/>
        </w:rPr>
      </w:pPr>
    </w:p>
    <w:p w14:paraId="65E12C45">
      <w:pPr>
        <w:spacing w:line="440" w:lineRule="exact"/>
        <w:ind w:firstLine="4800" w:firstLineChars="2000"/>
        <w:rPr>
          <w:rFonts w:hint="eastAsia" w:ascii="宋体" w:hAnsi="宋体" w:eastAsia="宋体"/>
          <w:color w:val="auto"/>
          <w:sz w:val="24"/>
          <w:szCs w:val="24"/>
          <w:highlight w:val="none"/>
        </w:rPr>
      </w:pPr>
    </w:p>
    <w:p w14:paraId="2648EF19">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24319C2">
      <w:pPr>
        <w:spacing w:line="360" w:lineRule="auto"/>
        <w:ind w:firstLine="3600" w:firstLineChars="1500"/>
        <w:rPr>
          <w:rFonts w:hint="eastAsia" w:ascii="宋体" w:hAnsi="宋体" w:eastAsia="宋体"/>
          <w:color w:val="auto"/>
          <w:sz w:val="24"/>
          <w:highlight w:val="none"/>
        </w:rPr>
      </w:pPr>
    </w:p>
    <w:p w14:paraId="445679F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4190F94">
      <w:pPr>
        <w:rPr>
          <w:rFonts w:hint="eastAsia" w:hAnsi="宋体" w:cs="宋体"/>
          <w:color w:val="auto"/>
          <w:sz w:val="28"/>
          <w:szCs w:val="28"/>
          <w:highlight w:val="none"/>
          <w:lang w:val="en-US" w:eastAsia="zh-CN"/>
        </w:rPr>
      </w:pPr>
    </w:p>
    <w:p w14:paraId="787582B6">
      <w:pPr>
        <w:rPr>
          <w:rFonts w:hint="eastAsia" w:hAnsi="宋体" w:cs="宋体"/>
          <w:color w:val="auto"/>
          <w:sz w:val="28"/>
          <w:szCs w:val="28"/>
          <w:highlight w:val="none"/>
          <w:lang w:val="en-US" w:eastAsia="zh-CN"/>
        </w:rPr>
      </w:pPr>
    </w:p>
    <w:p w14:paraId="16CEC009">
      <w:pPr>
        <w:rPr>
          <w:rFonts w:hint="eastAsia" w:hAnsi="宋体" w:cs="宋体"/>
          <w:color w:val="auto"/>
          <w:sz w:val="28"/>
          <w:szCs w:val="28"/>
          <w:highlight w:val="none"/>
          <w:lang w:val="en-US" w:eastAsia="zh-CN"/>
        </w:rPr>
      </w:pPr>
    </w:p>
    <w:p w14:paraId="652C82A3">
      <w:pPr>
        <w:rPr>
          <w:rFonts w:hint="eastAsia" w:hAnsi="宋体" w:cs="宋体"/>
          <w:color w:val="auto"/>
          <w:sz w:val="28"/>
          <w:szCs w:val="28"/>
          <w:highlight w:val="none"/>
          <w:lang w:val="en-US" w:eastAsia="zh-CN"/>
        </w:rPr>
      </w:pPr>
    </w:p>
    <w:p w14:paraId="158D2D6C">
      <w:pPr>
        <w:rPr>
          <w:rFonts w:hint="eastAsia" w:hAnsi="宋体" w:cs="宋体"/>
          <w:color w:val="auto"/>
          <w:sz w:val="28"/>
          <w:szCs w:val="28"/>
          <w:highlight w:val="none"/>
          <w:lang w:val="en-US" w:eastAsia="zh-CN"/>
        </w:rPr>
      </w:pPr>
    </w:p>
    <w:p w14:paraId="416634EA">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88"/>
        <w:gridCol w:w="1478"/>
        <w:gridCol w:w="1850"/>
        <w:gridCol w:w="1709"/>
      </w:tblGrid>
      <w:tr w14:paraId="4043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4941A238">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vAlign w:val="center"/>
          </w:tcPr>
          <w:p w14:paraId="24F1EA8B">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54F1FD0B">
            <w:pPr>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套</w:t>
            </w:r>
          </w:p>
        </w:tc>
        <w:tc>
          <w:tcPr>
            <w:tcW w:w="996" w:type="pct"/>
            <w:vAlign w:val="center"/>
          </w:tcPr>
          <w:p w14:paraId="38ADC1D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20" w:type="pct"/>
            <w:vAlign w:val="center"/>
          </w:tcPr>
          <w:p w14:paraId="62976AD2">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00C3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E9D920F">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vAlign w:val="center"/>
          </w:tcPr>
          <w:p w14:paraId="74F5F937">
            <w:pPr>
              <w:jc w:val="center"/>
              <w:rPr>
                <w:rFonts w:ascii="宋体" w:hAnsi="宋体" w:eastAsia="宋体"/>
                <w:color w:val="auto"/>
                <w:sz w:val="24"/>
                <w:highlight w:val="none"/>
              </w:rPr>
            </w:pPr>
          </w:p>
        </w:tc>
        <w:tc>
          <w:tcPr>
            <w:tcW w:w="796" w:type="pct"/>
            <w:vAlign w:val="center"/>
          </w:tcPr>
          <w:p w14:paraId="55871D67">
            <w:pPr>
              <w:jc w:val="center"/>
              <w:rPr>
                <w:rFonts w:ascii="宋体" w:hAnsi="宋体" w:eastAsia="宋体"/>
                <w:color w:val="auto"/>
                <w:sz w:val="24"/>
                <w:highlight w:val="none"/>
              </w:rPr>
            </w:pPr>
          </w:p>
        </w:tc>
        <w:tc>
          <w:tcPr>
            <w:tcW w:w="996" w:type="pct"/>
            <w:vAlign w:val="center"/>
          </w:tcPr>
          <w:p w14:paraId="145CBCA7">
            <w:pPr>
              <w:jc w:val="center"/>
              <w:rPr>
                <w:rFonts w:ascii="宋体" w:hAnsi="宋体" w:eastAsia="宋体"/>
                <w:color w:val="auto"/>
                <w:sz w:val="24"/>
                <w:highlight w:val="none"/>
              </w:rPr>
            </w:pPr>
          </w:p>
        </w:tc>
        <w:tc>
          <w:tcPr>
            <w:tcW w:w="920" w:type="pct"/>
            <w:vAlign w:val="center"/>
          </w:tcPr>
          <w:p w14:paraId="18CDBE3B">
            <w:pPr>
              <w:jc w:val="center"/>
              <w:rPr>
                <w:rFonts w:ascii="宋体" w:hAnsi="宋体" w:eastAsia="宋体"/>
                <w:color w:val="auto"/>
                <w:sz w:val="24"/>
                <w:highlight w:val="none"/>
              </w:rPr>
            </w:pPr>
          </w:p>
        </w:tc>
      </w:tr>
      <w:tr w14:paraId="60B8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E083FFD">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vAlign w:val="center"/>
          </w:tcPr>
          <w:p w14:paraId="2D2437D5">
            <w:pPr>
              <w:jc w:val="center"/>
              <w:rPr>
                <w:rFonts w:ascii="宋体" w:hAnsi="宋体" w:eastAsia="宋体"/>
                <w:color w:val="auto"/>
                <w:sz w:val="24"/>
                <w:highlight w:val="none"/>
              </w:rPr>
            </w:pPr>
          </w:p>
        </w:tc>
        <w:tc>
          <w:tcPr>
            <w:tcW w:w="796" w:type="pct"/>
            <w:vAlign w:val="center"/>
          </w:tcPr>
          <w:p w14:paraId="5B190B65">
            <w:pPr>
              <w:jc w:val="center"/>
              <w:rPr>
                <w:rFonts w:ascii="宋体" w:hAnsi="宋体" w:eastAsia="宋体"/>
                <w:color w:val="auto"/>
                <w:sz w:val="24"/>
                <w:highlight w:val="none"/>
              </w:rPr>
            </w:pPr>
          </w:p>
        </w:tc>
        <w:tc>
          <w:tcPr>
            <w:tcW w:w="996" w:type="pct"/>
            <w:vAlign w:val="center"/>
          </w:tcPr>
          <w:p w14:paraId="63E2D597">
            <w:pPr>
              <w:jc w:val="center"/>
              <w:rPr>
                <w:rFonts w:ascii="宋体" w:hAnsi="宋体" w:eastAsia="宋体"/>
                <w:color w:val="auto"/>
                <w:sz w:val="24"/>
                <w:highlight w:val="none"/>
              </w:rPr>
            </w:pPr>
          </w:p>
        </w:tc>
        <w:tc>
          <w:tcPr>
            <w:tcW w:w="920" w:type="pct"/>
            <w:vAlign w:val="center"/>
          </w:tcPr>
          <w:p w14:paraId="3E71EF86">
            <w:pPr>
              <w:jc w:val="center"/>
              <w:rPr>
                <w:rFonts w:ascii="宋体" w:hAnsi="宋体" w:eastAsia="宋体"/>
                <w:color w:val="auto"/>
                <w:sz w:val="24"/>
                <w:highlight w:val="none"/>
              </w:rPr>
            </w:pPr>
          </w:p>
        </w:tc>
      </w:tr>
      <w:tr w14:paraId="4981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1E0B19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vAlign w:val="center"/>
          </w:tcPr>
          <w:p w14:paraId="5D85DBDD">
            <w:pPr>
              <w:jc w:val="center"/>
              <w:rPr>
                <w:rFonts w:ascii="宋体" w:hAnsi="宋体" w:eastAsia="宋体"/>
                <w:color w:val="auto"/>
                <w:sz w:val="24"/>
                <w:highlight w:val="none"/>
              </w:rPr>
            </w:pPr>
          </w:p>
        </w:tc>
        <w:tc>
          <w:tcPr>
            <w:tcW w:w="796" w:type="pct"/>
            <w:vAlign w:val="center"/>
          </w:tcPr>
          <w:p w14:paraId="3A5886D9">
            <w:pPr>
              <w:jc w:val="center"/>
              <w:rPr>
                <w:rFonts w:ascii="宋体" w:hAnsi="宋体" w:eastAsia="宋体"/>
                <w:color w:val="auto"/>
                <w:sz w:val="24"/>
                <w:highlight w:val="none"/>
              </w:rPr>
            </w:pPr>
          </w:p>
        </w:tc>
        <w:tc>
          <w:tcPr>
            <w:tcW w:w="996" w:type="pct"/>
            <w:vAlign w:val="center"/>
          </w:tcPr>
          <w:p w14:paraId="01045718">
            <w:pPr>
              <w:jc w:val="center"/>
              <w:rPr>
                <w:rFonts w:ascii="宋体" w:hAnsi="宋体" w:eastAsia="宋体"/>
                <w:color w:val="auto"/>
                <w:sz w:val="24"/>
                <w:highlight w:val="none"/>
              </w:rPr>
            </w:pPr>
          </w:p>
        </w:tc>
        <w:tc>
          <w:tcPr>
            <w:tcW w:w="920" w:type="pct"/>
            <w:vAlign w:val="center"/>
          </w:tcPr>
          <w:p w14:paraId="2E1D103D">
            <w:pPr>
              <w:jc w:val="center"/>
              <w:rPr>
                <w:rFonts w:ascii="宋体" w:hAnsi="宋体" w:eastAsia="宋体"/>
                <w:color w:val="auto"/>
                <w:sz w:val="24"/>
                <w:highlight w:val="none"/>
              </w:rPr>
            </w:pPr>
          </w:p>
        </w:tc>
      </w:tr>
      <w:tr w14:paraId="5A7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3561D14">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54EBC2BB">
            <w:pPr>
              <w:jc w:val="center"/>
              <w:rPr>
                <w:rFonts w:ascii="宋体" w:hAnsi="宋体" w:eastAsia="宋体"/>
                <w:color w:val="auto"/>
                <w:sz w:val="24"/>
                <w:highlight w:val="none"/>
              </w:rPr>
            </w:pPr>
          </w:p>
        </w:tc>
        <w:tc>
          <w:tcPr>
            <w:tcW w:w="796" w:type="pct"/>
            <w:vAlign w:val="center"/>
          </w:tcPr>
          <w:p w14:paraId="2CE4A642">
            <w:pPr>
              <w:jc w:val="center"/>
              <w:rPr>
                <w:rFonts w:ascii="宋体" w:hAnsi="宋体" w:eastAsia="宋体"/>
                <w:color w:val="auto"/>
                <w:sz w:val="24"/>
                <w:highlight w:val="none"/>
              </w:rPr>
            </w:pPr>
          </w:p>
        </w:tc>
        <w:tc>
          <w:tcPr>
            <w:tcW w:w="996" w:type="pct"/>
            <w:vAlign w:val="center"/>
          </w:tcPr>
          <w:p w14:paraId="3E69E857">
            <w:pPr>
              <w:jc w:val="center"/>
              <w:rPr>
                <w:rFonts w:ascii="宋体" w:hAnsi="宋体" w:eastAsia="宋体"/>
                <w:color w:val="auto"/>
                <w:sz w:val="24"/>
                <w:highlight w:val="none"/>
              </w:rPr>
            </w:pPr>
          </w:p>
        </w:tc>
        <w:tc>
          <w:tcPr>
            <w:tcW w:w="920" w:type="pct"/>
            <w:vAlign w:val="center"/>
          </w:tcPr>
          <w:p w14:paraId="049C3362">
            <w:pPr>
              <w:jc w:val="center"/>
              <w:rPr>
                <w:rFonts w:ascii="宋体" w:hAnsi="宋体" w:eastAsia="宋体"/>
                <w:color w:val="auto"/>
                <w:sz w:val="24"/>
                <w:highlight w:val="none"/>
              </w:rPr>
            </w:pPr>
          </w:p>
        </w:tc>
      </w:tr>
      <w:tr w14:paraId="5E6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740D28E">
            <w:pPr>
              <w:jc w:val="center"/>
              <w:rPr>
                <w:rFonts w:ascii="宋体" w:hAnsi="宋体" w:eastAsia="宋体"/>
                <w:color w:val="auto"/>
                <w:sz w:val="24"/>
                <w:highlight w:val="none"/>
              </w:rPr>
            </w:pPr>
          </w:p>
        </w:tc>
        <w:tc>
          <w:tcPr>
            <w:tcW w:w="1824" w:type="pct"/>
            <w:vAlign w:val="center"/>
          </w:tcPr>
          <w:p w14:paraId="1C80B17E">
            <w:pPr>
              <w:pStyle w:val="418"/>
              <w:ind w:left="-108"/>
              <w:jc w:val="center"/>
              <w:rPr>
                <w:rFonts w:ascii="宋体" w:hAnsi="宋体"/>
                <w:color w:val="auto"/>
                <w:highlight w:val="none"/>
              </w:rPr>
            </w:pPr>
            <w:r>
              <w:rPr>
                <w:rFonts w:hint="eastAsia" w:ascii="宋体" w:hAnsi="宋体"/>
                <w:color w:val="auto"/>
                <w:highlight w:val="none"/>
              </w:rPr>
              <w:t>其他费用</w:t>
            </w:r>
          </w:p>
        </w:tc>
        <w:tc>
          <w:tcPr>
            <w:tcW w:w="796" w:type="pct"/>
            <w:vAlign w:val="center"/>
          </w:tcPr>
          <w:p w14:paraId="14B16831">
            <w:pPr>
              <w:jc w:val="center"/>
              <w:rPr>
                <w:rFonts w:ascii="宋体" w:hAnsi="宋体" w:eastAsia="宋体"/>
                <w:color w:val="auto"/>
                <w:sz w:val="24"/>
                <w:highlight w:val="none"/>
              </w:rPr>
            </w:pPr>
          </w:p>
        </w:tc>
        <w:tc>
          <w:tcPr>
            <w:tcW w:w="996" w:type="pct"/>
            <w:vAlign w:val="center"/>
          </w:tcPr>
          <w:p w14:paraId="58993FF5">
            <w:pPr>
              <w:jc w:val="center"/>
              <w:rPr>
                <w:rFonts w:ascii="宋体" w:hAnsi="宋体" w:eastAsia="宋体"/>
                <w:color w:val="auto"/>
                <w:sz w:val="24"/>
                <w:highlight w:val="none"/>
              </w:rPr>
            </w:pPr>
          </w:p>
        </w:tc>
        <w:tc>
          <w:tcPr>
            <w:tcW w:w="920" w:type="pct"/>
            <w:vAlign w:val="center"/>
          </w:tcPr>
          <w:p w14:paraId="16A772A5">
            <w:pPr>
              <w:jc w:val="center"/>
              <w:rPr>
                <w:rFonts w:ascii="宋体" w:hAnsi="宋体" w:eastAsia="宋体"/>
                <w:color w:val="auto"/>
                <w:sz w:val="24"/>
                <w:highlight w:val="none"/>
              </w:rPr>
            </w:pPr>
          </w:p>
        </w:tc>
      </w:tr>
      <w:tr w14:paraId="40BE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019280C">
            <w:pPr>
              <w:jc w:val="center"/>
              <w:rPr>
                <w:rFonts w:ascii="宋体" w:hAnsi="宋体" w:eastAsia="宋体"/>
                <w:color w:val="auto"/>
                <w:sz w:val="24"/>
                <w:highlight w:val="none"/>
              </w:rPr>
            </w:pPr>
          </w:p>
        </w:tc>
        <w:tc>
          <w:tcPr>
            <w:tcW w:w="1824" w:type="pct"/>
            <w:vAlign w:val="center"/>
          </w:tcPr>
          <w:p w14:paraId="43C47A66">
            <w:pPr>
              <w:jc w:val="center"/>
              <w:rPr>
                <w:rFonts w:ascii="宋体" w:hAnsi="宋体" w:eastAsia="宋体"/>
                <w:color w:val="auto"/>
                <w:sz w:val="24"/>
                <w:highlight w:val="none"/>
              </w:rPr>
            </w:pPr>
            <w:r>
              <w:rPr>
                <w:rFonts w:ascii="宋体" w:hAnsi="宋体" w:eastAsia="宋体"/>
                <w:color w:val="auto"/>
                <w:sz w:val="24"/>
                <w:highlight w:val="none"/>
              </w:rPr>
              <w:t>……</w:t>
            </w:r>
          </w:p>
        </w:tc>
        <w:tc>
          <w:tcPr>
            <w:tcW w:w="796" w:type="pct"/>
            <w:vAlign w:val="center"/>
          </w:tcPr>
          <w:p w14:paraId="27249590">
            <w:pPr>
              <w:jc w:val="center"/>
              <w:rPr>
                <w:rFonts w:ascii="宋体" w:hAnsi="宋体" w:eastAsia="宋体"/>
                <w:color w:val="auto"/>
                <w:sz w:val="24"/>
                <w:highlight w:val="none"/>
              </w:rPr>
            </w:pPr>
          </w:p>
        </w:tc>
        <w:tc>
          <w:tcPr>
            <w:tcW w:w="996" w:type="pct"/>
            <w:vAlign w:val="center"/>
          </w:tcPr>
          <w:p w14:paraId="0E12E5DF">
            <w:pPr>
              <w:jc w:val="center"/>
              <w:rPr>
                <w:rFonts w:ascii="宋体" w:hAnsi="宋体" w:eastAsia="宋体"/>
                <w:color w:val="auto"/>
                <w:sz w:val="24"/>
                <w:highlight w:val="none"/>
              </w:rPr>
            </w:pPr>
          </w:p>
        </w:tc>
        <w:tc>
          <w:tcPr>
            <w:tcW w:w="920" w:type="pct"/>
            <w:vAlign w:val="center"/>
          </w:tcPr>
          <w:p w14:paraId="767A2C4B">
            <w:pPr>
              <w:jc w:val="center"/>
              <w:rPr>
                <w:rFonts w:ascii="宋体" w:hAnsi="宋体" w:eastAsia="宋体"/>
                <w:color w:val="auto"/>
                <w:sz w:val="24"/>
                <w:highlight w:val="none"/>
              </w:rPr>
            </w:pPr>
          </w:p>
        </w:tc>
      </w:tr>
      <w:tr w14:paraId="10DA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3CE2A904">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20" w:type="pct"/>
            <w:vAlign w:val="center"/>
          </w:tcPr>
          <w:p w14:paraId="3C32F6BB">
            <w:pPr>
              <w:jc w:val="center"/>
              <w:rPr>
                <w:rFonts w:ascii="宋体" w:hAnsi="宋体" w:eastAsia="宋体"/>
                <w:color w:val="auto"/>
                <w:sz w:val="24"/>
                <w:highlight w:val="none"/>
              </w:rPr>
            </w:pPr>
          </w:p>
        </w:tc>
      </w:tr>
    </w:tbl>
    <w:p w14:paraId="2A6FE3C1">
      <w:pPr>
        <w:pStyle w:val="7"/>
        <w:rPr>
          <w:rFonts w:hAnsi="宋体" w:cs="宋体"/>
          <w:color w:val="auto"/>
          <w:highlight w:val="none"/>
        </w:rPr>
      </w:pPr>
    </w:p>
    <w:p w14:paraId="1F0E1911">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19D268B7">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A4305D3">
      <w:pPr>
        <w:pStyle w:val="7"/>
        <w:ind w:firstLine="0"/>
        <w:rPr>
          <w:rFonts w:hAnsi="宋体" w:cs="宋体"/>
          <w:color w:val="auto"/>
          <w:highlight w:val="none"/>
        </w:rPr>
      </w:pPr>
    </w:p>
    <w:p w14:paraId="5AAC45DD">
      <w:pPr>
        <w:spacing w:line="360" w:lineRule="auto"/>
        <w:rPr>
          <w:rFonts w:ascii="宋体" w:cs="宋体"/>
          <w:color w:val="auto"/>
          <w:szCs w:val="21"/>
          <w:highlight w:val="none"/>
        </w:rPr>
      </w:pPr>
    </w:p>
    <w:p w14:paraId="0CFAD8A4">
      <w:pPr>
        <w:spacing w:line="360" w:lineRule="auto"/>
        <w:rPr>
          <w:rFonts w:ascii="宋体" w:cs="宋体"/>
          <w:color w:val="auto"/>
          <w:szCs w:val="21"/>
          <w:highlight w:val="none"/>
        </w:rPr>
      </w:pPr>
    </w:p>
    <w:p w14:paraId="16C032FA">
      <w:pPr>
        <w:spacing w:line="360" w:lineRule="auto"/>
        <w:rPr>
          <w:rFonts w:ascii="宋体" w:cs="宋体"/>
          <w:color w:val="auto"/>
          <w:szCs w:val="21"/>
          <w:highlight w:val="none"/>
        </w:rPr>
      </w:pPr>
    </w:p>
    <w:p w14:paraId="742A5D26">
      <w:pPr>
        <w:spacing w:line="360" w:lineRule="auto"/>
        <w:rPr>
          <w:rFonts w:ascii="宋体" w:cs="宋体"/>
          <w:color w:val="auto"/>
          <w:szCs w:val="21"/>
          <w:highlight w:val="none"/>
        </w:rPr>
      </w:pPr>
    </w:p>
    <w:p w14:paraId="1E962F1D">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749DCDE">
      <w:pPr>
        <w:spacing w:line="360" w:lineRule="auto"/>
        <w:ind w:firstLine="3600" w:firstLineChars="1500"/>
        <w:rPr>
          <w:rFonts w:hint="eastAsia" w:ascii="宋体" w:hAnsi="宋体" w:eastAsia="宋体"/>
          <w:color w:val="auto"/>
          <w:sz w:val="24"/>
          <w:highlight w:val="none"/>
        </w:rPr>
      </w:pPr>
    </w:p>
    <w:p w14:paraId="0802340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57B8A53">
      <w:pPr>
        <w:spacing w:line="360" w:lineRule="auto"/>
        <w:rPr>
          <w:rFonts w:ascii="宋体" w:cs="宋体"/>
          <w:b/>
          <w:bCs/>
          <w:color w:val="auto"/>
          <w:sz w:val="24"/>
          <w:highlight w:val="none"/>
        </w:rPr>
      </w:pPr>
    </w:p>
    <w:p w14:paraId="744CF054">
      <w:pPr>
        <w:spacing w:line="360" w:lineRule="auto"/>
        <w:rPr>
          <w:rFonts w:ascii="宋体" w:cs="宋体"/>
          <w:b/>
          <w:bCs/>
          <w:color w:val="auto"/>
          <w:sz w:val="24"/>
          <w:highlight w:val="none"/>
        </w:rPr>
      </w:pPr>
    </w:p>
    <w:p w14:paraId="509D5619">
      <w:pPr>
        <w:spacing w:line="360" w:lineRule="auto"/>
        <w:rPr>
          <w:rFonts w:ascii="宋体" w:cs="宋体"/>
          <w:b/>
          <w:bCs/>
          <w:color w:val="auto"/>
          <w:sz w:val="24"/>
          <w:highlight w:val="none"/>
        </w:rPr>
      </w:pPr>
    </w:p>
    <w:p w14:paraId="26BEC573">
      <w:pPr>
        <w:spacing w:line="360" w:lineRule="auto"/>
        <w:rPr>
          <w:rFonts w:ascii="宋体" w:cs="宋体"/>
          <w:b/>
          <w:bCs/>
          <w:color w:val="auto"/>
          <w:sz w:val="24"/>
          <w:highlight w:val="none"/>
        </w:rPr>
      </w:pPr>
    </w:p>
    <w:p w14:paraId="052B45B4">
      <w:pPr>
        <w:pStyle w:val="75"/>
        <w:rPr>
          <w:rFonts w:ascii="宋体" w:cs="宋体"/>
          <w:b/>
          <w:bCs/>
          <w:color w:val="auto"/>
          <w:sz w:val="24"/>
          <w:highlight w:val="none"/>
        </w:rPr>
      </w:pPr>
    </w:p>
    <w:p w14:paraId="6861E3F5">
      <w:pPr>
        <w:pStyle w:val="75"/>
        <w:rPr>
          <w:rFonts w:ascii="宋体" w:cs="宋体"/>
          <w:b/>
          <w:bCs/>
          <w:color w:val="auto"/>
          <w:sz w:val="24"/>
          <w:highlight w:val="none"/>
        </w:rPr>
      </w:pPr>
    </w:p>
    <w:p w14:paraId="4E56E605">
      <w:pPr>
        <w:pStyle w:val="75"/>
        <w:rPr>
          <w:rFonts w:ascii="宋体" w:cs="宋体"/>
          <w:b/>
          <w:bCs/>
          <w:color w:val="auto"/>
          <w:sz w:val="24"/>
          <w:highlight w:val="none"/>
        </w:rPr>
      </w:pPr>
    </w:p>
    <w:bookmarkEnd w:id="113"/>
    <w:p w14:paraId="3464897A">
      <w:pPr>
        <w:pStyle w:val="5"/>
        <w:numPr>
          <w:ilvl w:val="0"/>
          <w:numId w:val="0"/>
        </w:numPr>
        <w:shd w:val="clear" w:color="auto" w:fill="FFFFFF"/>
        <w:jc w:val="center"/>
        <w:rPr>
          <w:rFonts w:hint="eastAsia" w:cs="宋体"/>
          <w:color w:val="auto"/>
          <w:sz w:val="28"/>
          <w:szCs w:val="28"/>
          <w:highlight w:val="none"/>
          <w:lang w:val="en-US" w:eastAsia="zh-CN"/>
        </w:rPr>
      </w:pPr>
      <w:bookmarkStart w:id="115" w:name="_Toc32647"/>
      <w:bookmarkStart w:id="116" w:name="_Toc28153"/>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磋商</w:t>
      </w:r>
      <w:r>
        <w:rPr>
          <w:rFonts w:hint="eastAsia" w:cs="宋体"/>
          <w:color w:val="auto"/>
          <w:sz w:val="28"/>
          <w:szCs w:val="28"/>
          <w:highlight w:val="none"/>
          <w:lang w:val="en-US" w:eastAsia="zh-CN"/>
        </w:rPr>
        <w:t>响应表</w:t>
      </w:r>
      <w:bookmarkEnd w:id="115"/>
      <w:bookmarkEnd w:id="116"/>
    </w:p>
    <w:p w14:paraId="168D7F8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6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44BA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8058DC1">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5A65AB04">
            <w:pPr>
              <w:pStyle w:val="3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27156ABE">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磋商文件</w:t>
            </w:r>
            <w:r>
              <w:rPr>
                <w:rFonts w:hint="eastAsia" w:cs="Wingdings" w:asciiTheme="minorEastAsia" w:hAnsiTheme="minorEastAsia"/>
                <w:b/>
                <w:color w:val="auto"/>
                <w:sz w:val="24"/>
                <w:highlight w:val="none"/>
              </w:rPr>
              <w:t>要求</w:t>
            </w:r>
          </w:p>
        </w:tc>
        <w:tc>
          <w:tcPr>
            <w:tcW w:w="2347" w:type="dxa"/>
            <w:vAlign w:val="center"/>
          </w:tcPr>
          <w:p w14:paraId="5FFE891E">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795C10B8">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8C3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7E1CC5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27A39369">
            <w:pPr>
              <w:jc w:val="center"/>
              <w:rPr>
                <w:rFonts w:ascii="宋体" w:hAnsi="宋体"/>
                <w:color w:val="auto"/>
                <w:sz w:val="24"/>
                <w:highlight w:val="none"/>
              </w:rPr>
            </w:pPr>
            <w:r>
              <w:rPr>
                <w:rFonts w:asciiTheme="minorEastAsia" w:hAnsiTheme="minorEastAsia" w:eastAsiaTheme="minorEastAsia"/>
                <w:color w:val="auto"/>
                <w:sz w:val="21"/>
                <w:szCs w:val="16"/>
                <w:highlight w:val="none"/>
              </w:rPr>
              <w:t>付款方式</w:t>
            </w:r>
          </w:p>
        </w:tc>
        <w:tc>
          <w:tcPr>
            <w:tcW w:w="2215" w:type="dxa"/>
            <w:vAlign w:val="center"/>
          </w:tcPr>
          <w:p w14:paraId="537BAEC7">
            <w:pPr>
              <w:jc w:val="center"/>
              <w:rPr>
                <w:rFonts w:asciiTheme="minorEastAsia" w:hAnsiTheme="minorEastAsia" w:eastAsiaTheme="minorEastAsia"/>
                <w:color w:val="auto"/>
                <w:sz w:val="24"/>
                <w:highlight w:val="none"/>
              </w:rPr>
            </w:pPr>
          </w:p>
        </w:tc>
        <w:tc>
          <w:tcPr>
            <w:tcW w:w="2347" w:type="dxa"/>
            <w:vAlign w:val="center"/>
          </w:tcPr>
          <w:p w14:paraId="0D9008FB">
            <w:pPr>
              <w:jc w:val="center"/>
              <w:rPr>
                <w:rFonts w:asciiTheme="minorEastAsia" w:hAnsiTheme="minorEastAsia" w:eastAsiaTheme="minorEastAsia"/>
                <w:color w:val="auto"/>
                <w:sz w:val="24"/>
                <w:highlight w:val="none"/>
              </w:rPr>
            </w:pPr>
          </w:p>
        </w:tc>
        <w:tc>
          <w:tcPr>
            <w:tcW w:w="1235" w:type="dxa"/>
            <w:vAlign w:val="center"/>
          </w:tcPr>
          <w:p w14:paraId="0E2D20F7">
            <w:pPr>
              <w:jc w:val="center"/>
              <w:rPr>
                <w:rFonts w:asciiTheme="minorEastAsia" w:hAnsiTheme="minorEastAsia" w:eastAsiaTheme="minorEastAsia"/>
                <w:color w:val="auto"/>
                <w:sz w:val="24"/>
                <w:highlight w:val="none"/>
              </w:rPr>
            </w:pPr>
          </w:p>
        </w:tc>
      </w:tr>
      <w:tr w14:paraId="6093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799649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566C5A35">
            <w:pPr>
              <w:jc w:val="center"/>
              <w:rPr>
                <w:rFonts w:ascii="宋体" w:hAnsi="宋体"/>
                <w:color w:val="auto"/>
                <w:sz w:val="24"/>
                <w:highlight w:val="none"/>
              </w:rPr>
            </w:pPr>
            <w:r>
              <w:rPr>
                <w:rFonts w:hint="eastAsia" w:ascii="宋体" w:hAnsi="宋体"/>
                <w:color w:val="auto"/>
                <w:sz w:val="21"/>
                <w:szCs w:val="16"/>
                <w:highlight w:val="none"/>
                <w:lang w:val="en-US" w:eastAsia="zh-CN"/>
              </w:rPr>
              <w:t>服务</w:t>
            </w:r>
            <w:r>
              <w:rPr>
                <w:rFonts w:hint="eastAsia" w:ascii="宋体" w:hAnsi="宋体"/>
                <w:color w:val="auto"/>
                <w:sz w:val="21"/>
                <w:szCs w:val="16"/>
                <w:highlight w:val="none"/>
              </w:rPr>
              <w:t>地点</w:t>
            </w:r>
          </w:p>
        </w:tc>
        <w:tc>
          <w:tcPr>
            <w:tcW w:w="2215" w:type="dxa"/>
            <w:vAlign w:val="center"/>
          </w:tcPr>
          <w:p w14:paraId="04E676FB">
            <w:pPr>
              <w:jc w:val="center"/>
              <w:rPr>
                <w:rFonts w:asciiTheme="minorEastAsia" w:hAnsiTheme="minorEastAsia" w:eastAsiaTheme="minorEastAsia"/>
                <w:color w:val="auto"/>
                <w:sz w:val="24"/>
                <w:highlight w:val="none"/>
              </w:rPr>
            </w:pPr>
          </w:p>
        </w:tc>
        <w:tc>
          <w:tcPr>
            <w:tcW w:w="2347" w:type="dxa"/>
            <w:vAlign w:val="center"/>
          </w:tcPr>
          <w:p w14:paraId="1E6E18F5">
            <w:pPr>
              <w:jc w:val="center"/>
              <w:rPr>
                <w:rFonts w:asciiTheme="minorEastAsia" w:hAnsiTheme="minorEastAsia" w:eastAsiaTheme="minorEastAsia"/>
                <w:color w:val="auto"/>
                <w:sz w:val="24"/>
                <w:highlight w:val="none"/>
              </w:rPr>
            </w:pPr>
          </w:p>
        </w:tc>
        <w:tc>
          <w:tcPr>
            <w:tcW w:w="1235" w:type="dxa"/>
            <w:vAlign w:val="center"/>
          </w:tcPr>
          <w:p w14:paraId="3F6B0BCB">
            <w:pPr>
              <w:jc w:val="center"/>
              <w:rPr>
                <w:rFonts w:asciiTheme="minorEastAsia" w:hAnsiTheme="minorEastAsia" w:eastAsiaTheme="minorEastAsia"/>
                <w:color w:val="auto"/>
                <w:sz w:val="24"/>
                <w:highlight w:val="none"/>
              </w:rPr>
            </w:pPr>
          </w:p>
        </w:tc>
      </w:tr>
      <w:tr w14:paraId="19F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F82E8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12B37DF9">
            <w:pPr>
              <w:jc w:val="center"/>
              <w:rPr>
                <w:rFonts w:ascii="宋体" w:hAnsi="宋体"/>
                <w:color w:val="auto"/>
                <w:sz w:val="24"/>
                <w:highlight w:val="none"/>
              </w:rPr>
            </w:pPr>
            <w:r>
              <w:rPr>
                <w:rFonts w:hint="eastAsia" w:ascii="宋体" w:hAnsi="宋体"/>
                <w:color w:val="auto"/>
                <w:sz w:val="21"/>
                <w:szCs w:val="16"/>
                <w:highlight w:val="none"/>
                <w:lang w:val="en-US" w:eastAsia="zh-CN"/>
              </w:rPr>
              <w:t>合同履行期限</w:t>
            </w:r>
          </w:p>
        </w:tc>
        <w:tc>
          <w:tcPr>
            <w:tcW w:w="2215" w:type="dxa"/>
            <w:vAlign w:val="center"/>
          </w:tcPr>
          <w:p w14:paraId="549C5D2B">
            <w:pPr>
              <w:jc w:val="center"/>
              <w:rPr>
                <w:rFonts w:asciiTheme="minorEastAsia" w:hAnsiTheme="minorEastAsia" w:eastAsiaTheme="minorEastAsia"/>
                <w:color w:val="auto"/>
                <w:sz w:val="24"/>
                <w:highlight w:val="none"/>
              </w:rPr>
            </w:pPr>
          </w:p>
        </w:tc>
        <w:tc>
          <w:tcPr>
            <w:tcW w:w="2347" w:type="dxa"/>
            <w:vAlign w:val="center"/>
          </w:tcPr>
          <w:p w14:paraId="66112875">
            <w:pPr>
              <w:pStyle w:val="418"/>
              <w:jc w:val="center"/>
              <w:rPr>
                <w:rFonts w:asciiTheme="minorEastAsia" w:hAnsiTheme="minorEastAsia" w:eastAsiaTheme="minorEastAsia"/>
                <w:color w:val="auto"/>
                <w:highlight w:val="none"/>
              </w:rPr>
            </w:pPr>
          </w:p>
        </w:tc>
        <w:tc>
          <w:tcPr>
            <w:tcW w:w="1235" w:type="dxa"/>
            <w:vAlign w:val="center"/>
          </w:tcPr>
          <w:p w14:paraId="5E3E77EA">
            <w:pPr>
              <w:jc w:val="center"/>
              <w:rPr>
                <w:rFonts w:asciiTheme="minorEastAsia" w:hAnsiTheme="minorEastAsia" w:eastAsiaTheme="minorEastAsia"/>
                <w:color w:val="auto"/>
                <w:sz w:val="24"/>
                <w:highlight w:val="none"/>
              </w:rPr>
            </w:pPr>
          </w:p>
        </w:tc>
      </w:tr>
      <w:tr w14:paraId="437B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77B360D6">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1927" w:type="dxa"/>
            <w:vAlign w:val="center"/>
          </w:tcPr>
          <w:p w14:paraId="11AEEAB6">
            <w:pPr>
              <w:widowControl/>
              <w:adjustRightInd/>
              <w:snapToGrid w:val="0"/>
              <w:spacing w:line="240" w:lineRule="auto"/>
              <w:jc w:val="center"/>
              <w:rPr>
                <w:rFonts w:hint="default" w:ascii="宋体" w:hAnsi="宋体" w:eastAsia="宋体"/>
                <w:color w:val="auto"/>
                <w:sz w:val="24"/>
                <w:highlight w:val="none"/>
                <w:lang w:val="en-US" w:eastAsia="zh-CN"/>
              </w:rPr>
            </w:pPr>
            <w:r>
              <w:rPr>
                <w:rFonts w:hint="default" w:ascii="Times New Roman" w:hAnsi="Times New Roman" w:eastAsia="宋体" w:cs="宋体"/>
                <w:color w:val="000000"/>
                <w:sz w:val="21"/>
                <w:szCs w:val="21"/>
                <w:lang w:val="zh-CN" w:eastAsia="zh-CN"/>
              </w:rPr>
              <w:t>服务要求</w:t>
            </w:r>
          </w:p>
        </w:tc>
        <w:tc>
          <w:tcPr>
            <w:tcW w:w="2215" w:type="dxa"/>
            <w:vAlign w:val="center"/>
          </w:tcPr>
          <w:p w14:paraId="07F4F763">
            <w:pPr>
              <w:jc w:val="center"/>
              <w:rPr>
                <w:rFonts w:asciiTheme="minorEastAsia" w:hAnsiTheme="minorEastAsia" w:eastAsiaTheme="minorEastAsia"/>
                <w:color w:val="auto"/>
                <w:sz w:val="24"/>
                <w:highlight w:val="none"/>
              </w:rPr>
            </w:pPr>
          </w:p>
        </w:tc>
        <w:tc>
          <w:tcPr>
            <w:tcW w:w="2347" w:type="dxa"/>
            <w:vAlign w:val="center"/>
          </w:tcPr>
          <w:p w14:paraId="05EC770C">
            <w:pPr>
              <w:jc w:val="center"/>
              <w:rPr>
                <w:rFonts w:asciiTheme="minorEastAsia" w:hAnsiTheme="minorEastAsia" w:eastAsiaTheme="minorEastAsia"/>
                <w:color w:val="auto"/>
                <w:sz w:val="24"/>
                <w:highlight w:val="none"/>
              </w:rPr>
            </w:pPr>
          </w:p>
        </w:tc>
        <w:tc>
          <w:tcPr>
            <w:tcW w:w="1235" w:type="dxa"/>
            <w:vAlign w:val="center"/>
          </w:tcPr>
          <w:p w14:paraId="31ADF2AC">
            <w:pPr>
              <w:jc w:val="center"/>
              <w:rPr>
                <w:rFonts w:asciiTheme="minorEastAsia" w:hAnsiTheme="minorEastAsia" w:eastAsiaTheme="minorEastAsia"/>
                <w:color w:val="auto"/>
                <w:sz w:val="24"/>
                <w:highlight w:val="none"/>
              </w:rPr>
            </w:pPr>
          </w:p>
        </w:tc>
      </w:tr>
    </w:tbl>
    <w:p w14:paraId="0BBC6D35">
      <w:pPr>
        <w:tabs>
          <w:tab w:val="left" w:pos="1815"/>
        </w:tabs>
        <w:spacing w:line="360" w:lineRule="auto"/>
        <w:rPr>
          <w:rFonts w:hint="default" w:ascii="宋体" w:hAnsi="宋体" w:eastAsia="宋体" w:cs="Arial"/>
          <w:b/>
          <w:color w:val="auto"/>
          <w:szCs w:val="21"/>
          <w:highlight w:val="none"/>
          <w:lang w:val="en-US" w:eastAsia="zh-CN"/>
        </w:rPr>
      </w:pPr>
      <w:r>
        <w:rPr>
          <w:rFonts w:hint="eastAsia" w:ascii="宋体" w:hAnsi="宋体" w:cs="Arial"/>
          <w:b/>
          <w:color w:val="auto"/>
          <w:szCs w:val="21"/>
          <w:highlight w:val="none"/>
          <w:lang w:val="en-US" w:eastAsia="zh-CN"/>
        </w:rPr>
        <w:t xml:space="preserve"> 3.2服务需求响应表：</w:t>
      </w:r>
    </w:p>
    <w:tbl>
      <w:tblPr>
        <w:tblStyle w:val="61"/>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63C8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358280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654C0F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3E2C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60D1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B94CF55">
            <w:pPr>
              <w:spacing w:line="360" w:lineRule="auto"/>
              <w:jc w:val="center"/>
              <w:rPr>
                <w:rFonts w:ascii="宋体" w:hAnsi="宋体" w:cs="宋体"/>
                <w:color w:val="auto"/>
                <w:spacing w:val="-4"/>
                <w:szCs w:val="21"/>
                <w:highlight w:val="none"/>
              </w:rPr>
            </w:pPr>
          </w:p>
        </w:tc>
        <w:tc>
          <w:tcPr>
            <w:tcW w:w="5681" w:type="dxa"/>
            <w:vAlign w:val="center"/>
          </w:tcPr>
          <w:p w14:paraId="4E3701AA">
            <w:pPr>
              <w:spacing w:line="360" w:lineRule="auto"/>
              <w:jc w:val="center"/>
              <w:rPr>
                <w:rFonts w:ascii="宋体" w:hAnsi="宋体" w:cs="宋体"/>
                <w:color w:val="auto"/>
                <w:szCs w:val="21"/>
                <w:highlight w:val="none"/>
              </w:rPr>
            </w:pPr>
          </w:p>
        </w:tc>
        <w:tc>
          <w:tcPr>
            <w:tcW w:w="2209" w:type="dxa"/>
            <w:vAlign w:val="center"/>
          </w:tcPr>
          <w:p w14:paraId="4530EC87">
            <w:pPr>
              <w:spacing w:line="360" w:lineRule="auto"/>
              <w:jc w:val="center"/>
              <w:rPr>
                <w:rFonts w:ascii="宋体" w:hAnsi="宋体" w:cs="宋体"/>
                <w:b/>
                <w:color w:val="auto"/>
                <w:szCs w:val="21"/>
                <w:highlight w:val="none"/>
              </w:rPr>
            </w:pPr>
          </w:p>
        </w:tc>
      </w:tr>
      <w:tr w14:paraId="33D9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7D2A0BED">
            <w:pPr>
              <w:spacing w:line="360" w:lineRule="auto"/>
              <w:jc w:val="center"/>
              <w:rPr>
                <w:rFonts w:ascii="宋体" w:hAnsi="宋体" w:cs="宋体"/>
                <w:color w:val="auto"/>
                <w:spacing w:val="-4"/>
                <w:szCs w:val="21"/>
                <w:highlight w:val="none"/>
              </w:rPr>
            </w:pPr>
          </w:p>
        </w:tc>
        <w:tc>
          <w:tcPr>
            <w:tcW w:w="5681" w:type="dxa"/>
            <w:vAlign w:val="center"/>
          </w:tcPr>
          <w:p w14:paraId="197224CF">
            <w:pPr>
              <w:spacing w:line="360" w:lineRule="auto"/>
              <w:jc w:val="center"/>
              <w:rPr>
                <w:rFonts w:ascii="宋体" w:hAnsi="宋体" w:cs="宋体"/>
                <w:color w:val="auto"/>
                <w:szCs w:val="21"/>
                <w:highlight w:val="none"/>
              </w:rPr>
            </w:pPr>
          </w:p>
        </w:tc>
        <w:tc>
          <w:tcPr>
            <w:tcW w:w="2209" w:type="dxa"/>
            <w:vAlign w:val="center"/>
          </w:tcPr>
          <w:p w14:paraId="2A97C1E9">
            <w:pPr>
              <w:spacing w:line="360" w:lineRule="auto"/>
              <w:jc w:val="center"/>
              <w:rPr>
                <w:rFonts w:ascii="宋体" w:hAnsi="宋体" w:cs="宋体"/>
                <w:b/>
                <w:color w:val="auto"/>
                <w:szCs w:val="21"/>
                <w:highlight w:val="none"/>
              </w:rPr>
            </w:pPr>
          </w:p>
        </w:tc>
      </w:tr>
      <w:tr w14:paraId="14D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2AAE8BB">
            <w:pPr>
              <w:spacing w:line="360" w:lineRule="auto"/>
              <w:jc w:val="center"/>
              <w:rPr>
                <w:rFonts w:ascii="宋体" w:hAnsi="宋体" w:cs="宋体"/>
                <w:color w:val="auto"/>
                <w:spacing w:val="-4"/>
                <w:szCs w:val="21"/>
                <w:highlight w:val="none"/>
              </w:rPr>
            </w:pPr>
          </w:p>
        </w:tc>
        <w:tc>
          <w:tcPr>
            <w:tcW w:w="5681" w:type="dxa"/>
            <w:vAlign w:val="center"/>
          </w:tcPr>
          <w:p w14:paraId="24432609">
            <w:pPr>
              <w:spacing w:line="360" w:lineRule="auto"/>
              <w:jc w:val="center"/>
              <w:rPr>
                <w:rFonts w:ascii="宋体" w:hAnsi="宋体" w:cs="宋体"/>
                <w:color w:val="auto"/>
                <w:szCs w:val="21"/>
                <w:highlight w:val="none"/>
              </w:rPr>
            </w:pPr>
          </w:p>
        </w:tc>
        <w:tc>
          <w:tcPr>
            <w:tcW w:w="2209" w:type="dxa"/>
            <w:vAlign w:val="center"/>
          </w:tcPr>
          <w:p w14:paraId="2DE86E82">
            <w:pPr>
              <w:spacing w:line="360" w:lineRule="auto"/>
              <w:jc w:val="center"/>
              <w:rPr>
                <w:rFonts w:ascii="宋体" w:hAnsi="宋体" w:cs="宋体"/>
                <w:b/>
                <w:color w:val="auto"/>
                <w:szCs w:val="21"/>
                <w:highlight w:val="none"/>
              </w:rPr>
            </w:pPr>
          </w:p>
        </w:tc>
      </w:tr>
    </w:tbl>
    <w:p w14:paraId="14CF7C06">
      <w:pPr>
        <w:tabs>
          <w:tab w:val="left" w:pos="1815"/>
        </w:tabs>
        <w:spacing w:line="360" w:lineRule="auto"/>
        <w:rPr>
          <w:rFonts w:ascii="宋体" w:hAnsi="宋体" w:cs="Arial"/>
          <w:b/>
          <w:color w:val="auto"/>
          <w:szCs w:val="21"/>
          <w:highlight w:val="none"/>
        </w:rPr>
      </w:pPr>
    </w:p>
    <w:p w14:paraId="76562044">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6CE36016">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3C5DF031">
      <w:pPr>
        <w:spacing w:line="360" w:lineRule="auto"/>
        <w:ind w:firstLine="3561" w:firstLineChars="1696"/>
        <w:rPr>
          <w:rFonts w:ascii="宋体" w:hAnsi="宋体"/>
          <w:color w:val="auto"/>
          <w:szCs w:val="21"/>
          <w:highlight w:val="none"/>
        </w:rPr>
      </w:pPr>
    </w:p>
    <w:bookmarkEnd w:id="114"/>
    <w:p w14:paraId="63391BD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7" w:name="_Toc54941345"/>
      <w:bookmarkStart w:id="118" w:name="_Toc476584436"/>
      <w:bookmarkStart w:id="119" w:name="_Toc15038"/>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859628B">
      <w:pPr>
        <w:spacing w:line="360" w:lineRule="auto"/>
        <w:ind w:firstLine="3600" w:firstLineChars="1500"/>
        <w:rPr>
          <w:rFonts w:hint="eastAsia" w:ascii="宋体" w:hAnsi="宋体" w:eastAsia="宋体"/>
          <w:color w:val="auto"/>
          <w:sz w:val="24"/>
          <w:highlight w:val="none"/>
        </w:rPr>
      </w:pPr>
    </w:p>
    <w:p w14:paraId="0F110DA1">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4C87AF9">
      <w:pPr>
        <w:pStyle w:val="31"/>
        <w:tabs>
          <w:tab w:val="left" w:pos="5580"/>
        </w:tabs>
        <w:spacing w:line="480" w:lineRule="auto"/>
        <w:ind w:firstLine="3600" w:firstLineChars="1500"/>
        <w:rPr>
          <w:rFonts w:hint="eastAsia" w:ascii="宋体" w:hAnsi="宋体" w:eastAsia="宋体"/>
          <w:color w:val="auto"/>
          <w:sz w:val="24"/>
          <w:highlight w:val="none"/>
          <w:u w:val="single"/>
        </w:rPr>
        <w:sectPr>
          <w:footerReference r:id="rId11" w:type="default"/>
          <w:pgSz w:w="11906" w:h="16838"/>
          <w:pgMar w:top="1418" w:right="1418" w:bottom="1276" w:left="1418" w:header="680" w:footer="680" w:gutter="0"/>
          <w:pgNumType w:fmt="decimal"/>
          <w:cols w:space="720" w:num="1"/>
          <w:docGrid w:type="lines" w:linePitch="312" w:charSpace="0"/>
        </w:sectPr>
      </w:pPr>
    </w:p>
    <w:p w14:paraId="137776D3">
      <w:pPr>
        <w:pStyle w:val="31"/>
        <w:tabs>
          <w:tab w:val="left" w:pos="5580"/>
        </w:tabs>
        <w:spacing w:line="480" w:lineRule="auto"/>
        <w:ind w:firstLine="3600" w:firstLineChars="1500"/>
        <w:rPr>
          <w:rFonts w:hint="eastAsia" w:ascii="宋体" w:hAnsi="宋体" w:eastAsia="宋体"/>
          <w:color w:val="auto"/>
          <w:sz w:val="24"/>
          <w:highlight w:val="none"/>
          <w:u w:val="single"/>
        </w:rPr>
      </w:pPr>
    </w:p>
    <w:p w14:paraId="3AF800ED">
      <w:pPr>
        <w:pStyle w:val="5"/>
        <w:numPr>
          <w:ilvl w:val="0"/>
          <w:numId w:val="11"/>
        </w:numPr>
        <w:jc w:val="center"/>
        <w:rPr>
          <w:rFonts w:cs="宋体"/>
          <w:color w:val="auto"/>
          <w:sz w:val="28"/>
          <w:szCs w:val="28"/>
          <w:highlight w:val="none"/>
        </w:rPr>
      </w:pPr>
      <w:r>
        <w:rPr>
          <w:rFonts w:hint="eastAsia" w:cs="宋体"/>
          <w:color w:val="auto"/>
          <w:sz w:val="28"/>
          <w:szCs w:val="28"/>
          <w:highlight w:val="none"/>
        </w:rPr>
        <w:t>最后报价表</w:t>
      </w:r>
      <w:bookmarkEnd w:id="117"/>
    </w:p>
    <w:p w14:paraId="7B39D65C">
      <w:pPr>
        <w:pStyle w:val="7"/>
        <w:rPr>
          <w:color w:val="auto"/>
          <w:highlight w:val="none"/>
        </w:rPr>
      </w:pPr>
    </w:p>
    <w:p w14:paraId="7AA162E0">
      <w:pPr>
        <w:spacing w:line="360" w:lineRule="auto"/>
        <w:rPr>
          <w:color w:val="auto"/>
          <w:sz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4E92C403">
      <w:pPr>
        <w:spacing w:line="360" w:lineRule="auto"/>
        <w:rPr>
          <w:rFonts w:eastAsia="仿宋"/>
          <w:color w:val="auto"/>
          <w:kern w:val="0"/>
          <w:sz w:val="24"/>
          <w:highlight w:val="none"/>
          <w:lang w:val="zh-CN"/>
        </w:rPr>
      </w:pPr>
      <w:r>
        <w:rPr>
          <w:rFonts w:hint="eastAsia" w:ascii="宋体" w:hAnsi="宋体"/>
          <w:color w:val="auto"/>
          <w:szCs w:val="21"/>
          <w:highlight w:val="none"/>
        </w:rPr>
        <w:t>项目编号：</w:t>
      </w:r>
      <w:r>
        <w:rPr>
          <w:rFonts w:ascii="宋体" w:hAnsi="宋体"/>
          <w:color w:val="auto"/>
          <w:szCs w:val="21"/>
          <w:highlight w:val="none"/>
        </w:rPr>
        <w:t xml:space="preserve"> </w:t>
      </w:r>
    </w:p>
    <w:p w14:paraId="544F5A66">
      <w:pPr>
        <w:spacing w:line="360" w:lineRule="auto"/>
        <w:ind w:firstLine="6090" w:firstLineChars="2900"/>
        <w:rPr>
          <w:rFonts w:ascii="宋体"/>
          <w:color w:val="auto"/>
          <w:highlight w:val="none"/>
        </w:rPr>
      </w:pPr>
      <w:r>
        <w:rPr>
          <w:rFonts w:hint="eastAsia" w:ascii="宋体" w:hAnsi="宋体"/>
          <w:color w:val="auto"/>
          <w:highlight w:val="none"/>
        </w:rPr>
        <w:t>金额单位：人民币（元）</w:t>
      </w:r>
    </w:p>
    <w:tbl>
      <w:tblPr>
        <w:tblStyle w:val="61"/>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743"/>
      </w:tblGrid>
      <w:tr w14:paraId="1C1E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exact"/>
          <w:jc w:val="center"/>
        </w:trPr>
        <w:tc>
          <w:tcPr>
            <w:tcW w:w="1650" w:type="dxa"/>
            <w:vMerge w:val="restart"/>
            <w:vAlign w:val="center"/>
          </w:tcPr>
          <w:p w14:paraId="67DCC46B">
            <w:pPr>
              <w:spacing w:line="400" w:lineRule="exact"/>
              <w:jc w:val="center"/>
              <w:rPr>
                <w:color w:val="auto"/>
                <w:sz w:val="24"/>
                <w:highlight w:val="none"/>
              </w:rPr>
            </w:pPr>
            <w:r>
              <w:rPr>
                <w:rFonts w:hint="eastAsia" w:hAnsi="宋体"/>
                <w:color w:val="auto"/>
                <w:sz w:val="24"/>
                <w:highlight w:val="none"/>
              </w:rPr>
              <w:t>最后报价</w:t>
            </w:r>
          </w:p>
        </w:tc>
        <w:tc>
          <w:tcPr>
            <w:tcW w:w="6743" w:type="dxa"/>
            <w:vAlign w:val="center"/>
          </w:tcPr>
          <w:p w14:paraId="727D2E71">
            <w:pPr>
              <w:wordWrap w:val="0"/>
              <w:spacing w:line="400" w:lineRule="exact"/>
              <w:rPr>
                <w:rFonts w:hint="eastAsia" w:hAnsi="宋体"/>
                <w:color w:val="auto"/>
                <w:sz w:val="24"/>
                <w:highlight w:val="none"/>
              </w:rPr>
            </w:pPr>
          </w:p>
          <w:p w14:paraId="1DD5597C">
            <w:pPr>
              <w:wordWrap w:val="0"/>
              <w:spacing w:line="400" w:lineRule="exact"/>
              <w:rPr>
                <w:color w:val="auto"/>
                <w:sz w:val="24"/>
                <w:highlight w:val="none"/>
              </w:rPr>
            </w:pPr>
            <w:r>
              <w:rPr>
                <w:rFonts w:hint="eastAsia" w:hAnsi="宋体"/>
                <w:color w:val="auto"/>
                <w:sz w:val="24"/>
                <w:highlight w:val="none"/>
              </w:rPr>
              <w:t>大写：</w:t>
            </w:r>
            <w:r>
              <w:rPr>
                <w:color w:val="auto"/>
                <w:sz w:val="24"/>
                <w:highlight w:val="none"/>
              </w:rPr>
              <w:t xml:space="preserve"> </w:t>
            </w:r>
          </w:p>
          <w:p w14:paraId="1CDB7176">
            <w:pPr>
              <w:wordWrap w:val="0"/>
              <w:spacing w:line="400" w:lineRule="exact"/>
              <w:rPr>
                <w:color w:val="auto"/>
                <w:sz w:val="24"/>
                <w:highlight w:val="none"/>
              </w:rPr>
            </w:pPr>
            <w:r>
              <w:rPr>
                <w:rFonts w:hint="eastAsia" w:ascii="宋体" w:hAnsi="宋体"/>
                <w:b w:val="0"/>
                <w:bCs/>
                <w:color w:val="auto"/>
                <w:sz w:val="21"/>
                <w:szCs w:val="21"/>
                <w:highlight w:val="none"/>
              </w:rPr>
              <w:t>此表请各供应商准备好，以便在磋商时报价使用。</w:t>
            </w:r>
            <w:r>
              <w:rPr>
                <w:b w:val="0"/>
                <w:bCs/>
                <w:color w:val="auto"/>
                <w:sz w:val="21"/>
                <w:szCs w:val="21"/>
                <w:highlight w:val="none"/>
              </w:rPr>
              <w:t xml:space="preserve"> </w:t>
            </w:r>
            <w:r>
              <w:rPr>
                <w:color w:val="auto"/>
                <w:sz w:val="21"/>
                <w:szCs w:val="21"/>
                <w:highlight w:val="none"/>
              </w:rPr>
              <w:t xml:space="preserve"> </w:t>
            </w:r>
            <w:r>
              <w:rPr>
                <w:color w:val="auto"/>
                <w:sz w:val="24"/>
                <w:highlight w:val="none"/>
              </w:rPr>
              <w:t xml:space="preserve">          </w:t>
            </w:r>
          </w:p>
        </w:tc>
      </w:tr>
      <w:tr w14:paraId="45A0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exact"/>
          <w:jc w:val="center"/>
        </w:trPr>
        <w:tc>
          <w:tcPr>
            <w:tcW w:w="1650" w:type="dxa"/>
            <w:vMerge w:val="continue"/>
            <w:vAlign w:val="center"/>
          </w:tcPr>
          <w:p w14:paraId="2108DD30">
            <w:pPr>
              <w:spacing w:line="400" w:lineRule="exact"/>
              <w:jc w:val="center"/>
              <w:rPr>
                <w:color w:val="auto"/>
                <w:sz w:val="24"/>
                <w:highlight w:val="none"/>
              </w:rPr>
            </w:pPr>
          </w:p>
        </w:tc>
        <w:tc>
          <w:tcPr>
            <w:tcW w:w="6743" w:type="dxa"/>
            <w:vAlign w:val="center"/>
          </w:tcPr>
          <w:p w14:paraId="118B9BCD">
            <w:pPr>
              <w:wordWrap w:val="0"/>
              <w:rPr>
                <w:rFonts w:hAnsi="宋体"/>
                <w:color w:val="auto"/>
                <w:sz w:val="24"/>
                <w:highlight w:val="none"/>
              </w:rPr>
            </w:pPr>
            <w:r>
              <w:rPr>
                <w:rFonts w:hint="eastAsia" w:hAnsi="宋体"/>
                <w:color w:val="auto"/>
                <w:sz w:val="24"/>
                <w:highlight w:val="none"/>
              </w:rPr>
              <w:t>小写：</w:t>
            </w:r>
            <w:r>
              <w:rPr>
                <w:rFonts w:hAnsi="宋体"/>
                <w:color w:val="auto"/>
                <w:sz w:val="24"/>
                <w:highlight w:val="none"/>
              </w:rPr>
              <w:t xml:space="preserve">                  </w:t>
            </w:r>
          </w:p>
        </w:tc>
      </w:tr>
      <w:tr w14:paraId="4B5D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393" w:type="dxa"/>
            <w:gridSpan w:val="2"/>
            <w:vAlign w:val="center"/>
          </w:tcPr>
          <w:p w14:paraId="13F7CCFD">
            <w:pPr>
              <w:spacing w:line="400" w:lineRule="exact"/>
              <w:rPr>
                <w:rFonts w:hAnsi="宋体"/>
                <w:color w:val="auto"/>
                <w:sz w:val="24"/>
                <w:highlight w:val="none"/>
              </w:rPr>
            </w:pPr>
            <w:r>
              <w:rPr>
                <w:rFonts w:hint="eastAsia" w:hAnsi="宋体"/>
                <w:color w:val="auto"/>
                <w:sz w:val="24"/>
                <w:highlight w:val="none"/>
              </w:rPr>
              <w:t>备注：</w:t>
            </w:r>
          </w:p>
          <w:p w14:paraId="4348E1C4">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、分项报价按总报价的同等比例下浮；</w:t>
            </w:r>
          </w:p>
          <w:p w14:paraId="60F0DFAE">
            <w:pPr>
              <w:spacing w:line="400" w:lineRule="exact"/>
              <w:rPr>
                <w:rFonts w:hAnsi="宋体"/>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4B3E7C20">
      <w:pPr>
        <w:spacing w:line="360" w:lineRule="auto"/>
        <w:rPr>
          <w:rFonts w:ascii="宋体"/>
          <w:b/>
          <w:color w:val="auto"/>
          <w:sz w:val="24"/>
          <w:highlight w:val="none"/>
        </w:rPr>
      </w:pPr>
    </w:p>
    <w:p w14:paraId="55AE201D">
      <w:pPr>
        <w:spacing w:line="360" w:lineRule="auto"/>
        <w:rPr>
          <w:rFonts w:ascii="宋体"/>
          <w:color w:val="auto"/>
          <w:szCs w:val="21"/>
          <w:highlight w:val="none"/>
        </w:rPr>
      </w:pPr>
    </w:p>
    <w:p w14:paraId="52AB86C1">
      <w:pPr>
        <w:pStyle w:val="5"/>
        <w:rPr>
          <w:rFonts w:ascii="宋体"/>
          <w:color w:val="auto"/>
          <w:szCs w:val="21"/>
          <w:highlight w:val="none"/>
        </w:rPr>
      </w:pPr>
    </w:p>
    <w:p w14:paraId="583066EA">
      <w:pPr>
        <w:rPr>
          <w:color w:val="auto"/>
          <w:highlight w:val="none"/>
        </w:rPr>
      </w:pPr>
    </w:p>
    <w:bookmarkEnd w:id="118"/>
    <w:bookmarkEnd w:id="119"/>
    <w:p w14:paraId="6791CE9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20" w:name="_Toc2920"/>
      <w:bookmarkStart w:id="121"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D7C29DF">
      <w:pPr>
        <w:spacing w:line="360" w:lineRule="auto"/>
        <w:ind w:firstLine="3600" w:firstLineChars="1500"/>
        <w:rPr>
          <w:rFonts w:hint="eastAsia" w:ascii="宋体" w:hAnsi="宋体" w:eastAsia="宋体"/>
          <w:color w:val="auto"/>
          <w:sz w:val="24"/>
          <w:highlight w:val="none"/>
        </w:rPr>
      </w:pPr>
    </w:p>
    <w:p w14:paraId="2C16DA0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8A78F95">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3850A856">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3430C9E5">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3A9FE917">
      <w:pPr>
        <w:pStyle w:val="5"/>
        <w:rPr>
          <w:rFonts w:hint="eastAsia" w:asciiTheme="minorEastAsia" w:hAnsiTheme="minorEastAsia" w:eastAsiaTheme="minorEastAsia"/>
          <w:b/>
          <w:color w:val="auto"/>
          <w:sz w:val="28"/>
          <w:szCs w:val="28"/>
          <w:highlight w:val="none"/>
          <w:lang w:eastAsia="zh-CN"/>
        </w:rPr>
      </w:pPr>
    </w:p>
    <w:p w14:paraId="5CB827D8">
      <w:pPr>
        <w:rPr>
          <w:rFonts w:hint="eastAsia" w:cs="宋体"/>
          <w:color w:val="auto"/>
          <w:sz w:val="28"/>
          <w:szCs w:val="28"/>
          <w:highlight w:val="none"/>
          <w:lang w:val="en-US" w:eastAsia="zh-CN"/>
        </w:rPr>
      </w:pPr>
    </w:p>
    <w:p w14:paraId="0F5234FE">
      <w:pPr>
        <w:pStyle w:val="5"/>
        <w:rPr>
          <w:rFonts w:hint="eastAsia"/>
          <w:color w:val="auto"/>
          <w:highlight w:val="none"/>
          <w:lang w:val="en-US" w:eastAsia="zh-CN"/>
        </w:rPr>
      </w:pPr>
    </w:p>
    <w:p w14:paraId="68B8D0DA">
      <w:pPr>
        <w:pStyle w:val="5"/>
        <w:numPr>
          <w:ilvl w:val="0"/>
          <w:numId w:val="0"/>
        </w:numPr>
        <w:shd w:val="clear" w:color="auto" w:fill="FFFFFF"/>
        <w:jc w:val="center"/>
        <w:rPr>
          <w:rFonts w:hint="default" w:cs="宋体"/>
          <w:color w:val="auto"/>
          <w:sz w:val="28"/>
          <w:szCs w:val="28"/>
          <w:highlight w:val="none"/>
          <w:lang w:val="en-US" w:eastAsia="zh-CN"/>
        </w:rPr>
      </w:pPr>
      <w:r>
        <w:rPr>
          <w:rFonts w:hint="eastAsia" w:cs="宋体"/>
          <w:color w:val="auto"/>
          <w:sz w:val="28"/>
          <w:szCs w:val="28"/>
          <w:highlight w:val="none"/>
          <w:lang w:val="en-US" w:eastAsia="zh-CN"/>
        </w:rPr>
        <w:t>五</w:t>
      </w:r>
      <w:r>
        <w:rPr>
          <w:rFonts w:hint="eastAsia" w:cs="宋体"/>
          <w:color w:val="auto"/>
          <w:sz w:val="28"/>
          <w:szCs w:val="28"/>
          <w:highlight w:val="none"/>
        </w:rPr>
        <w:t>、</w:t>
      </w:r>
      <w:bookmarkEnd w:id="120"/>
      <w:bookmarkEnd w:id="121"/>
      <w:r>
        <w:rPr>
          <w:rFonts w:hint="eastAsia" w:cs="宋体"/>
          <w:color w:val="auto"/>
          <w:sz w:val="28"/>
          <w:szCs w:val="28"/>
          <w:highlight w:val="none"/>
          <w:lang w:val="en-US" w:eastAsia="zh-CN"/>
        </w:rPr>
        <w:t>服务及技术方案</w:t>
      </w:r>
    </w:p>
    <w:p w14:paraId="1CD696D3">
      <w:pPr>
        <w:spacing w:line="360" w:lineRule="auto"/>
        <w:ind w:firstLine="420" w:firstLineChars="200"/>
        <w:rPr>
          <w:rFonts w:ascii="仿宋" w:hAnsi="仿宋" w:eastAsia="仿宋"/>
          <w:color w:val="auto"/>
          <w:szCs w:val="21"/>
          <w:highlight w:val="none"/>
        </w:rPr>
      </w:pPr>
    </w:p>
    <w:p w14:paraId="419ED233">
      <w:pPr>
        <w:spacing w:line="360" w:lineRule="auto"/>
        <w:ind w:firstLine="435"/>
        <w:jc w:val="center"/>
        <w:rPr>
          <w:color w:val="auto"/>
          <w:highlight w:val="none"/>
        </w:rPr>
      </w:pPr>
      <w:r>
        <w:rPr>
          <w:rFonts w:hint="eastAsia"/>
          <w:color w:val="auto"/>
          <w:highlight w:val="none"/>
          <w:lang w:val="en-US" w:eastAsia="zh-CN"/>
        </w:rPr>
        <w:t>(响应人可自行制作格式)</w:t>
      </w:r>
    </w:p>
    <w:p w14:paraId="0AF763F5">
      <w:pPr>
        <w:spacing w:line="360" w:lineRule="auto"/>
        <w:ind w:firstLine="435"/>
        <w:rPr>
          <w:color w:val="auto"/>
          <w:highlight w:val="none"/>
        </w:rPr>
      </w:pPr>
    </w:p>
    <w:p w14:paraId="75B9CD9A">
      <w:pPr>
        <w:spacing w:line="360" w:lineRule="auto"/>
        <w:ind w:firstLine="435"/>
        <w:rPr>
          <w:color w:val="auto"/>
          <w:highlight w:val="none"/>
        </w:rPr>
      </w:pPr>
    </w:p>
    <w:p w14:paraId="239AD203">
      <w:pPr>
        <w:spacing w:line="360" w:lineRule="auto"/>
        <w:ind w:firstLine="435"/>
        <w:rPr>
          <w:color w:val="auto"/>
          <w:highlight w:val="none"/>
        </w:rPr>
      </w:pPr>
    </w:p>
    <w:p w14:paraId="0BCD3541">
      <w:pPr>
        <w:spacing w:line="360" w:lineRule="auto"/>
        <w:ind w:firstLine="435"/>
        <w:rPr>
          <w:color w:val="auto"/>
          <w:highlight w:val="none"/>
        </w:rPr>
      </w:pPr>
    </w:p>
    <w:p w14:paraId="4D603908">
      <w:pPr>
        <w:spacing w:line="360" w:lineRule="auto"/>
        <w:ind w:firstLine="435"/>
        <w:rPr>
          <w:color w:val="auto"/>
          <w:highlight w:val="none"/>
        </w:rPr>
      </w:pPr>
    </w:p>
    <w:p w14:paraId="132A858D">
      <w:pPr>
        <w:pStyle w:val="75"/>
        <w:rPr>
          <w:color w:val="auto"/>
          <w:highlight w:val="none"/>
        </w:rPr>
      </w:pPr>
    </w:p>
    <w:p w14:paraId="33ADA735">
      <w:pPr>
        <w:pStyle w:val="75"/>
        <w:rPr>
          <w:color w:val="auto"/>
          <w:highlight w:val="none"/>
        </w:rPr>
      </w:pPr>
    </w:p>
    <w:p w14:paraId="4BC28DAA">
      <w:pPr>
        <w:pStyle w:val="75"/>
        <w:rPr>
          <w:color w:val="auto"/>
          <w:highlight w:val="none"/>
        </w:rPr>
      </w:pPr>
    </w:p>
    <w:p w14:paraId="6917F548">
      <w:pPr>
        <w:pStyle w:val="75"/>
        <w:rPr>
          <w:color w:val="auto"/>
          <w:highlight w:val="none"/>
        </w:rPr>
      </w:pPr>
    </w:p>
    <w:p w14:paraId="12748A52">
      <w:pPr>
        <w:pStyle w:val="75"/>
        <w:rPr>
          <w:color w:val="auto"/>
          <w:highlight w:val="none"/>
        </w:rPr>
      </w:pPr>
    </w:p>
    <w:p w14:paraId="7EAC294C">
      <w:pPr>
        <w:pStyle w:val="75"/>
        <w:rPr>
          <w:color w:val="auto"/>
          <w:highlight w:val="none"/>
        </w:rPr>
      </w:pPr>
    </w:p>
    <w:p w14:paraId="6F6527F6">
      <w:pPr>
        <w:pStyle w:val="75"/>
        <w:rPr>
          <w:color w:val="auto"/>
          <w:highlight w:val="none"/>
        </w:rPr>
      </w:pPr>
    </w:p>
    <w:p w14:paraId="2B9C36A3">
      <w:pPr>
        <w:pStyle w:val="5"/>
        <w:rPr>
          <w:rFonts w:hint="eastAsia" w:ascii="宋体" w:hAnsi="宋体" w:cs="宋体"/>
          <w:b/>
          <w:color w:val="auto"/>
          <w:kern w:val="2"/>
          <w:sz w:val="28"/>
          <w:szCs w:val="28"/>
          <w:highlight w:val="none"/>
          <w:shd w:val="clear" w:color="auto" w:fill="FFFFFF"/>
          <w:lang w:val="en-US" w:eastAsia="zh-CN" w:bidi="ar-SA"/>
        </w:rPr>
      </w:pPr>
      <w:bookmarkStart w:id="122" w:name="_Toc28007"/>
      <w:bookmarkStart w:id="123" w:name="_Toc25547"/>
    </w:p>
    <w:p w14:paraId="730717FB">
      <w:pPr>
        <w:rPr>
          <w:rFonts w:hint="eastAsia" w:ascii="宋体" w:hAnsi="宋体" w:cs="宋体"/>
          <w:b/>
          <w:color w:val="auto"/>
          <w:kern w:val="2"/>
          <w:sz w:val="28"/>
          <w:szCs w:val="28"/>
          <w:highlight w:val="none"/>
          <w:shd w:val="clear" w:color="auto" w:fill="FFFFFF"/>
          <w:lang w:val="en-US" w:eastAsia="zh-CN" w:bidi="ar-SA"/>
        </w:rPr>
      </w:pPr>
    </w:p>
    <w:p w14:paraId="0B5771BE">
      <w:pPr>
        <w:pStyle w:val="5"/>
        <w:rPr>
          <w:rFonts w:hint="eastAsia" w:ascii="宋体" w:hAnsi="宋体" w:cs="宋体"/>
          <w:b/>
          <w:color w:val="auto"/>
          <w:kern w:val="2"/>
          <w:sz w:val="28"/>
          <w:szCs w:val="28"/>
          <w:highlight w:val="none"/>
          <w:shd w:val="clear" w:color="auto" w:fill="FFFFFF"/>
          <w:lang w:val="en-US" w:eastAsia="zh-CN" w:bidi="ar-SA"/>
        </w:rPr>
      </w:pPr>
    </w:p>
    <w:p w14:paraId="606A436D">
      <w:pPr>
        <w:rPr>
          <w:rFonts w:hint="eastAsia" w:ascii="宋体" w:hAnsi="宋体" w:cs="宋体"/>
          <w:b/>
          <w:color w:val="auto"/>
          <w:kern w:val="2"/>
          <w:sz w:val="28"/>
          <w:szCs w:val="28"/>
          <w:highlight w:val="none"/>
          <w:shd w:val="clear" w:color="auto" w:fill="FFFFFF"/>
          <w:lang w:val="en-US" w:eastAsia="zh-CN" w:bidi="ar-SA"/>
        </w:rPr>
      </w:pPr>
    </w:p>
    <w:p w14:paraId="01B977D4">
      <w:pPr>
        <w:pStyle w:val="5"/>
        <w:rPr>
          <w:rFonts w:hint="eastAsia" w:ascii="宋体" w:hAnsi="宋体" w:cs="宋体"/>
          <w:b/>
          <w:color w:val="auto"/>
          <w:kern w:val="2"/>
          <w:sz w:val="28"/>
          <w:szCs w:val="28"/>
          <w:highlight w:val="none"/>
          <w:shd w:val="clear" w:color="auto" w:fill="FFFFFF"/>
          <w:lang w:val="en-US" w:eastAsia="zh-CN" w:bidi="ar-SA"/>
        </w:rPr>
      </w:pPr>
    </w:p>
    <w:p w14:paraId="538A32CB">
      <w:pPr>
        <w:rPr>
          <w:rFonts w:hint="eastAsia" w:ascii="宋体" w:hAnsi="宋体" w:cs="宋体"/>
          <w:b/>
          <w:color w:val="auto"/>
          <w:kern w:val="2"/>
          <w:sz w:val="28"/>
          <w:szCs w:val="28"/>
          <w:highlight w:val="none"/>
          <w:shd w:val="clear" w:color="auto" w:fill="FFFFFF"/>
          <w:lang w:val="en-US" w:eastAsia="zh-CN" w:bidi="ar-SA"/>
        </w:rPr>
      </w:pPr>
    </w:p>
    <w:p w14:paraId="79D2D72F">
      <w:pPr>
        <w:pStyle w:val="5"/>
        <w:rPr>
          <w:rFonts w:hint="eastAsia" w:ascii="宋体" w:hAnsi="宋体" w:cs="宋体"/>
          <w:b/>
          <w:color w:val="auto"/>
          <w:kern w:val="2"/>
          <w:sz w:val="28"/>
          <w:szCs w:val="28"/>
          <w:highlight w:val="none"/>
          <w:shd w:val="clear" w:color="auto" w:fill="FFFFFF"/>
          <w:lang w:val="en-US" w:eastAsia="zh-CN" w:bidi="ar-SA"/>
        </w:rPr>
      </w:pPr>
    </w:p>
    <w:p w14:paraId="39CB56C1">
      <w:pPr>
        <w:rPr>
          <w:rFonts w:hint="eastAsia" w:ascii="宋体" w:hAnsi="宋体" w:cs="宋体"/>
          <w:b/>
          <w:color w:val="auto"/>
          <w:kern w:val="2"/>
          <w:sz w:val="28"/>
          <w:szCs w:val="28"/>
          <w:highlight w:val="none"/>
          <w:shd w:val="clear" w:color="auto" w:fill="FFFFFF"/>
          <w:lang w:val="en-US" w:eastAsia="zh-CN" w:bidi="ar-SA"/>
        </w:rPr>
      </w:pPr>
    </w:p>
    <w:p w14:paraId="6DB7C45B">
      <w:pPr>
        <w:rPr>
          <w:rFonts w:hint="eastAsia"/>
          <w:color w:val="auto"/>
          <w:highlight w:val="none"/>
          <w:lang w:val="en-US" w:eastAsia="zh-CN"/>
        </w:rPr>
      </w:pPr>
    </w:p>
    <w:p w14:paraId="69886700">
      <w:pPr>
        <w:pStyle w:val="5"/>
        <w:rPr>
          <w:rFonts w:hint="eastAsia"/>
          <w:color w:val="auto"/>
          <w:highlight w:val="none"/>
          <w:lang w:val="en-US" w:eastAsia="zh-CN"/>
        </w:rPr>
      </w:pPr>
    </w:p>
    <w:p w14:paraId="5529C7FB">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、诚信</w:t>
      </w:r>
      <w:r>
        <w:rPr>
          <w:rFonts w:hint="eastAsia" w:ascii="宋体" w:hAnsi="宋体" w:cs="宋体"/>
          <w:b/>
          <w:color w:val="auto"/>
          <w:kern w:val="2"/>
          <w:sz w:val="28"/>
          <w:szCs w:val="28"/>
          <w:highlight w:val="none"/>
          <w:shd w:val="clear" w:color="auto" w:fill="FFFFFF"/>
          <w:lang w:val="en-US" w:eastAsia="zh-CN" w:bidi="ar-SA"/>
        </w:rPr>
        <w:t>响应</w:t>
      </w:r>
      <w:r>
        <w:rPr>
          <w:rFonts w:hint="eastAsia" w:ascii="宋体" w:hAnsi="宋体" w:eastAsia="宋体" w:cs="宋体"/>
          <w:b/>
          <w:color w:val="auto"/>
          <w:kern w:val="2"/>
          <w:sz w:val="28"/>
          <w:szCs w:val="28"/>
          <w:highlight w:val="none"/>
          <w:shd w:val="clear" w:color="auto" w:fill="FFFFFF"/>
          <w:lang w:val="en-US" w:eastAsia="zh-CN" w:bidi="ar-SA"/>
        </w:rPr>
        <w:t>承诺书</w:t>
      </w:r>
      <w:bookmarkEnd w:id="122"/>
      <w:bookmarkEnd w:id="123"/>
    </w:p>
    <w:p w14:paraId="25C73870">
      <w:pPr>
        <w:rPr>
          <w:rFonts w:ascii="仿宋" w:hAnsi="仿宋" w:eastAsia="仿宋" w:cs="仿宋"/>
          <w:b/>
          <w:bCs/>
          <w:color w:val="auto"/>
          <w:sz w:val="24"/>
          <w:highlight w:val="none"/>
        </w:rPr>
      </w:pPr>
    </w:p>
    <w:p w14:paraId="4AF3F2F8">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w:t>
      </w:r>
      <w:r>
        <w:rPr>
          <w:rFonts w:hint="eastAsia" w:ascii="仿宋" w:hAnsi="仿宋" w:eastAsia="仿宋" w:cs="仿宋"/>
          <w:b/>
          <w:bCs/>
          <w:color w:val="auto"/>
          <w:sz w:val="24"/>
          <w:highlight w:val="none"/>
          <w:lang w:val="en-US" w:eastAsia="zh-CN"/>
        </w:rPr>
        <w:t>单位</w:t>
      </w:r>
      <w:r>
        <w:rPr>
          <w:rFonts w:hint="eastAsia" w:ascii="仿宋" w:hAnsi="仿宋" w:eastAsia="仿宋" w:cs="仿宋"/>
          <w:b/>
          <w:bCs/>
          <w:color w:val="auto"/>
          <w:sz w:val="24"/>
          <w:highlight w:val="none"/>
        </w:rPr>
        <w:t>郑重承诺：</w:t>
      </w:r>
    </w:p>
    <w:p w14:paraId="726BF70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strike w:val="0"/>
          <w:dstrike w:val="0"/>
          <w:color w:val="auto"/>
          <w:sz w:val="24"/>
          <w:highlight w:val="none"/>
          <w:lang w:eastAsia="zh-CN"/>
        </w:rPr>
        <w:t>采购活动</w:t>
      </w:r>
      <w:r>
        <w:rPr>
          <w:rFonts w:hint="eastAsia" w:ascii="仿宋" w:hAnsi="仿宋" w:eastAsia="仿宋" w:cs="仿宋"/>
          <w:b/>
          <w:bCs/>
          <w:color w:val="auto"/>
          <w:sz w:val="24"/>
          <w:highlight w:val="none"/>
        </w:rPr>
        <w:t>；</w:t>
      </w:r>
    </w:p>
    <w:p w14:paraId="4D1C49C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14:paraId="080207ED">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三、不出借、转让资质证书，不让他人挂靠，不以他人名义</w:t>
      </w:r>
      <w:r>
        <w:rPr>
          <w:rFonts w:hint="eastAsia" w:ascii="仿宋" w:hAnsi="仿宋" w:eastAsia="仿宋" w:cs="仿宋"/>
          <w:b/>
          <w:bCs/>
          <w:strike w:val="0"/>
          <w:dstrike w:val="0"/>
          <w:color w:val="auto"/>
          <w:sz w:val="24"/>
          <w:highlight w:val="none"/>
          <w:lang w:eastAsia="zh-CN"/>
        </w:rPr>
        <w:t>参加采购活动</w:t>
      </w:r>
      <w:r>
        <w:rPr>
          <w:rFonts w:hint="eastAsia" w:ascii="仿宋" w:hAnsi="仿宋" w:eastAsia="仿宋" w:cs="仿宋"/>
          <w:b/>
          <w:bCs/>
          <w:color w:val="auto"/>
          <w:sz w:val="24"/>
          <w:highlight w:val="none"/>
        </w:rPr>
        <w:t>或者以其他方式弄虚作假，骗取中标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14:paraId="0C80A11A">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相互串通报价，不排挤其他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 xml:space="preserve">的公平竞争、损害采购人的合法权益；  </w:t>
      </w:r>
    </w:p>
    <w:p w14:paraId="7757FFD7">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val="en-US" w:eastAsia="zh-CN"/>
        </w:rPr>
        <w:t>参加采购活动</w:t>
      </w:r>
      <w:r>
        <w:rPr>
          <w:rFonts w:hint="eastAsia" w:ascii="仿宋" w:hAnsi="仿宋" w:eastAsia="仿宋" w:cs="仿宋"/>
          <w:b/>
          <w:bCs/>
          <w:color w:val="auto"/>
          <w:sz w:val="24"/>
          <w:highlight w:val="none"/>
        </w:rPr>
        <w:t xml:space="preserve">，损害国家利益、社会公共利益或者他人的合法权益；  </w:t>
      </w:r>
    </w:p>
    <w:p w14:paraId="2C940EB9">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后不转包，若有合法分包征得采购人同意；</w:t>
      </w:r>
    </w:p>
    <w:p w14:paraId="236278F2">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承诺提供货物、服务及派驻人员；</w:t>
      </w:r>
    </w:p>
    <w:p w14:paraId="1D8E7D96">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、保证企业及所属相关人员在本次</w:t>
      </w:r>
      <w:r>
        <w:rPr>
          <w:rFonts w:hint="eastAsia" w:ascii="仿宋" w:hAnsi="仿宋" w:eastAsia="仿宋" w:cs="仿宋"/>
          <w:b/>
          <w:bCs/>
          <w:color w:val="auto"/>
          <w:sz w:val="24"/>
          <w:highlight w:val="none"/>
          <w:lang w:eastAsia="zh-CN"/>
        </w:rPr>
        <w:t>采购活动</w:t>
      </w:r>
      <w:r>
        <w:rPr>
          <w:rFonts w:hint="eastAsia" w:ascii="仿宋" w:hAnsi="仿宋" w:eastAsia="仿宋" w:cs="仿宋"/>
          <w:b/>
          <w:bCs/>
          <w:color w:val="auto"/>
          <w:sz w:val="24"/>
          <w:highlight w:val="none"/>
        </w:rPr>
        <w:t>中无行贿等犯罪行为；</w:t>
      </w:r>
    </w:p>
    <w:p w14:paraId="4FBE8D6E">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、我单位在安徽省公共资源交易市场主体库中录入的信息真实，无编造虚假信息。一旦发现弄虚作假将按《诚信承诺书》和有关法律法规中的规定接受处理。</w:t>
      </w:r>
    </w:p>
    <w:p w14:paraId="2AB44EE5">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十、如</w:t>
      </w:r>
      <w:r>
        <w:rPr>
          <w:rFonts w:hint="eastAsia" w:ascii="仿宋" w:hAnsi="仿宋" w:eastAsia="仿宋" w:cs="仿宋"/>
          <w:b/>
          <w:bCs/>
          <w:strike w:val="0"/>
          <w:dstrike w:val="0"/>
          <w:color w:val="auto"/>
          <w:sz w:val="24"/>
          <w:highlight w:val="none"/>
          <w:lang w:eastAsia="zh-CN"/>
        </w:rPr>
        <w:t>对采购过程或采购结果提出投诉，</w:t>
      </w:r>
      <w:r>
        <w:rPr>
          <w:rFonts w:hint="eastAsia" w:ascii="仿宋" w:hAnsi="仿宋" w:eastAsia="仿宋" w:cs="仿宋"/>
          <w:b/>
          <w:bCs/>
          <w:color w:val="auto"/>
          <w:sz w:val="24"/>
          <w:highlight w:val="none"/>
        </w:rPr>
        <w:t xml:space="preserve">保证按照《政府采购质疑和投诉办法》要求进行。投诉内容符合要求，投诉材料加盖企业公章或由法定代表人或其委托代理人签字，并附有关身份证明。不恶意投诉，对本公司提供的投诉线索的真实性负责。 </w:t>
      </w:r>
    </w:p>
    <w:p w14:paraId="278FCC4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一</w:t>
      </w:r>
      <w:r>
        <w:rPr>
          <w:rFonts w:hint="eastAsia" w:ascii="仿宋" w:hAnsi="仿宋" w:eastAsia="仿宋" w:cs="仿宋"/>
          <w:b/>
          <w:bCs/>
          <w:color w:val="auto"/>
          <w:sz w:val="24"/>
          <w:highlight w:val="none"/>
        </w:rPr>
        <w:t>、我方保证对本次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活动有任何</w:t>
      </w:r>
      <w:r>
        <w:rPr>
          <w:rFonts w:hint="eastAsia" w:ascii="仿宋" w:hAnsi="仿宋" w:eastAsia="仿宋" w:cs="仿宋"/>
          <w:b/>
          <w:bCs/>
          <w:color w:val="auto"/>
          <w:sz w:val="24"/>
          <w:highlight w:val="none"/>
          <w:lang w:val="en-US" w:eastAsia="zh-CN"/>
        </w:rPr>
        <w:t>质疑</w:t>
      </w:r>
      <w:r>
        <w:rPr>
          <w:rFonts w:hint="eastAsia" w:ascii="仿宋" w:hAnsi="仿宋" w:eastAsia="仿宋" w:cs="仿宋"/>
          <w:b/>
          <w:bCs/>
          <w:color w:val="auto"/>
          <w:sz w:val="24"/>
          <w:highlight w:val="none"/>
        </w:rPr>
        <w:t>或投诉，都依法在规定的时间内提出。否则，不针对本次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活动提出任何质疑或投诉。</w:t>
      </w:r>
    </w:p>
    <w:p w14:paraId="4D709BB6">
      <w:pPr>
        <w:spacing w:line="440" w:lineRule="exact"/>
        <w:ind w:firstLine="482" w:firstLineChars="200"/>
        <w:rPr>
          <w:rFonts w:ascii="仿宋" w:hAnsi="仿宋" w:eastAsia="仿宋" w:cs="仿宋"/>
          <w:b/>
          <w:bCs/>
          <w:color w:val="auto"/>
          <w:sz w:val="22"/>
          <w:szCs w:val="22"/>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磋商文件</w:t>
      </w:r>
      <w:r>
        <w:rPr>
          <w:rFonts w:hint="eastAsia" w:ascii="仿宋" w:hAnsi="仿宋" w:eastAsia="仿宋" w:cs="仿宋"/>
          <w:b/>
          <w:bCs/>
          <w:color w:val="auto"/>
          <w:sz w:val="24"/>
          <w:highlight w:val="none"/>
        </w:rPr>
        <w:t>确定的责任和法律责任并接受相关行政部门给予的处理和处罚。给采购人造成损失的，依法承担赔偿责任。</w:t>
      </w:r>
    </w:p>
    <w:p w14:paraId="06AB419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3612C83D">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24" w:name="_Toc7076"/>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7ADE02E">
      <w:pPr>
        <w:spacing w:line="360" w:lineRule="auto"/>
        <w:ind w:firstLine="3600" w:firstLineChars="1500"/>
        <w:rPr>
          <w:rFonts w:hint="eastAsia" w:ascii="宋体" w:hAnsi="宋体" w:eastAsia="宋体"/>
          <w:color w:val="auto"/>
          <w:sz w:val="24"/>
          <w:highlight w:val="none"/>
        </w:rPr>
      </w:pPr>
    </w:p>
    <w:p w14:paraId="5CFB012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1413EE88">
      <w:pPr>
        <w:pStyle w:val="5"/>
        <w:rPr>
          <w:rFonts w:hint="eastAsia"/>
          <w:color w:val="auto"/>
          <w:sz w:val="28"/>
          <w:szCs w:val="28"/>
          <w:highlight w:val="none"/>
          <w:lang w:val="en-US" w:eastAsia="zh-CN"/>
        </w:rPr>
      </w:pPr>
    </w:p>
    <w:p w14:paraId="4974D976">
      <w:pPr>
        <w:rPr>
          <w:rFonts w:hint="eastAsia"/>
          <w:color w:val="auto"/>
          <w:sz w:val="28"/>
          <w:szCs w:val="28"/>
          <w:highlight w:val="none"/>
          <w:lang w:val="en-US" w:eastAsia="zh-CN"/>
        </w:rPr>
      </w:pPr>
    </w:p>
    <w:bookmarkEnd w:id="124"/>
    <w:p w14:paraId="6565949D">
      <w:pPr>
        <w:ind w:right="480"/>
        <w:jc w:val="both"/>
        <w:rPr>
          <w:rFonts w:ascii="仿宋" w:hAnsi="仿宋" w:eastAsia="仿宋" w:cs="仿宋"/>
          <w:b/>
          <w:bCs/>
          <w:color w:val="auto"/>
          <w:sz w:val="24"/>
          <w:highlight w:val="none"/>
        </w:rPr>
      </w:pPr>
    </w:p>
    <w:p w14:paraId="6FB16FA5">
      <w:pPr>
        <w:ind w:right="480"/>
        <w:jc w:val="right"/>
        <w:rPr>
          <w:rFonts w:ascii="仿宋" w:hAnsi="仿宋" w:eastAsia="仿宋" w:cs="仿宋"/>
          <w:b/>
          <w:bCs/>
          <w:color w:val="auto"/>
          <w:sz w:val="24"/>
          <w:highlight w:val="none"/>
        </w:rPr>
      </w:pPr>
    </w:p>
    <w:p w14:paraId="0CA3C5B3">
      <w:pPr>
        <w:pStyle w:val="5"/>
        <w:numPr>
          <w:ilvl w:val="0"/>
          <w:numId w:val="0"/>
        </w:numPr>
        <w:shd w:val="clear" w:color="auto" w:fill="FFFFFF"/>
        <w:ind w:left="420" w:leftChars="0"/>
        <w:jc w:val="center"/>
        <w:rPr>
          <w:rFonts w:hint="eastAsia"/>
          <w:color w:val="auto"/>
          <w:highlight w:val="none"/>
          <w:lang w:val="en-US" w:eastAsia="zh-CN"/>
        </w:rPr>
      </w:pPr>
      <w:bookmarkStart w:id="125" w:name="_Toc26186"/>
      <w:bookmarkStart w:id="126" w:name="_Toc22272"/>
      <w:r>
        <w:rPr>
          <w:rFonts w:hint="eastAsia"/>
          <w:color w:val="auto"/>
          <w:sz w:val="28"/>
          <w:szCs w:val="28"/>
          <w:highlight w:val="none"/>
          <w:lang w:val="en-US" w:eastAsia="zh-CN"/>
        </w:rPr>
        <w:t>七、供应商声明函</w:t>
      </w:r>
    </w:p>
    <w:p w14:paraId="576D5C9D">
      <w:pPr>
        <w:keepNext w:val="0"/>
        <w:keepLines w:val="0"/>
        <w:widowControl/>
        <w:suppressLineNumbers w:val="0"/>
        <w:spacing w:line="720" w:lineRule="auto"/>
        <w:jc w:val="center"/>
        <w:rPr>
          <w:color w:val="auto"/>
          <w:highlight w:val="none"/>
        </w:rPr>
      </w:pPr>
      <w:r>
        <w:rPr>
          <w:rFonts w:hint="default" w:ascii="ËÎÌå" w:hAnsi="ËÎÌå" w:eastAsia="ËÎÌå" w:cs="ËÎÌå"/>
          <w:b/>
          <w:bCs/>
          <w:i/>
          <w:iCs/>
          <w:color w:val="auto"/>
          <w:kern w:val="0"/>
          <w:sz w:val="24"/>
          <w:szCs w:val="24"/>
          <w:highlight w:val="none"/>
          <w:lang w:val="en-US" w:eastAsia="zh-CN" w:bidi="ar"/>
        </w:rPr>
        <w:t>(</w:t>
      </w:r>
      <w:r>
        <w:rPr>
          <w:rFonts w:hint="default" w:ascii="䅂䍄䕅⯋컌" w:hAnsi="䅂䍄䕅⯋컌" w:eastAsia="䅂䍄䕅⯋컌" w:cs="䅂䍄䕅⯋컌"/>
          <w:b/>
          <w:bCs/>
          <w:i/>
          <w:iCs/>
          <w:color w:val="auto"/>
          <w:kern w:val="0"/>
          <w:sz w:val="24"/>
          <w:szCs w:val="24"/>
          <w:highlight w:val="none"/>
          <w:lang w:val="en-US" w:eastAsia="zh-CN" w:bidi="ar"/>
        </w:rPr>
        <w:t>联合体参加</w:t>
      </w:r>
      <w:r>
        <w:rPr>
          <w:rFonts w:hint="eastAsia" w:ascii="䅂䍄䕅⯋컌" w:hAnsi="䅂䍄䕅⯋컌" w:eastAsia="䅂䍄䕅⯋컌" w:cs="䅂䍄䕅⯋컌"/>
          <w:b/>
          <w:bCs/>
          <w:i/>
          <w:iCs/>
          <w:color w:val="auto"/>
          <w:kern w:val="0"/>
          <w:sz w:val="24"/>
          <w:szCs w:val="24"/>
          <w:highlight w:val="none"/>
          <w:lang w:val="en-US" w:eastAsia="zh-CN" w:bidi="ar"/>
        </w:rPr>
        <w:t>磋商</w:t>
      </w:r>
      <w:r>
        <w:rPr>
          <w:rFonts w:hint="default" w:ascii="䅂䍄䕅⯋컌" w:hAnsi="䅂䍄䕅⯋컌" w:eastAsia="䅂䍄䕅⯋컌" w:cs="䅂䍄䕅⯋컌"/>
          <w:b/>
          <w:bCs/>
          <w:i/>
          <w:iCs/>
          <w:color w:val="auto"/>
          <w:kern w:val="0"/>
          <w:sz w:val="24"/>
          <w:szCs w:val="24"/>
          <w:highlight w:val="none"/>
          <w:lang w:val="en-US" w:eastAsia="zh-CN" w:bidi="ar"/>
        </w:rPr>
        <w:t>的，联合体双方均须提供）</w:t>
      </w:r>
    </w:p>
    <w:p w14:paraId="6D8C24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75456A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641DCE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17DCF6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6E9889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76CB92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77EC02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647577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138A83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1BAD21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7EC34E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717142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）被市场监督管理部门列入企业经营异常名录；</w:t>
      </w:r>
    </w:p>
    <w:p w14:paraId="777F79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val="en-US" w:eastAsia="zh-CN" w:bidi="ar"/>
        </w:rPr>
        <w:t>）被税务部门列入重大税收违法失信主体；</w:t>
      </w:r>
    </w:p>
    <w:p w14:paraId="08B4CA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 xml:space="preserve">）被政府采购监管部门列入政府采购严重违法失信行为记录名单。                        </w:t>
      </w:r>
    </w:p>
    <w:p w14:paraId="2780CF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58CD6188">
      <w:pPr>
        <w:spacing w:line="360" w:lineRule="auto"/>
        <w:ind w:firstLine="3600" w:firstLineChars="1500"/>
        <w:rPr>
          <w:rFonts w:hint="eastAsia" w:ascii="宋体" w:hAnsi="宋体" w:eastAsia="宋体"/>
          <w:color w:val="auto"/>
          <w:sz w:val="24"/>
          <w:highlight w:val="none"/>
        </w:rPr>
      </w:pPr>
    </w:p>
    <w:p w14:paraId="1DA13956">
      <w:pPr>
        <w:spacing w:line="360" w:lineRule="auto"/>
        <w:ind w:firstLine="3600" w:firstLineChars="1500"/>
        <w:rPr>
          <w:rFonts w:hint="eastAsia" w:ascii="宋体" w:hAnsi="宋体" w:eastAsia="宋体"/>
          <w:color w:val="auto"/>
          <w:sz w:val="24"/>
          <w:highlight w:val="none"/>
        </w:rPr>
      </w:pPr>
    </w:p>
    <w:p w14:paraId="6D94F22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51AF879">
      <w:pPr>
        <w:spacing w:line="360" w:lineRule="auto"/>
        <w:ind w:firstLine="3600" w:firstLineChars="1500"/>
        <w:rPr>
          <w:rFonts w:hint="eastAsia" w:ascii="宋体" w:hAnsi="宋体" w:eastAsia="宋体"/>
          <w:color w:val="auto"/>
          <w:sz w:val="24"/>
          <w:highlight w:val="none"/>
        </w:rPr>
      </w:pPr>
    </w:p>
    <w:p w14:paraId="32425BA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69F4479">
      <w:pPr>
        <w:pStyle w:val="31"/>
        <w:tabs>
          <w:tab w:val="left" w:pos="5580"/>
        </w:tabs>
        <w:spacing w:line="480" w:lineRule="auto"/>
        <w:ind w:firstLine="3600" w:firstLineChars="1500"/>
        <w:rPr>
          <w:rFonts w:asciiTheme="minorEastAsia" w:hAnsiTheme="minorEastAsia" w:eastAsiaTheme="minorEastAsia"/>
          <w:color w:val="auto"/>
          <w:sz w:val="24"/>
          <w:szCs w:val="24"/>
          <w:highlight w:val="none"/>
        </w:rPr>
      </w:pPr>
    </w:p>
    <w:p w14:paraId="7237A33A">
      <w:pPr>
        <w:spacing w:line="360" w:lineRule="auto"/>
        <w:jc w:val="center"/>
        <w:outlineLvl w:val="1"/>
        <w:rPr>
          <w:rFonts w:hint="eastAsia" w:asciiTheme="minorEastAsia" w:hAnsiTheme="minorEastAsia" w:eastAsiaTheme="minorEastAsia"/>
          <w:b/>
          <w:color w:val="auto"/>
          <w:sz w:val="28"/>
          <w:szCs w:val="28"/>
          <w:highlight w:val="none"/>
          <w:lang w:eastAsia="zh-CN"/>
        </w:rPr>
        <w:sectPr>
          <w:footerReference r:id="rId12" w:type="default"/>
          <w:pgSz w:w="11906" w:h="16838"/>
          <w:pgMar w:top="1418" w:right="1418" w:bottom="1276" w:left="1418" w:header="680" w:footer="680" w:gutter="0"/>
          <w:pgNumType w:fmt="decimal"/>
          <w:cols w:space="720" w:num="1"/>
          <w:docGrid w:type="lines" w:linePitch="312" w:charSpace="0"/>
        </w:sectPr>
      </w:pPr>
    </w:p>
    <w:p w14:paraId="0D3B432B">
      <w:pPr>
        <w:pStyle w:val="5"/>
        <w:shd w:val="clear" w:color="auto" w:fill="FFFFFF"/>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25"/>
      <w:bookmarkEnd w:id="126"/>
      <w:r>
        <w:rPr>
          <w:rFonts w:hint="eastAsia"/>
          <w:color w:val="auto"/>
          <w:sz w:val="28"/>
          <w:szCs w:val="28"/>
          <w:highlight w:val="none"/>
          <w:lang w:val="en-US" w:eastAsia="zh-CN"/>
        </w:rPr>
        <w:t>资料</w:t>
      </w:r>
    </w:p>
    <w:p w14:paraId="70D018B4">
      <w:pPr>
        <w:spacing w:line="360" w:lineRule="auto"/>
        <w:ind w:firstLine="420" w:firstLineChars="200"/>
        <w:jc w:val="center"/>
        <w:rPr>
          <w:rFonts w:hint="eastAsia" w:ascii="宋体" w:hAnsi="宋体"/>
          <w:color w:val="auto"/>
          <w:szCs w:val="21"/>
          <w:highlight w:val="none"/>
          <w:lang w:val="en-US" w:eastAsia="zh-CN"/>
        </w:rPr>
      </w:pPr>
    </w:p>
    <w:p w14:paraId="79F9B530">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1、磋商公告中申请人资格要求证明材料，包含但不限于营业执照、税务登记证、特定资格要求中的证明材料。</w:t>
      </w:r>
    </w:p>
    <w:p w14:paraId="32E656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2、授权书（格式详见附件01）及其委托代理人有效二代居民身份证。</w:t>
      </w:r>
    </w:p>
    <w:p w14:paraId="087A282A">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3、本项目竞争性磋商文件中要求供应商提供的其他证明材料。</w:t>
      </w:r>
    </w:p>
    <w:p w14:paraId="20E93430">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4、须提供上述证明材料复印件或扫描件或影印件，加盖供应商公章。</w:t>
      </w:r>
    </w:p>
    <w:p w14:paraId="7780BE3A">
      <w:pPr>
        <w:pStyle w:val="75"/>
        <w:rPr>
          <w:rFonts w:hint="default"/>
          <w:color w:val="auto"/>
          <w:highlight w:val="none"/>
          <w:lang w:val="en-US" w:eastAsia="zh-CN"/>
        </w:rPr>
      </w:pPr>
    </w:p>
    <w:p w14:paraId="4FA0C2C8">
      <w:pPr>
        <w:pStyle w:val="75"/>
        <w:rPr>
          <w:rFonts w:hint="default"/>
          <w:color w:val="auto"/>
          <w:highlight w:val="none"/>
          <w:lang w:val="en-US" w:eastAsia="zh-CN"/>
        </w:rPr>
      </w:pPr>
    </w:p>
    <w:p w14:paraId="5A3F3CD5">
      <w:pPr>
        <w:widowControl/>
        <w:jc w:val="left"/>
        <w:rPr>
          <w:rFonts w:ascii="宋体" w:hAnsi="宋体"/>
          <w:color w:val="auto"/>
          <w:szCs w:val="21"/>
          <w:highlight w:val="none"/>
        </w:rPr>
      </w:pPr>
      <w:r>
        <w:rPr>
          <w:rFonts w:ascii="宋体" w:hAnsi="宋体"/>
          <w:color w:val="auto"/>
          <w:szCs w:val="21"/>
          <w:highlight w:val="none"/>
        </w:rPr>
        <w:br w:type="page"/>
      </w:r>
    </w:p>
    <w:p w14:paraId="3B50E5AB">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0350C3F7">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2C459B7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磋商</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参与磋商</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6C298EDF">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9D970C">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2B48619B">
      <w:pPr>
        <w:spacing w:line="360" w:lineRule="auto"/>
        <w:rPr>
          <w:rFonts w:asciiTheme="minorEastAsia" w:hAnsiTheme="minorEastAsia" w:eastAsiaTheme="minorEastAsia"/>
          <w:color w:val="auto"/>
          <w:sz w:val="24"/>
          <w:highlight w:val="none"/>
        </w:rPr>
      </w:pPr>
    </w:p>
    <w:p w14:paraId="3FD3020B">
      <w:pPr>
        <w:pStyle w:val="5"/>
        <w:rPr>
          <w:rFonts w:asciiTheme="minorEastAsia" w:hAnsiTheme="minorEastAsia" w:eastAsiaTheme="minorEastAsia"/>
          <w:color w:val="auto"/>
          <w:sz w:val="24"/>
          <w:highlight w:val="none"/>
        </w:rPr>
      </w:pPr>
    </w:p>
    <w:p w14:paraId="64D3D2F6">
      <w:pPr>
        <w:rPr>
          <w:color w:val="auto"/>
          <w:highlight w:val="none"/>
        </w:rPr>
      </w:pPr>
    </w:p>
    <w:p w14:paraId="57A951E9">
      <w:pPr>
        <w:spacing w:line="360" w:lineRule="auto"/>
        <w:ind w:firstLine="435"/>
        <w:rPr>
          <w:rFonts w:asciiTheme="minorEastAsia" w:hAnsiTheme="minorEastAsia" w:eastAsiaTheme="minorEastAsia"/>
          <w:color w:val="auto"/>
          <w:sz w:val="24"/>
          <w:highlight w:val="none"/>
        </w:rPr>
      </w:pPr>
    </w:p>
    <w:p w14:paraId="42DC2573">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5A0B3B7A">
      <w:pPr>
        <w:spacing w:line="360" w:lineRule="auto"/>
        <w:ind w:firstLine="435"/>
        <w:rPr>
          <w:rFonts w:hAnsi="宋体"/>
          <w:color w:val="auto"/>
          <w:sz w:val="24"/>
          <w:szCs w:val="28"/>
          <w:highlight w:val="none"/>
          <w:lang w:val="zh-CN"/>
        </w:rPr>
      </w:pPr>
    </w:p>
    <w:p w14:paraId="7EEFBA59">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7A418C6D">
      <w:pPr>
        <w:spacing w:line="360" w:lineRule="auto"/>
        <w:rPr>
          <w:rFonts w:ascii="宋体" w:hAnsi="宋体"/>
          <w:color w:val="auto"/>
          <w:sz w:val="24"/>
          <w:szCs w:val="28"/>
          <w:highlight w:val="none"/>
        </w:rPr>
      </w:pPr>
    </w:p>
    <w:p w14:paraId="1E8C662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32C8196C">
      <w:pPr>
        <w:spacing w:line="360" w:lineRule="auto"/>
        <w:ind w:firstLine="3600" w:firstLineChars="1500"/>
        <w:rPr>
          <w:rFonts w:hint="eastAsia" w:ascii="宋体" w:hAnsi="宋体" w:eastAsia="宋体"/>
          <w:color w:val="auto"/>
          <w:sz w:val="24"/>
          <w:highlight w:val="none"/>
        </w:rPr>
      </w:pPr>
    </w:p>
    <w:p w14:paraId="2B85A66C">
      <w:pPr>
        <w:spacing w:line="360" w:lineRule="auto"/>
        <w:ind w:firstLine="2880" w:firstLineChars="12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1C664D3E">
      <w:pPr>
        <w:spacing w:line="360" w:lineRule="auto"/>
        <w:ind w:firstLine="435"/>
        <w:rPr>
          <w:rFonts w:asciiTheme="minorEastAsia" w:hAnsiTheme="minorEastAsia" w:eastAsiaTheme="minorEastAsia"/>
          <w:color w:val="auto"/>
          <w:sz w:val="24"/>
          <w:highlight w:val="none"/>
        </w:rPr>
      </w:pPr>
    </w:p>
    <w:p w14:paraId="42F3CB3F">
      <w:pPr>
        <w:spacing w:line="360" w:lineRule="auto"/>
        <w:ind w:firstLine="435"/>
        <w:rPr>
          <w:rFonts w:asciiTheme="minorEastAsia" w:hAnsiTheme="minorEastAsia" w:eastAsiaTheme="minorEastAsia"/>
          <w:color w:val="auto"/>
          <w:sz w:val="24"/>
          <w:highlight w:val="none"/>
        </w:rPr>
      </w:pPr>
    </w:p>
    <w:p w14:paraId="0B9DF18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14:paraId="1E560CF6">
      <w:pPr>
        <w:pStyle w:val="2"/>
        <w:numPr>
          <w:ilvl w:val="0"/>
          <w:numId w:val="0"/>
        </w:numPr>
        <w:tabs>
          <w:tab w:val="clear" w:pos="1440"/>
          <w:tab w:val="clear" w:pos="5670"/>
        </w:tabs>
        <w:jc w:val="center"/>
        <w:rPr>
          <w:rFonts w:hint="eastAsia"/>
          <w:color w:val="auto"/>
          <w:highlight w:val="none"/>
          <w:lang w:val="en-US" w:eastAsia="zh-CN"/>
        </w:rPr>
      </w:pPr>
      <w:bookmarkStart w:id="127" w:name="_Toc32741"/>
      <w:bookmarkStart w:id="128" w:name="_Toc8573"/>
      <w:bookmarkStart w:id="129" w:name="_Toc12703"/>
      <w:bookmarkStart w:id="130" w:name="_Toc2700"/>
    </w:p>
    <w:p w14:paraId="5B3C9E6E">
      <w:pPr>
        <w:pStyle w:val="2"/>
        <w:numPr>
          <w:ilvl w:val="0"/>
          <w:numId w:val="0"/>
        </w:numPr>
        <w:tabs>
          <w:tab w:val="clear" w:pos="1440"/>
          <w:tab w:val="clear" w:pos="5670"/>
        </w:tabs>
        <w:jc w:val="both"/>
        <w:rPr>
          <w:rFonts w:hint="eastAsia"/>
          <w:color w:val="auto"/>
          <w:highlight w:val="none"/>
          <w:lang w:val="en-US" w:eastAsia="zh-CN"/>
        </w:rPr>
      </w:pPr>
    </w:p>
    <w:p w14:paraId="72673978">
      <w:pPr>
        <w:rPr>
          <w:rFonts w:hint="eastAsia"/>
          <w:color w:val="auto"/>
          <w:highlight w:val="none"/>
          <w:lang w:val="en-US" w:eastAsia="zh-CN"/>
        </w:rPr>
      </w:pPr>
      <w:r>
        <w:rPr>
          <w:rFonts w:hint="eastAsia"/>
          <w:color w:val="auto"/>
          <w:highlight w:val="none"/>
          <w:lang w:val="en-US" w:eastAsia="zh-CN"/>
        </w:rPr>
        <w:br w:type="page"/>
      </w:r>
    </w:p>
    <w:p w14:paraId="36D921D1">
      <w:pPr>
        <w:pStyle w:val="2"/>
        <w:numPr>
          <w:ilvl w:val="0"/>
          <w:numId w:val="0"/>
        </w:numPr>
        <w:tabs>
          <w:tab w:val="clear" w:pos="1440"/>
          <w:tab w:val="clear" w:pos="5670"/>
        </w:tabs>
        <w:jc w:val="center"/>
        <w:rPr>
          <w:color w:val="auto"/>
          <w:highlight w:val="none"/>
        </w:rPr>
      </w:pPr>
      <w:r>
        <w:rPr>
          <w:rFonts w:hint="eastAsia"/>
          <w:color w:val="auto"/>
          <w:highlight w:val="none"/>
          <w:lang w:val="en-US" w:eastAsia="zh-CN"/>
        </w:rPr>
        <w:t xml:space="preserve">第七章  </w:t>
      </w:r>
      <w:r>
        <w:rPr>
          <w:rFonts w:hint="eastAsia"/>
          <w:color w:val="auto"/>
          <w:highlight w:val="none"/>
        </w:rPr>
        <w:t>政府采购供应商质疑函范本</w:t>
      </w:r>
      <w:bookmarkEnd w:id="127"/>
      <w:bookmarkEnd w:id="128"/>
      <w:bookmarkEnd w:id="129"/>
      <w:bookmarkEnd w:id="130"/>
    </w:p>
    <w:p w14:paraId="469F8DE1">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66C0BFEF">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7FF0988C">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26DB6AA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9D942E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F1BCBE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706BC74F">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3618961D">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DF941CE">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7A1539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E0D7ED">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37AEB219">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3140CB84">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23AEAAD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0698025A">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81A3F7A">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41A41E3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1ED0470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E65C6F9">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3CB6148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57CC93C7">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CCE2D2A">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ACB7B6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3AC001F5">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79D6AC6">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ADBB50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66BC7BE">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3F4E4C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F59D6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634CD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6039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7145E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95EBD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87E586">
      <w:pPr>
        <w:wordWrap w:val="0"/>
        <w:spacing w:line="360" w:lineRule="auto"/>
        <w:ind w:right="480" w:firstLine="420" w:firstLineChars="200"/>
        <w:rPr>
          <w:rFonts w:ascii="宋体" w:hAnsi="宋体"/>
          <w:color w:val="auto"/>
          <w:szCs w:val="21"/>
          <w:highlight w:val="none"/>
        </w:rPr>
      </w:pPr>
    </w:p>
    <w:p w14:paraId="20FF4BC9">
      <w:pPr>
        <w:spacing w:line="360" w:lineRule="auto"/>
        <w:jc w:val="center"/>
        <w:rPr>
          <w:rFonts w:ascii="仿宋" w:hAnsi="仿宋" w:eastAsia="仿宋"/>
          <w:b/>
          <w:color w:val="auto"/>
          <w:spacing w:val="20"/>
          <w:sz w:val="36"/>
          <w:szCs w:val="36"/>
          <w:highlight w:val="none"/>
          <w:u w:val="single"/>
        </w:rPr>
      </w:pPr>
    </w:p>
    <w:p w14:paraId="48D86383">
      <w:pPr>
        <w:ind w:right="480"/>
        <w:jc w:val="right"/>
        <w:rPr>
          <w:rFonts w:ascii="仿宋" w:hAnsi="仿宋" w:eastAsia="仿宋" w:cs="仿宋"/>
          <w:b/>
          <w:bCs/>
          <w:color w:val="auto"/>
          <w:sz w:val="24"/>
          <w:highlight w:val="none"/>
        </w:rPr>
      </w:pPr>
    </w:p>
    <w:p w14:paraId="40260B20">
      <w:pPr>
        <w:rPr>
          <w:color w:val="auto"/>
          <w:highlight w:val="none"/>
        </w:rPr>
      </w:pPr>
    </w:p>
    <w:p w14:paraId="11588495">
      <w:pPr>
        <w:spacing w:line="360" w:lineRule="auto"/>
        <w:ind w:firstLine="630" w:firstLineChars="300"/>
        <w:rPr>
          <w:rFonts w:ascii="宋体" w:hAnsi="宋体" w:cs="宋体"/>
          <w:color w:val="auto"/>
          <w:szCs w:val="21"/>
          <w:highlight w:val="none"/>
        </w:rPr>
      </w:pPr>
    </w:p>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0" w:csb1="00000000"/>
  </w:font>
  <w:font w:name="䅂䍄䕅⯋컌">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5C17">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CBA2">
    <w:pPr>
      <w:pStyle w:val="38"/>
      <w:jc w:val="center"/>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A1BD9">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4A1BD9">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1B9">
    <w:pPr>
      <w:pStyle w:val="38"/>
      <w:pBdr>
        <w:top w:val="single" w:color="auto" w:sz="4" w:space="1"/>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D2E6">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F9D2E6">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322F">
    <w:pPr>
      <w:pStyle w:val="38"/>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B9A0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qUTs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qpROyQEAAJkDAAAOAAAAAAAAAAEAIAAAAB4BAABkcnMvZTJvRG9j&#10;LnhtbFBLBQYAAAAABgAGAFkBAABZBQAAAAA=&#10;">
              <v:fill on="f" focussize="0,0"/>
              <v:stroke on="f"/>
              <v:imagedata o:title=""/>
              <o:lock v:ext="edit" aspectratio="f"/>
              <v:textbox inset="0mm,0mm,0mm,0mm" style="mso-fit-shape-to-text:t;">
                <w:txbxContent>
                  <w:p w14:paraId="344B9A0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F460">
    <w:pPr>
      <w:pStyle w:val="38"/>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D9F7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618D9F7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0D5A">
    <w:pPr>
      <w:pStyle w:val="38"/>
      <w:pBdr>
        <w:top w:val="single" w:color="auto" w:sz="4" w:space="1"/>
      </w:pBdr>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F179E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00F179E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4D75">
    <w:pPr>
      <w:pStyle w:val="38"/>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7010E1">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77010E1">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r>
                      <w:rPr>
                        <w:sz w:val="1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6238">
    <w:pPr>
      <w:pStyle w:val="3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B0D70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CB0D70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3A95">
    <w:pPr>
      <w:pStyle w:val="38"/>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6185B">
                          <w:pPr>
                            <w:pStyle w:val="38"/>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6185B">
                    <w:pPr>
                      <w:pStyle w:val="38"/>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FA58">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5A9C">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94D3">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BF492"/>
    <w:multiLevelType w:val="singleLevel"/>
    <w:tmpl w:val="A71BF492"/>
    <w:lvl w:ilvl="0" w:tentative="0">
      <w:start w:val="1"/>
      <w:numFmt w:val="decimal"/>
      <w:suff w:val="nothing"/>
      <w:lvlText w:val="%1、"/>
      <w:lvlJc w:val="left"/>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E8A0445C"/>
    <w:multiLevelType w:val="singleLevel"/>
    <w:tmpl w:val="E8A0445C"/>
    <w:lvl w:ilvl="0" w:tentative="0">
      <w:start w:val="3"/>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5">
    <w:nsid w:val="0000000D"/>
    <w:multiLevelType w:val="singleLevel"/>
    <w:tmpl w:val="0000000D"/>
    <w:lvl w:ilvl="0" w:tentative="0">
      <w:start w:val="2"/>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8"/>
    <w:multiLevelType w:val="singleLevel"/>
    <w:tmpl w:val="00000018"/>
    <w:lvl w:ilvl="0" w:tentative="0">
      <w:start w:val="4"/>
      <w:numFmt w:val="chineseCounting"/>
      <w:suff w:val="nothing"/>
      <w:lvlText w:val="%1、"/>
      <w:lvlJc w:val="left"/>
      <w:rPr>
        <w:rFonts w:cs="Times New Roman"/>
      </w:rPr>
    </w:lvl>
  </w:abstractNum>
  <w:abstractNum w:abstractNumId="8">
    <w:nsid w:val="22C5F704"/>
    <w:multiLevelType w:val="singleLevel"/>
    <w:tmpl w:val="22C5F704"/>
    <w:lvl w:ilvl="0" w:tentative="0">
      <w:start w:val="2"/>
      <w:numFmt w:val="decimal"/>
      <w:suff w:val="space"/>
      <w:lvlText w:val="%1."/>
      <w:lvlJc w:val="left"/>
    </w:lvl>
  </w:abstractNum>
  <w:abstractNum w:abstractNumId="9">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0">
    <w:nsid w:val="66E10F17"/>
    <w:multiLevelType w:val="singleLevel"/>
    <w:tmpl w:val="66E10F17"/>
    <w:lvl w:ilvl="0" w:tentative="0">
      <w:start w:val="1"/>
      <w:numFmt w:val="decimal"/>
      <w:suff w:val="nothing"/>
      <w:lvlText w:val="%1、"/>
      <w:lvlJc w:val="left"/>
    </w:lvl>
  </w:abstractNum>
  <w:num w:numId="1">
    <w:abstractNumId w:val="3"/>
  </w:num>
  <w:num w:numId="2">
    <w:abstractNumId w:val="6"/>
  </w:num>
  <w:num w:numId="3">
    <w:abstractNumId w:val="9"/>
  </w:num>
  <w:num w:numId="4">
    <w:abstractNumId w:val="4"/>
  </w:num>
  <w:num w:numId="5">
    <w:abstractNumId w:val="1"/>
  </w:num>
  <w:num w:numId="6">
    <w:abstractNumId w:val="10"/>
  </w:num>
  <w:num w:numId="7">
    <w:abstractNumId w:val="2"/>
  </w:num>
  <w:num w:numId="8">
    <w:abstractNumId w:val="8"/>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2BAB"/>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52C8"/>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508F"/>
    <w:rsid w:val="00FA728E"/>
    <w:rsid w:val="00FB57EE"/>
    <w:rsid w:val="00FB654E"/>
    <w:rsid w:val="00FC682E"/>
    <w:rsid w:val="00FD138A"/>
    <w:rsid w:val="00FE506C"/>
    <w:rsid w:val="00FF22A3"/>
    <w:rsid w:val="00FF323D"/>
    <w:rsid w:val="0103164E"/>
    <w:rsid w:val="0243750B"/>
    <w:rsid w:val="02D634CE"/>
    <w:rsid w:val="031A1365"/>
    <w:rsid w:val="03433B9C"/>
    <w:rsid w:val="03547EE0"/>
    <w:rsid w:val="03EA6727"/>
    <w:rsid w:val="040C25BC"/>
    <w:rsid w:val="04500CD8"/>
    <w:rsid w:val="049727D9"/>
    <w:rsid w:val="04A67F3A"/>
    <w:rsid w:val="04F454C6"/>
    <w:rsid w:val="05133A67"/>
    <w:rsid w:val="058101E9"/>
    <w:rsid w:val="058663AA"/>
    <w:rsid w:val="05D37841"/>
    <w:rsid w:val="05DD4740"/>
    <w:rsid w:val="06541B61"/>
    <w:rsid w:val="06817C74"/>
    <w:rsid w:val="06B833C2"/>
    <w:rsid w:val="07572550"/>
    <w:rsid w:val="077A8E1E"/>
    <w:rsid w:val="08313FF0"/>
    <w:rsid w:val="086F54F4"/>
    <w:rsid w:val="089E3A0A"/>
    <w:rsid w:val="08B158C8"/>
    <w:rsid w:val="08D6081D"/>
    <w:rsid w:val="08F4076B"/>
    <w:rsid w:val="0900752E"/>
    <w:rsid w:val="093D0ADF"/>
    <w:rsid w:val="0995712C"/>
    <w:rsid w:val="09BB195E"/>
    <w:rsid w:val="0B021280"/>
    <w:rsid w:val="0B104356"/>
    <w:rsid w:val="0B303A45"/>
    <w:rsid w:val="0BF7A80D"/>
    <w:rsid w:val="0D3E2C15"/>
    <w:rsid w:val="0D844B1B"/>
    <w:rsid w:val="0E574954"/>
    <w:rsid w:val="0E7C22F0"/>
    <w:rsid w:val="0ECC742B"/>
    <w:rsid w:val="0EEF80C3"/>
    <w:rsid w:val="0F4874E1"/>
    <w:rsid w:val="0F8C7A1F"/>
    <w:rsid w:val="0FA76370"/>
    <w:rsid w:val="0FDDB6D8"/>
    <w:rsid w:val="115D4462"/>
    <w:rsid w:val="119F3496"/>
    <w:rsid w:val="11B5604C"/>
    <w:rsid w:val="12222F89"/>
    <w:rsid w:val="12223F31"/>
    <w:rsid w:val="126E269F"/>
    <w:rsid w:val="12CE11AA"/>
    <w:rsid w:val="13B31514"/>
    <w:rsid w:val="14555699"/>
    <w:rsid w:val="146043E7"/>
    <w:rsid w:val="1482237E"/>
    <w:rsid w:val="149208C7"/>
    <w:rsid w:val="14F9B057"/>
    <w:rsid w:val="15211C4B"/>
    <w:rsid w:val="156B1418"/>
    <w:rsid w:val="15E24861"/>
    <w:rsid w:val="16BB01E4"/>
    <w:rsid w:val="16FD8E81"/>
    <w:rsid w:val="17586E1A"/>
    <w:rsid w:val="17C3476C"/>
    <w:rsid w:val="1858180A"/>
    <w:rsid w:val="186A1A6E"/>
    <w:rsid w:val="1882106C"/>
    <w:rsid w:val="18BF365C"/>
    <w:rsid w:val="18F82798"/>
    <w:rsid w:val="198B7D40"/>
    <w:rsid w:val="19C4349D"/>
    <w:rsid w:val="1ABA4CF6"/>
    <w:rsid w:val="1AE14343"/>
    <w:rsid w:val="1B211E4D"/>
    <w:rsid w:val="1B522ECD"/>
    <w:rsid w:val="1B851185"/>
    <w:rsid w:val="1BC80A07"/>
    <w:rsid w:val="1BCB0C12"/>
    <w:rsid w:val="1C764FFA"/>
    <w:rsid w:val="1CB17D58"/>
    <w:rsid w:val="1D385D84"/>
    <w:rsid w:val="1D496C75"/>
    <w:rsid w:val="1D935BFE"/>
    <w:rsid w:val="1E577ACF"/>
    <w:rsid w:val="1FB07C2B"/>
    <w:rsid w:val="1FDE63B9"/>
    <w:rsid w:val="20AE3E62"/>
    <w:rsid w:val="20FE7045"/>
    <w:rsid w:val="213E7E82"/>
    <w:rsid w:val="22624EBA"/>
    <w:rsid w:val="228F15A2"/>
    <w:rsid w:val="22AC524A"/>
    <w:rsid w:val="22D304F6"/>
    <w:rsid w:val="22D46DF2"/>
    <w:rsid w:val="23CF3606"/>
    <w:rsid w:val="25545725"/>
    <w:rsid w:val="25873673"/>
    <w:rsid w:val="26174D8E"/>
    <w:rsid w:val="26404627"/>
    <w:rsid w:val="26681488"/>
    <w:rsid w:val="269448AB"/>
    <w:rsid w:val="27AE55C0"/>
    <w:rsid w:val="27DBF9EC"/>
    <w:rsid w:val="27E06810"/>
    <w:rsid w:val="2A423C32"/>
    <w:rsid w:val="2A6B6FC6"/>
    <w:rsid w:val="2AD510B6"/>
    <w:rsid w:val="2B6A4EA3"/>
    <w:rsid w:val="2BD870AF"/>
    <w:rsid w:val="2C265A4C"/>
    <w:rsid w:val="2C5379A3"/>
    <w:rsid w:val="2CC413E2"/>
    <w:rsid w:val="2D4F1E09"/>
    <w:rsid w:val="2DF751F3"/>
    <w:rsid w:val="2E891740"/>
    <w:rsid w:val="2ED55B28"/>
    <w:rsid w:val="2ED75A9F"/>
    <w:rsid w:val="2EE34460"/>
    <w:rsid w:val="2F2209EC"/>
    <w:rsid w:val="2F5842D0"/>
    <w:rsid w:val="2FBF94A8"/>
    <w:rsid w:val="2FFFA3E8"/>
    <w:rsid w:val="301D68AD"/>
    <w:rsid w:val="30A000F6"/>
    <w:rsid w:val="31172428"/>
    <w:rsid w:val="314B586D"/>
    <w:rsid w:val="31CE0296"/>
    <w:rsid w:val="31DA771B"/>
    <w:rsid w:val="32034DFD"/>
    <w:rsid w:val="329F56B1"/>
    <w:rsid w:val="331C5E9E"/>
    <w:rsid w:val="33633703"/>
    <w:rsid w:val="33983D24"/>
    <w:rsid w:val="339D72E4"/>
    <w:rsid w:val="33B6028E"/>
    <w:rsid w:val="348E350D"/>
    <w:rsid w:val="34F23DD0"/>
    <w:rsid w:val="351C28BD"/>
    <w:rsid w:val="35533747"/>
    <w:rsid w:val="356646F4"/>
    <w:rsid w:val="35BD418B"/>
    <w:rsid w:val="35F8221C"/>
    <w:rsid w:val="36072C67"/>
    <w:rsid w:val="36773A98"/>
    <w:rsid w:val="36981915"/>
    <w:rsid w:val="36F616D6"/>
    <w:rsid w:val="36F9D857"/>
    <w:rsid w:val="37413C07"/>
    <w:rsid w:val="375743B3"/>
    <w:rsid w:val="37A87F65"/>
    <w:rsid w:val="38183D07"/>
    <w:rsid w:val="38264821"/>
    <w:rsid w:val="38303DCF"/>
    <w:rsid w:val="383B2EA0"/>
    <w:rsid w:val="394B6B18"/>
    <w:rsid w:val="396401D4"/>
    <w:rsid w:val="3A3A31C4"/>
    <w:rsid w:val="3A5C2DAD"/>
    <w:rsid w:val="3A9E4562"/>
    <w:rsid w:val="3AE50BDB"/>
    <w:rsid w:val="3C0E104A"/>
    <w:rsid w:val="3C337BEC"/>
    <w:rsid w:val="3C4469CB"/>
    <w:rsid w:val="3C961565"/>
    <w:rsid w:val="3CA04F1F"/>
    <w:rsid w:val="3CAB2861"/>
    <w:rsid w:val="3CCF46B8"/>
    <w:rsid w:val="3CE53DB9"/>
    <w:rsid w:val="3D7B5AED"/>
    <w:rsid w:val="3DA74C4B"/>
    <w:rsid w:val="3DBFCC1A"/>
    <w:rsid w:val="3DF7BF89"/>
    <w:rsid w:val="3E752D50"/>
    <w:rsid w:val="3EA14C1C"/>
    <w:rsid w:val="3EFB3912"/>
    <w:rsid w:val="3EFF5BC5"/>
    <w:rsid w:val="3F3B0D6D"/>
    <w:rsid w:val="3F7F7867"/>
    <w:rsid w:val="3FD53512"/>
    <w:rsid w:val="3FD839F2"/>
    <w:rsid w:val="40A86BF9"/>
    <w:rsid w:val="40D25E49"/>
    <w:rsid w:val="41FD11C6"/>
    <w:rsid w:val="423050F8"/>
    <w:rsid w:val="42DDEE56"/>
    <w:rsid w:val="43103135"/>
    <w:rsid w:val="434768FE"/>
    <w:rsid w:val="44A1408B"/>
    <w:rsid w:val="4622270E"/>
    <w:rsid w:val="47525B10"/>
    <w:rsid w:val="47576DAC"/>
    <w:rsid w:val="47D324F0"/>
    <w:rsid w:val="47EE3A5A"/>
    <w:rsid w:val="48111527"/>
    <w:rsid w:val="482173AE"/>
    <w:rsid w:val="48DD765B"/>
    <w:rsid w:val="49631E67"/>
    <w:rsid w:val="49A0091C"/>
    <w:rsid w:val="49AB03EB"/>
    <w:rsid w:val="49D24CE6"/>
    <w:rsid w:val="49D40A5E"/>
    <w:rsid w:val="4AEC6DA7"/>
    <w:rsid w:val="4B007A08"/>
    <w:rsid w:val="4B367F93"/>
    <w:rsid w:val="4BAF1783"/>
    <w:rsid w:val="4C356EDA"/>
    <w:rsid w:val="4C4A170B"/>
    <w:rsid w:val="4D033897"/>
    <w:rsid w:val="4D107534"/>
    <w:rsid w:val="4DA27269"/>
    <w:rsid w:val="4E397A0D"/>
    <w:rsid w:val="4E3B47E2"/>
    <w:rsid w:val="4EA15E76"/>
    <w:rsid w:val="4EA56E6D"/>
    <w:rsid w:val="4F0F2539"/>
    <w:rsid w:val="4F5879B7"/>
    <w:rsid w:val="4F59153A"/>
    <w:rsid w:val="4F894099"/>
    <w:rsid w:val="4FE53EE9"/>
    <w:rsid w:val="4FE60998"/>
    <w:rsid w:val="4FF93C4D"/>
    <w:rsid w:val="501A74D2"/>
    <w:rsid w:val="50CF1F80"/>
    <w:rsid w:val="50E023DF"/>
    <w:rsid w:val="512B026F"/>
    <w:rsid w:val="51324B68"/>
    <w:rsid w:val="515D0643"/>
    <w:rsid w:val="518266FB"/>
    <w:rsid w:val="52612353"/>
    <w:rsid w:val="52D618B0"/>
    <w:rsid w:val="52DC0708"/>
    <w:rsid w:val="53D77AC9"/>
    <w:rsid w:val="54B059FD"/>
    <w:rsid w:val="5664038F"/>
    <w:rsid w:val="56C01454"/>
    <w:rsid w:val="56F12952"/>
    <w:rsid w:val="571400B0"/>
    <w:rsid w:val="5746243C"/>
    <w:rsid w:val="576A2A02"/>
    <w:rsid w:val="57793128"/>
    <w:rsid w:val="5796741C"/>
    <w:rsid w:val="579F706F"/>
    <w:rsid w:val="58044C05"/>
    <w:rsid w:val="58AE5938"/>
    <w:rsid w:val="58DA1EB2"/>
    <w:rsid w:val="59177DD3"/>
    <w:rsid w:val="5A317655"/>
    <w:rsid w:val="5A7D3789"/>
    <w:rsid w:val="5B0F23A1"/>
    <w:rsid w:val="5B2C0C19"/>
    <w:rsid w:val="5BAD3056"/>
    <w:rsid w:val="5C093247"/>
    <w:rsid w:val="5C25514A"/>
    <w:rsid w:val="5C4A0796"/>
    <w:rsid w:val="5C8A56BD"/>
    <w:rsid w:val="5CE22611"/>
    <w:rsid w:val="5CF63739"/>
    <w:rsid w:val="5CFA65D6"/>
    <w:rsid w:val="5D4D6A91"/>
    <w:rsid w:val="5D777DEE"/>
    <w:rsid w:val="5DEE3CCB"/>
    <w:rsid w:val="5DFE1159"/>
    <w:rsid w:val="5E7668F3"/>
    <w:rsid w:val="5EE85B2C"/>
    <w:rsid w:val="5F1F1BA7"/>
    <w:rsid w:val="5F7F8A01"/>
    <w:rsid w:val="5F7FBC47"/>
    <w:rsid w:val="5FAFDD77"/>
    <w:rsid w:val="5FB17120"/>
    <w:rsid w:val="5FDFD686"/>
    <w:rsid w:val="5FEDD429"/>
    <w:rsid w:val="5FF53CFE"/>
    <w:rsid w:val="5FFC8238"/>
    <w:rsid w:val="603A74D0"/>
    <w:rsid w:val="609163CB"/>
    <w:rsid w:val="60BA6EBD"/>
    <w:rsid w:val="610D2F9E"/>
    <w:rsid w:val="613F5EF9"/>
    <w:rsid w:val="614F7E1C"/>
    <w:rsid w:val="622C4A1E"/>
    <w:rsid w:val="62AA79FF"/>
    <w:rsid w:val="636C365E"/>
    <w:rsid w:val="63C079A0"/>
    <w:rsid w:val="63E85CF9"/>
    <w:rsid w:val="642C1431"/>
    <w:rsid w:val="643274EA"/>
    <w:rsid w:val="643E1706"/>
    <w:rsid w:val="65613696"/>
    <w:rsid w:val="65AA5EBE"/>
    <w:rsid w:val="65EE0CA2"/>
    <w:rsid w:val="65FE0EE5"/>
    <w:rsid w:val="65FFDBC8"/>
    <w:rsid w:val="66275C54"/>
    <w:rsid w:val="663D12E2"/>
    <w:rsid w:val="665977DE"/>
    <w:rsid w:val="66A82BFF"/>
    <w:rsid w:val="67155BB7"/>
    <w:rsid w:val="67E71B6D"/>
    <w:rsid w:val="681F15E7"/>
    <w:rsid w:val="68311E4E"/>
    <w:rsid w:val="68DE4FFE"/>
    <w:rsid w:val="69277174"/>
    <w:rsid w:val="69A1759A"/>
    <w:rsid w:val="69A22CDE"/>
    <w:rsid w:val="69BD2E65"/>
    <w:rsid w:val="6ACF108E"/>
    <w:rsid w:val="6AE74152"/>
    <w:rsid w:val="6B1E6C35"/>
    <w:rsid w:val="6B250CC2"/>
    <w:rsid w:val="6B7319E2"/>
    <w:rsid w:val="6CEB7CE9"/>
    <w:rsid w:val="6DF7A694"/>
    <w:rsid w:val="6DFFCC69"/>
    <w:rsid w:val="6F080662"/>
    <w:rsid w:val="6FB834E8"/>
    <w:rsid w:val="6FBB10C2"/>
    <w:rsid w:val="6FC445FC"/>
    <w:rsid w:val="6FDB730A"/>
    <w:rsid w:val="6FDFD978"/>
    <w:rsid w:val="700A4B8C"/>
    <w:rsid w:val="72097BAE"/>
    <w:rsid w:val="72263E6C"/>
    <w:rsid w:val="72A64795"/>
    <w:rsid w:val="73624258"/>
    <w:rsid w:val="737E5413"/>
    <w:rsid w:val="7393773A"/>
    <w:rsid w:val="73A017A5"/>
    <w:rsid w:val="73AF1C32"/>
    <w:rsid w:val="73D27CC0"/>
    <w:rsid w:val="73FC32BB"/>
    <w:rsid w:val="744528D3"/>
    <w:rsid w:val="744E6260"/>
    <w:rsid w:val="755778E6"/>
    <w:rsid w:val="756E14B8"/>
    <w:rsid w:val="75AF5BB2"/>
    <w:rsid w:val="75C16B30"/>
    <w:rsid w:val="75DF23E0"/>
    <w:rsid w:val="75F8D72B"/>
    <w:rsid w:val="75FD974D"/>
    <w:rsid w:val="767A64F4"/>
    <w:rsid w:val="768C56A1"/>
    <w:rsid w:val="76FFEDA1"/>
    <w:rsid w:val="770C0F88"/>
    <w:rsid w:val="772E5349"/>
    <w:rsid w:val="77796E00"/>
    <w:rsid w:val="77802E20"/>
    <w:rsid w:val="778E5E41"/>
    <w:rsid w:val="77B300D5"/>
    <w:rsid w:val="78126A72"/>
    <w:rsid w:val="78140114"/>
    <w:rsid w:val="783343AA"/>
    <w:rsid w:val="78B95140"/>
    <w:rsid w:val="78FDCA7E"/>
    <w:rsid w:val="790D3C87"/>
    <w:rsid w:val="7A6C1C2A"/>
    <w:rsid w:val="7A9A2F4D"/>
    <w:rsid w:val="7AD74F30"/>
    <w:rsid w:val="7AFD4FEE"/>
    <w:rsid w:val="7B167964"/>
    <w:rsid w:val="7B661EFE"/>
    <w:rsid w:val="7BEB4002"/>
    <w:rsid w:val="7CB62F91"/>
    <w:rsid w:val="7CBEB268"/>
    <w:rsid w:val="7CD67C72"/>
    <w:rsid w:val="7CF107D5"/>
    <w:rsid w:val="7D0E4B87"/>
    <w:rsid w:val="7D237AFA"/>
    <w:rsid w:val="7D731D61"/>
    <w:rsid w:val="7DCB394B"/>
    <w:rsid w:val="7DDC2DCB"/>
    <w:rsid w:val="7DFFA89A"/>
    <w:rsid w:val="7E2F1753"/>
    <w:rsid w:val="7E85282C"/>
    <w:rsid w:val="7E9140B4"/>
    <w:rsid w:val="7EC05E10"/>
    <w:rsid w:val="7EEBAE37"/>
    <w:rsid w:val="7EF0BE8E"/>
    <w:rsid w:val="7F10459E"/>
    <w:rsid w:val="7FC5261C"/>
    <w:rsid w:val="7FCFD19A"/>
    <w:rsid w:val="7FDA4956"/>
    <w:rsid w:val="7FDBF47C"/>
    <w:rsid w:val="7FEF393F"/>
    <w:rsid w:val="7FF109BA"/>
    <w:rsid w:val="7FF7E63B"/>
    <w:rsid w:val="7FFF8A29"/>
    <w:rsid w:val="86D7320A"/>
    <w:rsid w:val="8E5D0EF0"/>
    <w:rsid w:val="8F6F01A2"/>
    <w:rsid w:val="8FF1F7B6"/>
    <w:rsid w:val="9E7F290E"/>
    <w:rsid w:val="9FDF38F4"/>
    <w:rsid w:val="ABF67CD2"/>
    <w:rsid w:val="AD7F9436"/>
    <w:rsid w:val="AFEFB0B1"/>
    <w:rsid w:val="AFFD2A94"/>
    <w:rsid w:val="B7FEE910"/>
    <w:rsid w:val="BEBD43CC"/>
    <w:rsid w:val="CAD9B60D"/>
    <w:rsid w:val="CB7E4A93"/>
    <w:rsid w:val="CFFCCDC8"/>
    <w:rsid w:val="D4DD144D"/>
    <w:rsid w:val="D7EA4865"/>
    <w:rsid w:val="DCD717FB"/>
    <w:rsid w:val="DDEF5AE3"/>
    <w:rsid w:val="DF3787BF"/>
    <w:rsid w:val="DFEFA2AF"/>
    <w:rsid w:val="DFEFB3BD"/>
    <w:rsid w:val="E93F78A8"/>
    <w:rsid w:val="EB75149C"/>
    <w:rsid w:val="EE7CFF4D"/>
    <w:rsid w:val="EEFFA295"/>
    <w:rsid w:val="EFB950F3"/>
    <w:rsid w:val="EFDBB045"/>
    <w:rsid w:val="EFE7BE8E"/>
    <w:rsid w:val="EFFF9CE8"/>
    <w:rsid w:val="F2EF2852"/>
    <w:rsid w:val="F3D38483"/>
    <w:rsid w:val="F57D2429"/>
    <w:rsid w:val="F6BF93AD"/>
    <w:rsid w:val="F7DFB7B3"/>
    <w:rsid w:val="F7F5142F"/>
    <w:rsid w:val="F7F9CB6D"/>
    <w:rsid w:val="FA79F1E3"/>
    <w:rsid w:val="FBBB64F5"/>
    <w:rsid w:val="FBCF6A2A"/>
    <w:rsid w:val="FBFF95F1"/>
    <w:rsid w:val="FD7B13DA"/>
    <w:rsid w:val="FDBFB583"/>
    <w:rsid w:val="FDEFAF40"/>
    <w:rsid w:val="FEA7A882"/>
    <w:rsid w:val="FEBF0FD3"/>
    <w:rsid w:val="FEDFCD36"/>
    <w:rsid w:val="FEF970CC"/>
    <w:rsid w:val="FFDCF26F"/>
    <w:rsid w:val="FFDF9934"/>
    <w:rsid w:val="FFE22CFA"/>
    <w:rsid w:val="FFE652CD"/>
    <w:rsid w:val="FFFFB45B"/>
    <w:rsid w:val="FFFFF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4"/>
    <w:next w:val="1"/>
    <w:link w:val="160"/>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0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7"/>
    <w:link w:val="89"/>
    <w:qFormat/>
    <w:uiPriority w:val="0"/>
    <w:pPr>
      <w:keepNext/>
      <w:keepLines/>
      <w:spacing w:before="120" w:after="120"/>
      <w:outlineLvl w:val="3"/>
    </w:pPr>
    <w:rPr>
      <w:rFonts w:ascii="Arial" w:hAnsi="Arial" w:eastAsia="黑体"/>
      <w:b/>
      <w:sz w:val="20"/>
    </w:rPr>
  </w:style>
  <w:style w:type="paragraph" w:styleId="11">
    <w:name w:val="heading 5"/>
    <w:basedOn w:val="1"/>
    <w:next w:val="7"/>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38"/>
    <w:qFormat/>
    <w:uiPriority w:val="0"/>
    <w:pPr>
      <w:keepNext/>
      <w:keepLines/>
      <w:spacing w:before="240" w:after="64" w:line="319" w:lineRule="auto"/>
      <w:outlineLvl w:val="6"/>
    </w:pPr>
    <w:rPr>
      <w:b/>
      <w:bCs/>
      <w:sz w:val="24"/>
      <w:szCs w:val="24"/>
    </w:rPr>
  </w:style>
  <w:style w:type="paragraph" w:styleId="14">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szCs w:val="24"/>
    </w:rPr>
  </w:style>
  <w:style w:type="paragraph" w:styleId="7">
    <w:name w:val="Normal Indent"/>
    <w:basedOn w:val="1"/>
    <w:next w:val="8"/>
    <w:qFormat/>
    <w:uiPriority w:val="0"/>
    <w:pPr>
      <w:ind w:firstLine="420"/>
    </w:pPr>
  </w:style>
  <w:style w:type="paragraph" w:styleId="8">
    <w:name w:val="Body Text First Indent 2"/>
    <w:basedOn w:val="9"/>
    <w:next w:val="1"/>
    <w:qFormat/>
    <w:uiPriority w:val="0"/>
    <w:pPr>
      <w:ind w:firstLine="420" w:firstLineChars="200"/>
    </w:pPr>
  </w:style>
  <w:style w:type="paragraph" w:styleId="9">
    <w:name w:val="Body Text Indent"/>
    <w:basedOn w:val="1"/>
    <w:next w:val="10"/>
    <w:link w:val="170"/>
    <w:qFormat/>
    <w:uiPriority w:val="0"/>
    <w:pPr>
      <w:ind w:firstLine="645"/>
    </w:pPr>
    <w:rPr>
      <w:sz w:val="20"/>
    </w:rPr>
  </w:style>
  <w:style w:type="paragraph" w:styleId="10">
    <w:name w:val="envelope return"/>
    <w:basedOn w:val="1"/>
    <w:unhideWhenUsed/>
    <w:qFormat/>
    <w:uiPriority w:val="99"/>
    <w:pPr>
      <w:snapToGrid w:val="0"/>
    </w:pPr>
    <w:rPr>
      <w:rFonts w:ascii="Arial" w:hAnsi="Arial"/>
    </w:rPr>
  </w:style>
  <w:style w:type="paragraph" w:styleId="16">
    <w:name w:val="List 3"/>
    <w:basedOn w:val="1"/>
    <w:qFormat/>
    <w:uiPriority w:val="0"/>
    <w:pPr>
      <w:ind w:left="1260" w:hanging="420"/>
    </w:pPr>
  </w:style>
  <w:style w:type="paragraph" w:styleId="17">
    <w:name w:val="toc 7"/>
    <w:basedOn w:val="1"/>
    <w:next w:val="1"/>
    <w:qFormat/>
    <w:uiPriority w:val="0"/>
    <w:pPr>
      <w:ind w:left="1260"/>
      <w:jc w:val="left"/>
    </w:pPr>
    <w:rPr>
      <w:sz w:val="18"/>
    </w:rPr>
  </w:style>
  <w:style w:type="paragraph" w:styleId="18">
    <w:name w:val="List Number 2"/>
    <w:basedOn w:val="1"/>
    <w:qFormat/>
    <w:uiPriority w:val="0"/>
    <w:pPr>
      <w:tabs>
        <w:tab w:val="left" w:pos="1440"/>
      </w:tabs>
      <w:spacing w:line="360" w:lineRule="auto"/>
      <w:ind w:left="1440" w:hanging="1440"/>
    </w:pPr>
    <w:rPr>
      <w:sz w:val="24"/>
      <w:szCs w:val="24"/>
    </w:rPr>
  </w:style>
  <w:style w:type="paragraph" w:styleId="19">
    <w:name w:val="index 8"/>
    <w:basedOn w:val="1"/>
    <w:next w:val="1"/>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index 5"/>
    <w:basedOn w:val="1"/>
    <w:next w:val="1"/>
    <w:qFormat/>
    <w:uiPriority w:val="0"/>
    <w:pPr>
      <w:ind w:left="1680"/>
    </w:pPr>
  </w:style>
  <w:style w:type="paragraph" w:styleId="22">
    <w:name w:val="Document Map"/>
    <w:basedOn w:val="1"/>
    <w:link w:val="197"/>
    <w:qFormat/>
    <w:uiPriority w:val="0"/>
    <w:pPr>
      <w:shd w:val="clear" w:color="auto" w:fill="000080"/>
    </w:pPr>
    <w:rPr>
      <w:rFonts w:ascii="宋体"/>
      <w:sz w:val="18"/>
      <w:szCs w:val="18"/>
    </w:rPr>
  </w:style>
  <w:style w:type="paragraph" w:styleId="23">
    <w:name w:val="annotation text"/>
    <w:basedOn w:val="1"/>
    <w:link w:val="129"/>
    <w:qFormat/>
    <w:uiPriority w:val="99"/>
    <w:pPr>
      <w:jc w:val="left"/>
    </w:pPr>
    <w:rPr>
      <w:sz w:val="20"/>
    </w:rPr>
  </w:style>
  <w:style w:type="paragraph" w:styleId="24">
    <w:name w:val="index 6"/>
    <w:basedOn w:val="1"/>
    <w:next w:val="1"/>
    <w:qFormat/>
    <w:uiPriority w:val="0"/>
    <w:pPr>
      <w:ind w:left="2100"/>
    </w:pPr>
  </w:style>
  <w:style w:type="paragraph" w:styleId="25">
    <w:name w:val="Salutation"/>
    <w:basedOn w:val="1"/>
    <w:next w:val="1"/>
    <w:link w:val="193"/>
    <w:qFormat/>
    <w:uiPriority w:val="0"/>
    <w:rPr>
      <w:rFonts w:ascii="仿宋_GB2312" w:eastAsia="仿宋_GB2312"/>
      <w:sz w:val="20"/>
    </w:rPr>
  </w:style>
  <w:style w:type="paragraph" w:styleId="26">
    <w:name w:val="Body Text 3"/>
    <w:basedOn w:val="1"/>
    <w:link w:val="90"/>
    <w:qFormat/>
    <w:uiPriority w:val="0"/>
    <w:rPr>
      <w:rFonts w:ascii="仿宋_GB2312" w:hAnsi="Arial" w:eastAsia="仿宋_GB2312"/>
      <w:sz w:val="20"/>
    </w:rPr>
  </w:style>
  <w:style w:type="paragraph" w:styleId="27">
    <w:name w:val="Body Text"/>
    <w:basedOn w:val="1"/>
    <w:next w:val="1"/>
    <w:link w:val="77"/>
    <w:qFormat/>
    <w:uiPriority w:val="0"/>
    <w:rPr>
      <w:rFonts w:ascii="楷体_GB2312" w:hAnsi="Arial" w:eastAsia="楷体_GB2312"/>
      <w:sz w:val="20"/>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22"/>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1"/>
    <w:qFormat/>
    <w:uiPriority w:val="0"/>
    <w:pPr>
      <w:ind w:left="100" w:leftChars="2500"/>
    </w:pPr>
    <w:rPr>
      <w:sz w:val="20"/>
    </w:rPr>
  </w:style>
  <w:style w:type="paragraph" w:styleId="35">
    <w:name w:val="Body Text Indent 2"/>
    <w:basedOn w:val="1"/>
    <w:link w:val="164"/>
    <w:qFormat/>
    <w:uiPriority w:val="0"/>
    <w:pPr>
      <w:ind w:left="630" w:firstLine="645"/>
    </w:pPr>
    <w:rPr>
      <w:sz w:val="20"/>
    </w:rPr>
  </w:style>
  <w:style w:type="paragraph" w:styleId="36">
    <w:name w:val="endnote text"/>
    <w:basedOn w:val="1"/>
    <w:link w:val="207"/>
    <w:qFormat/>
    <w:uiPriority w:val="0"/>
    <w:pPr>
      <w:snapToGrid w:val="0"/>
      <w:jc w:val="left"/>
    </w:pPr>
    <w:rPr>
      <w:kern w:val="0"/>
      <w:sz w:val="24"/>
      <w:szCs w:val="24"/>
    </w:rPr>
  </w:style>
  <w:style w:type="paragraph" w:styleId="37">
    <w:name w:val="Balloon Text"/>
    <w:basedOn w:val="1"/>
    <w:link w:val="206"/>
    <w:qFormat/>
    <w:uiPriority w:val="0"/>
    <w:rPr>
      <w:sz w:val="18"/>
      <w:szCs w:val="18"/>
    </w:rPr>
  </w:style>
  <w:style w:type="paragraph" w:styleId="38">
    <w:name w:val="footer"/>
    <w:basedOn w:val="1"/>
    <w:link w:val="199"/>
    <w:qFormat/>
    <w:uiPriority w:val="0"/>
    <w:pPr>
      <w:tabs>
        <w:tab w:val="center" w:pos="4153"/>
        <w:tab w:val="right" w:pos="8306"/>
      </w:tabs>
      <w:snapToGrid w:val="0"/>
      <w:jc w:val="left"/>
    </w:pPr>
    <w:rPr>
      <w:sz w:val="18"/>
      <w:szCs w:val="18"/>
    </w:rPr>
  </w:style>
  <w:style w:type="paragraph" w:styleId="39">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34"/>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14"/>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74"/>
    <w:qFormat/>
    <w:uiPriority w:val="0"/>
    <w:pPr>
      <w:widowControl/>
      <w:jc w:val="center"/>
    </w:pPr>
    <w:rPr>
      <w:rFonts w:ascii="楷体_GB2312" w:eastAsia="楷体_GB2312"/>
      <w:sz w:val="20"/>
    </w:rPr>
  </w:style>
  <w:style w:type="paragraph" w:styleId="55">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3"/>
    <w:next w:val="23"/>
    <w:link w:val="145"/>
    <w:qFormat/>
    <w:uiPriority w:val="0"/>
    <w:rPr>
      <w:b/>
      <w:bCs/>
    </w:rPr>
  </w:style>
  <w:style w:type="paragraph" w:styleId="60">
    <w:name w:val="Body Text First Indent"/>
    <w:basedOn w:val="27"/>
    <w:link w:val="106"/>
    <w:qFormat/>
    <w:uiPriority w:val="0"/>
    <w:pPr>
      <w:spacing w:after="120"/>
      <w:ind w:firstLine="420" w:firstLineChars="100"/>
    </w:pPr>
    <w:rPr>
      <w:rFonts w:ascii="Times New Roman" w:hAnsi="Times New Roman" w:eastAsia="宋体"/>
      <w:sz w:val="24"/>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Typewriter"/>
    <w:basedOn w:val="63"/>
    <w:qFormat/>
    <w:uiPriority w:val="0"/>
    <w:rPr>
      <w:rFonts w:ascii="宋体" w:hAnsi="宋体" w:eastAsia="宋体"/>
      <w:sz w:val="24"/>
    </w:rPr>
  </w:style>
  <w:style w:type="character" w:styleId="71">
    <w:name w:val="Hyperlink"/>
    <w:basedOn w:val="63"/>
    <w:qFormat/>
    <w:uiPriority w:val="99"/>
    <w:rPr>
      <w:color w:val="0000FF"/>
      <w:u w:val="single"/>
    </w:rPr>
  </w:style>
  <w:style w:type="character" w:styleId="72">
    <w:name w:val="annotation reference"/>
    <w:basedOn w:val="63"/>
    <w:qFormat/>
    <w:uiPriority w:val="99"/>
    <w:rPr>
      <w:sz w:val="21"/>
    </w:rPr>
  </w:style>
  <w:style w:type="character" w:styleId="73">
    <w:name w:val="footnote reference"/>
    <w:basedOn w:val="63"/>
    <w:qFormat/>
    <w:uiPriority w:val="0"/>
    <w:rPr>
      <w:vertAlign w:val="superscript"/>
    </w:rPr>
  </w:style>
  <w:style w:type="character" w:styleId="74">
    <w:name w:val="HTML Sample"/>
    <w:basedOn w:val="63"/>
    <w:qFormat/>
    <w:uiPriority w:val="0"/>
    <w:rPr>
      <w:rFonts w:ascii="Courier New" w:hAnsi="宋体" w:eastAsia="宋体"/>
    </w:rPr>
  </w:style>
  <w:style w:type="paragraph" w:customStyle="1" w:styleId="75">
    <w:name w:val="正文 New"/>
    <w:basedOn w:val="1"/>
    <w:qFormat/>
    <w:uiPriority w:val="0"/>
    <w:pPr>
      <w:spacing w:before="100" w:beforeAutospacing="1" w:after="100" w:afterAutospacing="1" w:line="440" w:lineRule="exact"/>
      <w:ind w:left="357" w:hanging="357"/>
    </w:pPr>
    <w:rPr>
      <w:szCs w:val="21"/>
    </w:rPr>
  </w:style>
  <w:style w:type="character" w:customStyle="1" w:styleId="76">
    <w:name w:val="页脚 Char1"/>
    <w:basedOn w:val="63"/>
    <w:qFormat/>
    <w:uiPriority w:val="0"/>
    <w:rPr>
      <w:rFonts w:cs="Times New Roman"/>
      <w:kern w:val="2"/>
      <w:sz w:val="18"/>
      <w:szCs w:val="18"/>
    </w:rPr>
  </w:style>
  <w:style w:type="character" w:customStyle="1" w:styleId="77">
    <w:name w:val="正文文本 字符"/>
    <w:basedOn w:val="63"/>
    <w:link w:val="27"/>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字符"/>
    <w:basedOn w:val="63"/>
    <w:link w:val="11"/>
    <w:qFormat/>
    <w:uiPriority w:val="0"/>
    <w:rPr>
      <w:rFonts w:ascii="黑体" w:hAnsi="Times New Roman" w:eastAsia="黑体" w:cs="Times New Roman"/>
      <w:b/>
      <w:color w:val="000000"/>
      <w:kern w:val="0"/>
      <w:sz w:val="20"/>
      <w:szCs w:val="20"/>
    </w:rPr>
  </w:style>
  <w:style w:type="character" w:customStyle="1" w:styleId="80">
    <w:name w:val="Body Text Indent 3 Char1"/>
    <w:basedOn w:val="63"/>
    <w:qFormat/>
    <w:uiPriority w:val="0"/>
    <w:rPr>
      <w:rFonts w:ascii="Times New Roman" w:hAnsi="Times New Roman"/>
      <w:kern w:val="2"/>
      <w:sz w:val="16"/>
      <w:szCs w:val="16"/>
    </w:rPr>
  </w:style>
  <w:style w:type="character" w:customStyle="1" w:styleId="81">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3"/>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3"/>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3"/>
    <w:qFormat/>
    <w:uiPriority w:val="0"/>
    <w:rPr>
      <w:rFonts w:ascii="Times New Roman" w:hAnsi="Times New Roman" w:eastAsia="宋体" w:cs="Times New Roman"/>
      <w:b/>
      <w:bCs/>
      <w:sz w:val="32"/>
      <w:szCs w:val="32"/>
    </w:rPr>
  </w:style>
  <w:style w:type="character" w:customStyle="1" w:styleId="89">
    <w:name w:val="标题 4 字符"/>
    <w:basedOn w:val="63"/>
    <w:link w:val="6"/>
    <w:qFormat/>
    <w:uiPriority w:val="0"/>
    <w:rPr>
      <w:rFonts w:ascii="Arial" w:hAnsi="Arial" w:eastAsia="黑体" w:cs="Times New Roman"/>
      <w:b/>
      <w:sz w:val="20"/>
      <w:szCs w:val="20"/>
    </w:rPr>
  </w:style>
  <w:style w:type="character" w:customStyle="1" w:styleId="90">
    <w:name w:val="正文文本 3 字符"/>
    <w:basedOn w:val="63"/>
    <w:link w:val="26"/>
    <w:qFormat/>
    <w:uiPriority w:val="0"/>
    <w:rPr>
      <w:rFonts w:ascii="仿宋_GB2312" w:hAnsi="Arial" w:eastAsia="仿宋_GB2312" w:cs="Times New Roman"/>
      <w:sz w:val="20"/>
      <w:szCs w:val="20"/>
    </w:rPr>
  </w:style>
  <w:style w:type="character" w:customStyle="1" w:styleId="91">
    <w:name w:val="正文文本缩进 Char"/>
    <w:basedOn w:val="63"/>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3"/>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文本首行缩进 字符"/>
    <w:basedOn w:val="77"/>
    <w:link w:val="60"/>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3"/>
    <w:qFormat/>
    <w:uiPriority w:val="0"/>
    <w:rPr>
      <w:rFonts w:cs="Times New Roman"/>
    </w:rPr>
  </w:style>
  <w:style w:type="character" w:customStyle="1" w:styleId="109">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0">
    <w:name w:val="纯文本 Char"/>
    <w:basedOn w:val="63"/>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字符"/>
    <w:basedOn w:val="63"/>
    <w:link w:val="48"/>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3"/>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字符"/>
    <w:basedOn w:val="63"/>
    <w:link w:val="31"/>
    <w:qFormat/>
    <w:uiPriority w:val="99"/>
    <w:rPr>
      <w:rFonts w:ascii="宋体" w:hAnsi="Courier New" w:cs="Courier New"/>
      <w:kern w:val="2"/>
      <w:sz w:val="21"/>
      <w:szCs w:val="21"/>
    </w:rPr>
  </w:style>
  <w:style w:type="character" w:customStyle="1" w:styleId="123">
    <w:name w:val="标题 6 字符"/>
    <w:basedOn w:val="63"/>
    <w:link w:val="12"/>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3"/>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字符"/>
    <w:basedOn w:val="63"/>
    <w:link w:val="23"/>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字符"/>
    <w:basedOn w:val="63"/>
    <w:link w:val="40"/>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字符"/>
    <w:basedOn w:val="63"/>
    <w:link w:val="46"/>
    <w:qFormat/>
    <w:uiPriority w:val="0"/>
    <w:rPr>
      <w:rFonts w:ascii="Times New Roman" w:hAnsi="Times New Roman" w:eastAsia="宋体" w:cs="Times New Roman"/>
      <w:sz w:val="18"/>
      <w:szCs w:val="18"/>
    </w:rPr>
  </w:style>
  <w:style w:type="character" w:customStyle="1" w:styleId="135">
    <w:name w:val="页眉 字符"/>
    <w:basedOn w:val="63"/>
    <w:link w:val="39"/>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3"/>
    <w:qFormat/>
    <w:uiPriority w:val="0"/>
    <w:rPr>
      <w:rFonts w:cs="Times New Roman"/>
    </w:rPr>
  </w:style>
  <w:style w:type="character" w:customStyle="1" w:styleId="138">
    <w:name w:val="标题 7 字符"/>
    <w:basedOn w:val="63"/>
    <w:link w:val="13"/>
    <w:qFormat/>
    <w:uiPriority w:val="0"/>
    <w:rPr>
      <w:rFonts w:ascii="Times New Roman" w:hAnsi="Times New Roman" w:eastAsia="宋体" w:cs="Times New Roman"/>
      <w:b/>
      <w:bCs/>
      <w:sz w:val="24"/>
      <w:szCs w:val="24"/>
    </w:rPr>
  </w:style>
  <w:style w:type="character" w:customStyle="1" w:styleId="139">
    <w:name w:val="Title Char1"/>
    <w:basedOn w:val="63"/>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字符"/>
    <w:basedOn w:val="63"/>
    <w:link w:val="34"/>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字符"/>
    <w:basedOn w:val="129"/>
    <w:link w:val="59"/>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20"/>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字符"/>
    <w:basedOn w:val="63"/>
    <w:link w:val="14"/>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3"/>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3"/>
    <w:qFormat/>
    <w:uiPriority w:val="0"/>
    <w:rPr>
      <w:rFonts w:ascii="Times New Roman" w:hAnsi="Times New Roman"/>
      <w:kern w:val="2"/>
      <w:sz w:val="21"/>
    </w:rPr>
  </w:style>
  <w:style w:type="character" w:customStyle="1" w:styleId="158">
    <w:name w:val="标题 9 字符"/>
    <w:basedOn w:val="63"/>
    <w:link w:val="15"/>
    <w:qFormat/>
    <w:uiPriority w:val="0"/>
    <w:rPr>
      <w:rFonts w:ascii="Arial" w:hAnsi="Arial" w:eastAsia="黑体" w:cs="Times New Roman"/>
      <w:sz w:val="21"/>
      <w:szCs w:val="21"/>
    </w:rPr>
  </w:style>
  <w:style w:type="character" w:customStyle="1" w:styleId="159">
    <w:name w:val="明显强调1"/>
    <w:basedOn w:val="63"/>
    <w:qFormat/>
    <w:uiPriority w:val="0"/>
    <w:rPr>
      <w:b/>
    </w:rPr>
  </w:style>
  <w:style w:type="character" w:customStyle="1" w:styleId="160">
    <w:name w:val="标题 2 字符"/>
    <w:basedOn w:val="63"/>
    <w:link w:val="3"/>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3"/>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字符"/>
    <w:basedOn w:val="63"/>
    <w:link w:val="35"/>
    <w:qFormat/>
    <w:uiPriority w:val="0"/>
    <w:rPr>
      <w:rFonts w:ascii="Times New Roman" w:hAnsi="Times New Roman" w:eastAsia="宋体" w:cs="Times New Roman"/>
      <w:sz w:val="20"/>
      <w:szCs w:val="20"/>
    </w:rPr>
  </w:style>
  <w:style w:type="character" w:customStyle="1" w:styleId="165">
    <w:name w:val="Quote Char1"/>
    <w:basedOn w:val="63"/>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3"/>
    <w:qFormat/>
    <w:uiPriority w:val="0"/>
    <w:rPr>
      <w:rFonts w:ascii="宋体" w:hAnsi="Times New Roman" w:eastAsia="宋体" w:cs="Times New Roman"/>
      <w:sz w:val="18"/>
      <w:szCs w:val="18"/>
    </w:rPr>
  </w:style>
  <w:style w:type="character" w:customStyle="1" w:styleId="168">
    <w:name w:val="HTML 预设格式 字符"/>
    <w:basedOn w:val="63"/>
    <w:link w:val="55"/>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字符"/>
    <w:basedOn w:val="63"/>
    <w:link w:val="9"/>
    <w:qFormat/>
    <w:uiPriority w:val="0"/>
    <w:rPr>
      <w:rFonts w:ascii="Times New Roman" w:hAnsi="Times New Roman"/>
      <w:kern w:val="2"/>
      <w:sz w:val="21"/>
    </w:rPr>
  </w:style>
  <w:style w:type="character" w:customStyle="1" w:styleId="171">
    <w:name w:val="标题 字符"/>
    <w:basedOn w:val="63"/>
    <w:link w:val="58"/>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字符"/>
    <w:basedOn w:val="63"/>
    <w:link w:val="54"/>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3"/>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3"/>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字符"/>
    <w:basedOn w:val="63"/>
    <w:link w:val="2"/>
    <w:qFormat/>
    <w:uiPriority w:val="0"/>
    <w:rPr>
      <w:rFonts w:ascii="黑体" w:hAnsi="Times New Roman" w:eastAsia="黑体" w:cs="Times New Roman"/>
      <w:b/>
      <w:kern w:val="44"/>
      <w:sz w:val="28"/>
      <w:szCs w:val="28"/>
    </w:rPr>
  </w:style>
  <w:style w:type="character" w:customStyle="1" w:styleId="192">
    <w:name w:val="明显参考1"/>
    <w:basedOn w:val="63"/>
    <w:qFormat/>
    <w:uiPriority w:val="0"/>
    <w:rPr>
      <w:smallCaps/>
      <w:spacing w:val="5"/>
      <w:u w:val="single"/>
    </w:rPr>
  </w:style>
  <w:style w:type="character" w:customStyle="1" w:styleId="193">
    <w:name w:val="称呼 字符"/>
    <w:basedOn w:val="63"/>
    <w:link w:val="25"/>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字符"/>
    <w:basedOn w:val="63"/>
    <w:link w:val="22"/>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字符"/>
    <w:basedOn w:val="63"/>
    <w:link w:val="38"/>
    <w:qFormat/>
    <w:uiPriority w:val="0"/>
    <w:rPr>
      <w:rFonts w:cs="Times New Roman"/>
      <w:sz w:val="18"/>
      <w:szCs w:val="18"/>
    </w:rPr>
  </w:style>
  <w:style w:type="character" w:customStyle="1" w:styleId="200">
    <w:name w:val="书籍标题1"/>
    <w:basedOn w:val="63"/>
    <w:qFormat/>
    <w:uiPriority w:val="0"/>
    <w:rPr>
      <w:i/>
      <w:smallCaps/>
      <w:spacing w:val="5"/>
    </w:rPr>
  </w:style>
  <w:style w:type="character" w:customStyle="1" w:styleId="201">
    <w:name w:val="不明显参考1"/>
    <w:basedOn w:val="63"/>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字符"/>
    <w:basedOn w:val="63"/>
    <w:link w:val="5"/>
    <w:qFormat/>
    <w:uiPriority w:val="0"/>
    <w:rPr>
      <w:rFonts w:ascii="宋体" w:hAnsi="宋体" w:eastAsia="宋体"/>
      <w:b/>
      <w:sz w:val="21"/>
      <w:shd w:val="clear" w:color="auto" w:fill="FFFFFF"/>
    </w:rPr>
  </w:style>
  <w:style w:type="character" w:customStyle="1" w:styleId="205">
    <w:name w:val="Char Char22"/>
    <w:qFormat/>
    <w:uiPriority w:val="0"/>
    <w:rPr>
      <w:b/>
      <w:kern w:val="2"/>
      <w:sz w:val="24"/>
    </w:rPr>
  </w:style>
  <w:style w:type="character" w:customStyle="1" w:styleId="206">
    <w:name w:val="批注框文本 字符"/>
    <w:basedOn w:val="63"/>
    <w:link w:val="37"/>
    <w:qFormat/>
    <w:uiPriority w:val="0"/>
    <w:rPr>
      <w:rFonts w:ascii="Times New Roman" w:hAnsi="Times New Roman" w:eastAsia="宋体" w:cs="Times New Roman"/>
      <w:sz w:val="18"/>
      <w:szCs w:val="18"/>
    </w:rPr>
  </w:style>
  <w:style w:type="character" w:customStyle="1" w:styleId="207">
    <w:name w:val="尾注文本 字符"/>
    <w:basedOn w:val="63"/>
    <w:link w:val="36"/>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2"/>
    <w:qFormat/>
    <w:uiPriority w:val="0"/>
  </w:style>
  <w:style w:type="paragraph" w:customStyle="1" w:styleId="232">
    <w:name w:val="样式 样式 首行缩进:  2 字符 + 行距: 1.5 倍行距"/>
    <w:basedOn w:val="1"/>
    <w:qFormat/>
    <w:uiPriority w:val="0"/>
    <w:pPr>
      <w:spacing w:line="360" w:lineRule="auto"/>
      <w:ind w:firstLine="470" w:firstLineChars="196"/>
    </w:pPr>
    <w:rPr>
      <w:sz w:val="24"/>
    </w:rPr>
  </w:style>
  <w:style w:type="paragraph" w:customStyle="1" w:styleId="233">
    <w:name w:val="正文11"/>
    <w:basedOn w:val="1"/>
    <w:next w:val="1"/>
    <w:qFormat/>
    <w:uiPriority w:val="0"/>
    <w:pPr>
      <w:spacing w:before="156" w:line="360" w:lineRule="auto"/>
      <w:ind w:firstLine="510" w:firstLineChars="200"/>
    </w:pPr>
    <w:rPr>
      <w:sz w:val="24"/>
    </w:rPr>
  </w:style>
  <w:style w:type="paragraph" w:customStyle="1" w:styleId="234">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qFormat/>
    <w:uiPriority w:val="0"/>
    <w:rPr>
      <w:rFonts w:ascii="Tahoma" w:hAnsi="Tahoma"/>
      <w:sz w:val="24"/>
    </w:rPr>
  </w:style>
  <w:style w:type="paragraph" w:customStyle="1" w:styleId="236">
    <w:name w:val="丁华正文"/>
    <w:basedOn w:val="48"/>
    <w:qFormat/>
    <w:uiPriority w:val="0"/>
    <w:pPr>
      <w:adjustRightInd w:val="0"/>
      <w:snapToGrid w:val="0"/>
      <w:spacing w:line="360" w:lineRule="auto"/>
      <w:ind w:left="0" w:firstLine="510"/>
    </w:pPr>
    <w:rPr>
      <w:sz w:val="24"/>
    </w:rPr>
  </w:style>
  <w:style w:type="paragraph" w:customStyle="1" w:styleId="237">
    <w:name w:val="正文 居中"/>
    <w:basedOn w:val="1"/>
    <w:qFormat/>
    <w:uiPriority w:val="0"/>
    <w:pPr>
      <w:spacing w:line="360" w:lineRule="auto"/>
      <w:jc w:val="center"/>
    </w:pPr>
    <w:rPr>
      <w:sz w:val="24"/>
    </w:rPr>
  </w:style>
  <w:style w:type="paragraph" w:customStyle="1" w:styleId="238">
    <w:name w:val="Char Char3"/>
    <w:basedOn w:val="1"/>
    <w:qFormat/>
    <w:uiPriority w:val="0"/>
    <w:rPr>
      <w:rFonts w:ascii="Tahoma" w:hAnsi="Tahoma" w:cs="Tahoma"/>
      <w:sz w:val="24"/>
    </w:rPr>
  </w:style>
  <w:style w:type="paragraph" w:customStyle="1" w:styleId="239">
    <w:name w:val="Char Char Char Char Char"/>
    <w:basedOn w:val="1"/>
    <w:qFormat/>
    <w:uiPriority w:val="0"/>
    <w:rPr>
      <w:rFonts w:ascii="Tahoma" w:hAnsi="Tahoma"/>
      <w:sz w:val="24"/>
    </w:rPr>
  </w:style>
  <w:style w:type="paragraph" w:customStyle="1" w:styleId="24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qFormat/>
    <w:uiPriority w:val="0"/>
    <w:rPr>
      <w:rFonts w:ascii="Tahoma" w:hAnsi="Tahoma" w:cs="Tahoma"/>
      <w:sz w:val="24"/>
    </w:rPr>
  </w:style>
  <w:style w:type="paragraph" w:customStyle="1" w:styleId="242">
    <w:name w:val="样式"/>
    <w:basedOn w:val="1"/>
    <w:qFormat/>
    <w:uiPriority w:val="0"/>
    <w:pPr>
      <w:autoSpaceDE w:val="0"/>
      <w:autoSpaceDN w:val="0"/>
      <w:snapToGrid w:val="0"/>
      <w:spacing w:before="120" w:after="120" w:line="360" w:lineRule="auto"/>
    </w:pPr>
    <w:rPr>
      <w:rFonts w:ascii="宋体"/>
      <w:sz w:val="24"/>
    </w:rPr>
  </w:style>
  <w:style w:type="paragraph" w:customStyle="1" w:styleId="24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2"/>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qFormat/>
    <w:uiPriority w:val="0"/>
    <w:pPr>
      <w:spacing w:line="360" w:lineRule="auto"/>
      <w:ind w:firstLine="480" w:firstLineChars="200"/>
    </w:pPr>
    <w:rPr>
      <w:rFonts w:ascii="Arial" w:hAnsi="Arial"/>
      <w:sz w:val="24"/>
      <w:szCs w:val="21"/>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qFormat/>
    <w:uiPriority w:val="0"/>
    <w:rPr>
      <w:rFonts w:ascii="Tahoma" w:hAnsi="Tahoma"/>
      <w:sz w:val="24"/>
    </w:rPr>
  </w:style>
  <w:style w:type="paragraph" w:customStyle="1" w:styleId="2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qFormat/>
    <w:uiPriority w:val="0"/>
    <w:rPr>
      <w:sz w:val="24"/>
      <w:szCs w:val="24"/>
    </w:rPr>
  </w:style>
  <w:style w:type="paragraph" w:customStyle="1" w:styleId="252">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qFormat/>
    <w:uiPriority w:val="0"/>
    <w:pPr>
      <w:tabs>
        <w:tab w:val="left" w:pos="693"/>
      </w:tabs>
      <w:ind w:left="482"/>
      <w:outlineLvl w:val="0"/>
    </w:pPr>
    <w:rPr>
      <w:color w:val="000000"/>
      <w:sz w:val="24"/>
      <w:szCs w:val="24"/>
    </w:rPr>
  </w:style>
  <w:style w:type="paragraph" w:customStyle="1" w:styleId="25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7">
    <w:name w:val="正文表标题"/>
    <w:next w:val="24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qFormat/>
    <w:uiPriority w:val="0"/>
  </w:style>
  <w:style w:type="paragraph" w:customStyle="1" w:styleId="259">
    <w:name w:val="Char Char Char1"/>
    <w:basedOn w:val="22"/>
    <w:qFormat/>
    <w:uiPriority w:val="0"/>
    <w:pPr>
      <w:spacing w:line="436" w:lineRule="exact"/>
    </w:pPr>
    <w:rPr>
      <w:szCs w:val="24"/>
    </w:rPr>
  </w:style>
  <w:style w:type="paragraph" w:customStyle="1" w:styleId="260">
    <w:name w:val="表格1"/>
    <w:basedOn w:val="1"/>
    <w:qFormat/>
    <w:uiPriority w:val="0"/>
    <w:pPr>
      <w:adjustRightInd w:val="0"/>
      <w:textAlignment w:val="baseline"/>
    </w:pPr>
    <w:rPr>
      <w:rFonts w:ascii="宋体"/>
      <w:kern w:val="24"/>
      <w:szCs w:val="21"/>
    </w:rPr>
  </w:style>
  <w:style w:type="paragraph" w:customStyle="1" w:styleId="261">
    <w:name w:val="项目符号：一级"/>
    <w:basedOn w:val="255"/>
    <w:next w:val="255"/>
    <w:qFormat/>
    <w:uiPriority w:val="0"/>
    <w:pPr>
      <w:ind w:right="-134" w:rightChars="-64"/>
    </w:pPr>
    <w:rPr>
      <w:bCs w:val="0"/>
    </w:r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qFormat/>
    <w:uiPriority w:val="0"/>
    <w:rPr>
      <w:rFonts w:ascii="Tahoma" w:hAnsi="Tahoma" w:cs="Tahoma"/>
      <w:sz w:val="24"/>
    </w:rPr>
  </w:style>
  <w:style w:type="paragraph" w:customStyle="1" w:styleId="264">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qFormat/>
    <w:uiPriority w:val="0"/>
    <w:pPr>
      <w:spacing w:after="120"/>
      <w:ind w:left="420" w:leftChars="200"/>
    </w:pPr>
    <w:rPr>
      <w:szCs w:val="24"/>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5"/>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7"/>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2"/>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4"/>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9"/>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3"/>
    <w:next w:val="236"/>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5"/>
    <w:next w:val="255"/>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5"/>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2"/>
    <w:next w:val="236"/>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5"/>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22"/>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11"/>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3"/>
    <w:semiHidden/>
    <w:qFormat/>
    <w:uiPriority w:val="99"/>
    <w:rPr>
      <w:rFonts w:ascii="Times New Roman" w:hAnsi="Times New Roman" w:eastAsia="宋体" w:cs="Times New Roman"/>
      <w:szCs w:val="24"/>
    </w:rPr>
  </w:style>
  <w:style w:type="paragraph" w:customStyle="1" w:styleId="416">
    <w:name w:val="D&amp;L"/>
    <w:basedOn w:val="39"/>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7">
    <w:name w:val="网格型1"/>
    <w:basedOn w:val="6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8">
    <w:name w:val="Char Char Char Char Char Char Char1 Char"/>
    <w:basedOn w:val="1"/>
    <w:qFormat/>
    <w:uiPriority w:val="0"/>
    <w:rPr>
      <w:rFonts w:ascii="Arial" w:hAnsi="Arial" w:cs="Arial"/>
      <w:sz w:val="24"/>
    </w:rPr>
  </w:style>
  <w:style w:type="paragraph" w:customStyle="1" w:styleId="419">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1600</Words>
  <Characters>1719</Characters>
  <Lines>195</Lines>
  <Paragraphs>55</Paragraphs>
  <TotalTime>0</TotalTime>
  <ScaleCrop>false</ScaleCrop>
  <LinksUpToDate>false</LinksUpToDate>
  <CharactersWithSpaces>1848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2018-11-30T11:11:00Z</dcterms:created>
  <dc:creator>Windows 用户</dc:creator>
  <cp:lastModifiedBy>品诺酒店用品</cp:lastModifiedBy>
  <cp:lastPrinted>2019-08-28T12:01:00Z</cp:lastPrinted>
  <dcterms:modified xsi:type="dcterms:W3CDTF">2025-06-03T08:57:47Z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B0E47717689D4474973225CB025ECC33_13</vt:lpwstr>
  </property>
  <property fmtid="{D5CDD505-2E9C-101B-9397-08002B2CF9AE}" pid="4" name="KSOTemplateDocerSaveRecord">
    <vt:lpwstr>eyJoZGlkIjoiNDFjNjc4MzM2NGNhOTY1ZjQ2ZmNmMWE4MmVlYzQxYjkiLCJ1c2VySWQiOiIzMDI1ODcyMjYifQ==</vt:lpwstr>
  </property>
</Properties>
</file>