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音乐北楼舞蹈房</w:t>
      </w:r>
      <w:r>
        <w:rPr>
          <w:rFonts w:hint="eastAsia"/>
          <w:b/>
          <w:bCs/>
          <w:sz w:val="36"/>
          <w:szCs w:val="44"/>
          <w:lang w:val="en-US" w:eastAsia="zh-CN"/>
        </w:rPr>
        <w:t>设施设备采购及安装</w:t>
      </w:r>
      <w:r>
        <w:rPr>
          <w:rFonts w:hint="eastAsia"/>
          <w:b/>
          <w:bCs/>
          <w:sz w:val="36"/>
          <w:szCs w:val="44"/>
        </w:rPr>
        <w:t>项目</w:t>
      </w:r>
      <w:r>
        <w:rPr>
          <w:rFonts w:hint="eastAsia"/>
          <w:b/>
          <w:bCs/>
          <w:sz w:val="36"/>
          <w:szCs w:val="44"/>
          <w:lang w:val="en-US" w:eastAsia="zh-CN"/>
        </w:rPr>
        <w:t>清单</w:t>
      </w:r>
      <w:r>
        <w:rPr>
          <w:rFonts w:hint="eastAsia"/>
          <w:b/>
          <w:bCs/>
          <w:sz w:val="36"/>
          <w:szCs w:val="44"/>
        </w:rPr>
        <w:t xml:space="preserve"> </w:t>
      </w:r>
    </w:p>
    <w:tbl>
      <w:tblPr>
        <w:tblStyle w:val="5"/>
        <w:tblW w:w="10620" w:type="dxa"/>
        <w:tblInd w:w="-1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673"/>
        <w:gridCol w:w="3492"/>
        <w:gridCol w:w="933"/>
        <w:gridCol w:w="813"/>
        <w:gridCol w:w="987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73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3492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品牌/型号/规格/要求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13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987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03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noWrap/>
          </w:tcPr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673" w:type="dxa"/>
            <w:noWrap/>
          </w:tcPr>
          <w:p>
            <w:pPr>
              <w:jc w:val="left"/>
              <w:rPr>
                <w:b/>
                <w:bCs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Theme="minorEastAsia" w:hAnsiTheme="minorEastAsia" w:cstheme="minorEastAsia"/>
                <w:szCs w:val="21"/>
              </w:rPr>
              <w:t>专业舞蹈房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PVC运动地板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eastAsia="宋体"/>
                <w:sz w:val="24"/>
              </w:rPr>
              <w:drawing>
                <wp:inline distT="0" distB="0" distL="114300" distR="114300">
                  <wp:extent cx="1203960" cy="1203960"/>
                  <wp:effectExtent l="0" t="0" r="15240" b="15240"/>
                  <wp:docPr id="2" name="图片 1" descr="583582a544ec15cc5e038644a69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83582a544ec15cc5e038644a6985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地板采用优质PVC原生料，环保增塑剂，无甲醛、重金属等有害物质， 1.5mm厚度以上的耐磨层，面层纯PVC树脂材料强化作用，更好提升地板耐磨强度，确保不易被磨损，纹路完好，玻璃纤维网格布夹带设计，形成强劲稳定结构，防止高频率使用场地尺寸变形、起鼓、断裂。硬度（邵A）：55-90（度），抗划痕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2.拉伸强度≥1.0Mpa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3.拉断伸长率≥120%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4.可溶性重金属铅含量≤20mg/㎡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5.可溶性重金属镉含量≤20mg/㎡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6.挥发物含量≤35g/㎡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7.氯乙烯含量：未检出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8.厚度5.0毫米及以上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9.防火燃烧性能B1级，20s内焰尖高度≤120mm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 w:val="0"/>
                <w:bCs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.焊接强度，平均值≥450N/50mm；最小值≥300N/50mm</w:t>
            </w:r>
          </w:p>
          <w:p>
            <w:pPr>
              <w:rPr>
                <w:rFonts w:asciiTheme="minorEastAsia" w:hAnsi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热老化试验，温度不低于7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°C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,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时长不短于1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68h,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产品外观正反面均无气泡、裂纹、分层、粘结和孔洞，检测报告需附产品热老化试验前后对比照片</w:t>
            </w:r>
          </w:p>
          <w:p>
            <w:pP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.提供自然气候暴露试验时长不少1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-12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个月的检测报告，自然气候暴露后，外观表面无开裂、粉化现象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 w:val="0"/>
                <w:bCs/>
                <w:szCs w:val="21"/>
              </w:rPr>
              <w:t>13.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耐环境应力开裂测试时长不少于12000h，破裂率为0%</w:t>
            </w:r>
          </w:p>
          <w:p>
            <w:pP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 w:val="0"/>
                <w:bCs/>
                <w:szCs w:val="21"/>
              </w:rPr>
              <w:t>4.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耐湿热老化不少于13000h后，外观无明显变化，灰卡评级4级。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平方米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13" w:type="dxa"/>
            <w:noWrap/>
          </w:tcPr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1050</w:t>
            </w: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</w:tc>
        <w:tc>
          <w:tcPr>
            <w:tcW w:w="987" w:type="dxa"/>
            <w:noWrap/>
          </w:tcPr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690" w:type="dxa"/>
            <w:noWrap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673" w:type="dxa"/>
            <w:noWrap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移动舞蹈房把杆</w:t>
            </w: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3" name="图片 2" descr="374370407727d4e7c0de1717ac032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74370407727d4e7c0de1717ac032b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尺寸：把杆总长</w:t>
            </w:r>
            <w:r>
              <w:rPr>
                <w:rFonts w:asciiTheme="minorEastAsia" w:hAnsiTheme="minorEastAsia" w:cstheme="minorEastAsia"/>
                <w:b w:val="0"/>
                <w:bCs/>
                <w:sz w:val="24"/>
              </w:rPr>
              <w:t>50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米，2.5米一套，2个底座。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要求：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（1）底座:纯铸铁重量50公斤一对，底座直径43厘米，白色烤漆立柱管6.0cm直径，实心钢升降内芯直径3.5cm，升降方式碰珠插拔双锁定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 xml:space="preserve">                     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（2）把杆：材质水曲柳木，直径 5.5厘米，内置直径2.5cm锰钢，表面打磨光滑，涂清漆3遍，光滑耐磨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。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套</w:t>
            </w:r>
          </w:p>
          <w:p>
            <w:pPr>
              <w:rPr>
                <w:sz w:val="20"/>
                <w:szCs w:val="22"/>
              </w:rPr>
            </w:pPr>
          </w:p>
          <w:p>
            <w:pPr>
              <w:rPr>
                <w:sz w:val="20"/>
                <w:szCs w:val="22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813" w:type="dxa"/>
            <w:noWrap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987" w:type="dxa"/>
            <w:noWrap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690" w:type="dxa"/>
            <w:noWrap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673" w:type="dxa"/>
            <w:noWrap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舞蹈房落地固定支架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固定把杆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sz w:val="24"/>
              </w:rPr>
              <w:drawing>
                <wp:inline distT="0" distB="0" distL="114300" distR="114300">
                  <wp:extent cx="1203960" cy="636905"/>
                  <wp:effectExtent l="0" t="0" r="15240" b="10795"/>
                  <wp:docPr id="4" name="图片 3" descr="386c8995bbe778c712d8d45f2d497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86c8995bbe778c712d8d45f2d497a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尺寸：把杆总长3</w:t>
            </w:r>
            <w:r>
              <w:rPr>
                <w:rFonts w:asciiTheme="minorEastAsia" w:hAnsiTheme="minorEastAsia" w:cstheme="minorEastAsia"/>
                <w:b w:val="0"/>
                <w:bCs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米，2.5米一套，白色烤漆立柱管6.0cm直径，实心钢升降内芯直径3.5cm ，把杆直径5.5cm，圆润光滑，柔韧性好，不开裂，内含2.5cm弹簧实心锰钢。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要求：实木材质（水曲柳），底座材质：配置两组全电镀升降调节立杆，三角撑架以及调节立杆烤漆处理，活动升降内芯为优质镀洛管。升降方式为碰珠插拔双锁，打膨胀螺丝固定地面调节高度：80-120厘米。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3" w:type="dxa"/>
            <w:noWrap/>
          </w:tcPr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12</w:t>
            </w:r>
          </w:p>
        </w:tc>
        <w:tc>
          <w:tcPr>
            <w:tcW w:w="987" w:type="dxa"/>
            <w:noWrap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690" w:type="dxa"/>
            <w:noWrap/>
          </w:tcPr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rFonts w:hint="eastAsia"/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2673" w:type="dxa"/>
            <w:noWrap/>
          </w:tcPr>
          <w:p>
            <w:pPr>
              <w:rPr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舞蹈房镜子</w:t>
            </w:r>
          </w:p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drawing>
                <wp:inline distT="0" distB="0" distL="114300" distR="114300">
                  <wp:extent cx="1203325" cy="1203325"/>
                  <wp:effectExtent l="0" t="0" r="15875" b="15875"/>
                  <wp:docPr id="6" name="图片 5" descr="3e5bfc5b52b1ed35f1f1061f2098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e5bfc5b52b1ed35f1f1061f2098a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铝合金包边，背面采用镀银技术，厚度5mm，中间直边连接，确保美观，含安装及调试；镜面基础, 打磨, 涮基膜, 着平。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1、规格：单位尺寸：约 1800*800mm（长深高）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2、材质：背面采用镀银技术，厚度5mm，防爆玻璃镜；3、粘合安装，金色边框；中间直边连接，确保美观，含安装及调试，镜面基础, 打磨, 涮基膜, 着平；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4、具体样式可参看附件设计效果图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5、含运输及安装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平方米</w:t>
            </w:r>
          </w:p>
        </w:tc>
        <w:tc>
          <w:tcPr>
            <w:tcW w:w="813" w:type="dxa"/>
            <w:noWrap/>
          </w:tcPr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987" w:type="dxa"/>
            <w:noWrap/>
          </w:tcPr>
          <w:p>
            <w:pPr>
              <w:rPr>
                <w:sz w:val="24"/>
                <w:szCs w:val="32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1032" w:type="dxa"/>
            <w:noWrap/>
          </w:tcPr>
          <w:p>
            <w:pPr>
              <w:rPr>
                <w:sz w:val="24"/>
                <w:szCs w:val="32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8" w:type="dxa"/>
            <w:gridSpan w:val="6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032" w:type="dxa"/>
            <w:noWrap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20" w:type="dxa"/>
            <w:gridSpan w:val="7"/>
            <w:noWrap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  <w:r>
              <w:rPr>
                <w:rFonts w:hint="eastAsia"/>
                <w:lang w:val="en-US" w:eastAsia="zh-CN"/>
              </w:rPr>
              <w:t>对加★的产品，需提供国家认可的第三方有权机构出具的检测报告。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9F0A5"/>
    <w:multiLevelType w:val="singleLevel"/>
    <w:tmpl w:val="BBD9F0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62781D"/>
    <w:multiLevelType w:val="singleLevel"/>
    <w:tmpl w:val="5A6278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NDljOTA3NGJiZTQwZDk2ZGY5NGRmMTgwNWM3NTQifQ=="/>
  </w:docVars>
  <w:rsids>
    <w:rsidRoot w:val="00A84DFD"/>
    <w:rsid w:val="000532C8"/>
    <w:rsid w:val="0016116E"/>
    <w:rsid w:val="002020CE"/>
    <w:rsid w:val="00236393"/>
    <w:rsid w:val="002E22BD"/>
    <w:rsid w:val="00364D87"/>
    <w:rsid w:val="003B4464"/>
    <w:rsid w:val="005928C4"/>
    <w:rsid w:val="00731531"/>
    <w:rsid w:val="008A1A5E"/>
    <w:rsid w:val="008E367F"/>
    <w:rsid w:val="009B11AB"/>
    <w:rsid w:val="009D555E"/>
    <w:rsid w:val="00A73669"/>
    <w:rsid w:val="00A84DFD"/>
    <w:rsid w:val="00AB5902"/>
    <w:rsid w:val="00B74B74"/>
    <w:rsid w:val="00BA529D"/>
    <w:rsid w:val="00C7210F"/>
    <w:rsid w:val="00EF7032"/>
    <w:rsid w:val="00F02707"/>
    <w:rsid w:val="00F245EE"/>
    <w:rsid w:val="01D538F8"/>
    <w:rsid w:val="02226FAC"/>
    <w:rsid w:val="036D28B4"/>
    <w:rsid w:val="037A0CE5"/>
    <w:rsid w:val="03DF1EB4"/>
    <w:rsid w:val="04175A93"/>
    <w:rsid w:val="057902D9"/>
    <w:rsid w:val="05BA5733"/>
    <w:rsid w:val="060D67CB"/>
    <w:rsid w:val="07817483"/>
    <w:rsid w:val="07C3370E"/>
    <w:rsid w:val="084D0F58"/>
    <w:rsid w:val="08711B6E"/>
    <w:rsid w:val="08CE7050"/>
    <w:rsid w:val="098175B4"/>
    <w:rsid w:val="09A07322"/>
    <w:rsid w:val="0AFC11DA"/>
    <w:rsid w:val="0B374522"/>
    <w:rsid w:val="0B9C3F94"/>
    <w:rsid w:val="0BBC7CD2"/>
    <w:rsid w:val="0BCC424E"/>
    <w:rsid w:val="0BD61E90"/>
    <w:rsid w:val="0D4B5661"/>
    <w:rsid w:val="0F4B08AB"/>
    <w:rsid w:val="0F7D3627"/>
    <w:rsid w:val="105F4028"/>
    <w:rsid w:val="10855F4A"/>
    <w:rsid w:val="11A57847"/>
    <w:rsid w:val="12193AAE"/>
    <w:rsid w:val="13E22122"/>
    <w:rsid w:val="15336DFA"/>
    <w:rsid w:val="15474D46"/>
    <w:rsid w:val="15567E5A"/>
    <w:rsid w:val="15CC66A1"/>
    <w:rsid w:val="15FF6367"/>
    <w:rsid w:val="16B25A16"/>
    <w:rsid w:val="17DB2585"/>
    <w:rsid w:val="19106403"/>
    <w:rsid w:val="1ADF0577"/>
    <w:rsid w:val="1D801C31"/>
    <w:rsid w:val="1F8D3804"/>
    <w:rsid w:val="1FD91D00"/>
    <w:rsid w:val="21384093"/>
    <w:rsid w:val="21B83A08"/>
    <w:rsid w:val="21D72954"/>
    <w:rsid w:val="21E5387D"/>
    <w:rsid w:val="224E1529"/>
    <w:rsid w:val="229A37FF"/>
    <w:rsid w:val="22DB78DD"/>
    <w:rsid w:val="233063FB"/>
    <w:rsid w:val="244504F7"/>
    <w:rsid w:val="26432EAA"/>
    <w:rsid w:val="26C9345D"/>
    <w:rsid w:val="279F3713"/>
    <w:rsid w:val="283E2079"/>
    <w:rsid w:val="2A802F0D"/>
    <w:rsid w:val="2ADB5D2C"/>
    <w:rsid w:val="2AEB17BD"/>
    <w:rsid w:val="2C83613E"/>
    <w:rsid w:val="2CD07E96"/>
    <w:rsid w:val="2D275B2E"/>
    <w:rsid w:val="2D6A70F8"/>
    <w:rsid w:val="2F327502"/>
    <w:rsid w:val="2FEE48E7"/>
    <w:rsid w:val="30041C4E"/>
    <w:rsid w:val="30533F6E"/>
    <w:rsid w:val="315679FF"/>
    <w:rsid w:val="316F17A0"/>
    <w:rsid w:val="323D4800"/>
    <w:rsid w:val="325454D5"/>
    <w:rsid w:val="329223BD"/>
    <w:rsid w:val="32C77F74"/>
    <w:rsid w:val="34D126EC"/>
    <w:rsid w:val="364F627D"/>
    <w:rsid w:val="36C356E2"/>
    <w:rsid w:val="36D62109"/>
    <w:rsid w:val="371A09D2"/>
    <w:rsid w:val="376C4F8C"/>
    <w:rsid w:val="386B28F6"/>
    <w:rsid w:val="399E236B"/>
    <w:rsid w:val="39E43DC5"/>
    <w:rsid w:val="3AC869F4"/>
    <w:rsid w:val="3B5456D1"/>
    <w:rsid w:val="3C971923"/>
    <w:rsid w:val="3D2642D0"/>
    <w:rsid w:val="3D9319F1"/>
    <w:rsid w:val="3E8D3446"/>
    <w:rsid w:val="3ECB1DC0"/>
    <w:rsid w:val="3EDA2827"/>
    <w:rsid w:val="3FF016A6"/>
    <w:rsid w:val="4014414F"/>
    <w:rsid w:val="410A1DB7"/>
    <w:rsid w:val="42227E15"/>
    <w:rsid w:val="4336310B"/>
    <w:rsid w:val="43B253F6"/>
    <w:rsid w:val="44D9601F"/>
    <w:rsid w:val="44E50EE6"/>
    <w:rsid w:val="46103A81"/>
    <w:rsid w:val="46120A74"/>
    <w:rsid w:val="46345E62"/>
    <w:rsid w:val="46EF6F8D"/>
    <w:rsid w:val="47147B0D"/>
    <w:rsid w:val="47782EFF"/>
    <w:rsid w:val="47C919B9"/>
    <w:rsid w:val="4A036897"/>
    <w:rsid w:val="4AE42916"/>
    <w:rsid w:val="4C0F35D2"/>
    <w:rsid w:val="4DA326D4"/>
    <w:rsid w:val="4E43453D"/>
    <w:rsid w:val="510425AE"/>
    <w:rsid w:val="51063CEB"/>
    <w:rsid w:val="525B7E1D"/>
    <w:rsid w:val="52BE7978"/>
    <w:rsid w:val="54CC1F1C"/>
    <w:rsid w:val="553E0CEA"/>
    <w:rsid w:val="5622244C"/>
    <w:rsid w:val="577929D4"/>
    <w:rsid w:val="57C100EB"/>
    <w:rsid w:val="57E72E4A"/>
    <w:rsid w:val="59931868"/>
    <w:rsid w:val="5A042160"/>
    <w:rsid w:val="5B2F5728"/>
    <w:rsid w:val="5C7C2F83"/>
    <w:rsid w:val="5C954F7D"/>
    <w:rsid w:val="5D5706F2"/>
    <w:rsid w:val="5D6543EE"/>
    <w:rsid w:val="5D6865A8"/>
    <w:rsid w:val="5F1F37B6"/>
    <w:rsid w:val="5F9D057C"/>
    <w:rsid w:val="5FF946E6"/>
    <w:rsid w:val="60E6230A"/>
    <w:rsid w:val="60F02006"/>
    <w:rsid w:val="617E5922"/>
    <w:rsid w:val="61C56E22"/>
    <w:rsid w:val="61F65541"/>
    <w:rsid w:val="62792600"/>
    <w:rsid w:val="62EC3BD0"/>
    <w:rsid w:val="62FA31E4"/>
    <w:rsid w:val="63E018D1"/>
    <w:rsid w:val="648B1AD3"/>
    <w:rsid w:val="64D81563"/>
    <w:rsid w:val="6532379A"/>
    <w:rsid w:val="65B86B58"/>
    <w:rsid w:val="66341D0E"/>
    <w:rsid w:val="66887883"/>
    <w:rsid w:val="66C53C86"/>
    <w:rsid w:val="671812FC"/>
    <w:rsid w:val="67CD63BE"/>
    <w:rsid w:val="67D817B0"/>
    <w:rsid w:val="694C025D"/>
    <w:rsid w:val="69567B1D"/>
    <w:rsid w:val="69B605A9"/>
    <w:rsid w:val="69DE3DEE"/>
    <w:rsid w:val="6A446FDE"/>
    <w:rsid w:val="6A6E2984"/>
    <w:rsid w:val="6AD869E6"/>
    <w:rsid w:val="6C130537"/>
    <w:rsid w:val="6DAF5DA1"/>
    <w:rsid w:val="6DB4666E"/>
    <w:rsid w:val="6DD80D8D"/>
    <w:rsid w:val="6E251EBD"/>
    <w:rsid w:val="6F002F38"/>
    <w:rsid w:val="6F1B3FEA"/>
    <w:rsid w:val="6F44464C"/>
    <w:rsid w:val="6FC32599"/>
    <w:rsid w:val="6FD808A4"/>
    <w:rsid w:val="700040D6"/>
    <w:rsid w:val="701058A8"/>
    <w:rsid w:val="701E4F19"/>
    <w:rsid w:val="706C685F"/>
    <w:rsid w:val="708D4490"/>
    <w:rsid w:val="70E20809"/>
    <w:rsid w:val="716024DB"/>
    <w:rsid w:val="72706ED5"/>
    <w:rsid w:val="732C1547"/>
    <w:rsid w:val="74326B71"/>
    <w:rsid w:val="74F3074B"/>
    <w:rsid w:val="754425A4"/>
    <w:rsid w:val="78570929"/>
    <w:rsid w:val="792737ED"/>
    <w:rsid w:val="7AFD2F72"/>
    <w:rsid w:val="7C01712E"/>
    <w:rsid w:val="7CB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3C69-F2AC-425F-AFA8-90C082600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979</Words>
  <Characters>1138</Characters>
  <Lines>10</Lines>
  <Paragraphs>2</Paragraphs>
  <TotalTime>1</TotalTime>
  <ScaleCrop>false</ScaleCrop>
  <LinksUpToDate>false</LinksUpToDate>
  <CharactersWithSpaces>1170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2022-07-26T08:44:00Z</dcterms:created>
  <dc:creator>孙禺慧的iPhone</dc:creator>
  <cp:lastModifiedBy>Administrator</cp:lastModifiedBy>
  <dcterms:modified xsi:type="dcterms:W3CDTF">2022-08-03T03:30:30Z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B3D4F3D5E59A43B7BA0236638D9111CF</vt:lpwstr>
  </property>
</Properties>
</file>