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4"/>
        <w:ind w:left="0" w:leftChars="0" w:firstLine="0" w:firstLineChars="0"/>
      </w:pPr>
    </w:p>
    <w:p w14:paraId="50A2DC11">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桐城师范高等专科学校红十字急救站培训</w:t>
      </w:r>
      <w:bookmarkStart w:id="118" w:name="_GoBack"/>
      <w:bookmarkEnd w:id="118"/>
      <w:r>
        <w:rPr>
          <w:rFonts w:hint="eastAsia" w:ascii="宋体" w:hAnsi="宋体" w:cs="宋体"/>
          <w:b/>
          <w:color w:val="auto"/>
          <w:sz w:val="48"/>
          <w:szCs w:val="48"/>
          <w:highlight w:val="none"/>
          <w:lang w:val="en-US" w:eastAsia="zh-CN"/>
        </w:rPr>
        <w:t>设备、器材采购项目</w:t>
      </w:r>
    </w:p>
    <w:p w14:paraId="1B42889C">
      <w:pPr>
        <w:spacing w:line="480" w:lineRule="exact"/>
        <w:rPr>
          <w:rFonts w:ascii="宋体"/>
          <w:color w:val="auto"/>
          <w:sz w:val="44"/>
          <w:szCs w:val="44"/>
          <w:highlight w:val="none"/>
        </w:rPr>
      </w:pPr>
    </w:p>
    <w:p w14:paraId="5E8CFB64">
      <w:pPr>
        <w:pStyle w:val="2"/>
        <w:jc w:val="center"/>
        <w:rPr>
          <w:rFonts w:hint="eastAsia" w:ascii="宋体"/>
          <w:b/>
          <w:bCs/>
          <w:color w:val="auto"/>
          <w:sz w:val="72"/>
          <w:szCs w:val="72"/>
          <w:highlight w:val="none"/>
          <w:lang w:val="en-US" w:eastAsia="zh-CN"/>
        </w:rPr>
      </w:pPr>
    </w:p>
    <w:p w14:paraId="26273924">
      <w:pPr>
        <w:pStyle w:val="2"/>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002</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宏骏工程管理有限公司      </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2"/>
        <w:rPr>
          <w:color w:val="auto"/>
          <w:highlight w:val="none"/>
          <w:lang w:val="zh-CN"/>
        </w:rPr>
      </w:pPr>
    </w:p>
    <w:p w14:paraId="1542DBC9">
      <w:pPr>
        <w:pStyle w:val="30"/>
        <w:tabs>
          <w:tab w:val="right" w:leader="dot" w:pos="9070"/>
        </w:tabs>
        <w:spacing w:line="360" w:lineRule="auto"/>
        <w:rPr>
          <w:rFonts w:hint="eastAsia" w:ascii="仿宋" w:hAnsi="仿宋" w:eastAsia="仿宋" w:cs="仿宋"/>
          <w:color w:val="auto"/>
          <w:sz w:val="32"/>
          <w:szCs w:val="28"/>
          <w:highlight w:val="none"/>
        </w:rPr>
      </w:pPr>
      <w:bookmarkStart w:id="0" w:name="_Toc54941328"/>
      <w:bookmarkStart w:id="1" w:name="_Toc21464"/>
      <w:bookmarkStart w:id="2" w:name="_Toc23467"/>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30"/>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30"/>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2"/>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2"/>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7E942DEF">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35393797"/>
      <w:bookmarkStart w:id="6" w:name="_Toc28359011"/>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桐城师范高等专科学校红十字急救站培训</w:t>
      </w:r>
    </w:p>
    <w:p w14:paraId="37A99842">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设备、器材采购项目</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竞争性谈判公告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5"/>
            <w:bookmarkStart w:id="8" w:name="OLE_LINK1"/>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桐城师范高等专科学校红十字急救站培训设备、器材采购项目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的潜在供应商应在桐城师范高等专科学校官网获取采购文件，并于2026年1月23日09时00分（北京时间）前提交响应文件。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28359012"/>
      <w:bookmarkStart w:id="10" w:name="_Toc35393798"/>
      <w:bookmarkStart w:id="11" w:name="_Toc28359089"/>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002</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桐城师范高等专科学校红十字急救站培训设备、器材采购项目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62060.00元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62060.00元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桐城师范高等专科学校红十字急救站培训设备、器材采购项目，</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35393799"/>
      <w:bookmarkStart w:id="14" w:name="_Toc35393630"/>
      <w:bookmarkStart w:id="15" w:name="_Toc28359090"/>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35393631"/>
      <w:bookmarkStart w:id="18" w:name="_Toc28359014"/>
      <w:bookmarkStart w:id="19" w:name="_Toc28359091"/>
      <w:bookmarkStart w:id="20" w:name="_Toc35393800"/>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23</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09</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35393632"/>
      <w:bookmarkStart w:id="22" w:name="_Toc28359092"/>
      <w:bookmarkStart w:id="23" w:name="_Toc35393801"/>
      <w:bookmarkStart w:id="24" w:name="_Toc28359015"/>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28359093"/>
      <w:bookmarkStart w:id="26" w:name="_Toc28359016"/>
      <w:bookmarkStart w:id="27" w:name="_Toc35393633"/>
      <w:bookmarkStart w:id="28"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23</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09</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桐城市文昌街道徐庄安置点4期6幢114-115</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35393634"/>
      <w:bookmarkStart w:id="30" w:name="_Toc28359094"/>
      <w:bookmarkStart w:id="31" w:name="_Toc28359017"/>
      <w:bookmarkStart w:id="32" w:name="_Toc35393803"/>
      <w:r>
        <w:rPr>
          <w:rFonts w:hint="eastAsia" w:ascii="仿宋" w:hAnsi="仿宋" w:eastAsia="仿宋"/>
          <w:color w:val="auto"/>
          <w:sz w:val="28"/>
          <w:szCs w:val="28"/>
          <w:highlight w:val="none"/>
          <w:lang w:val="en-US" w:eastAsia="zh-CN"/>
        </w:rPr>
        <w:t>时间：2026年1月23日09时00分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w:t>
      </w:r>
      <w:r>
        <w:rPr>
          <w:rFonts w:hint="eastAsia" w:ascii="仿宋" w:hAnsi="仿宋" w:eastAsia="仿宋" w:cs="Times New Roman"/>
          <w:color w:val="auto"/>
          <w:sz w:val="28"/>
          <w:szCs w:val="28"/>
          <w:highlight w:val="none"/>
          <w:lang w:val="en-US" w:eastAsia="zh-CN"/>
        </w:rPr>
        <w:t>桐城市文昌街道徐庄安置点4期6幢114-115</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联系人：方老师          联系方式：13966966667</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名称：宏骏工程管理有限公司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地址：桐城市文昌街道徐庄安置点4期6幢114-115</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联系人：齐女士        联系方式：13855669358</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11266"/>
      <w:bookmarkStart w:id="37"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4"/>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54941330"/>
      <w:bookmarkStart w:id="39" w:name="_Toc439316871"/>
      <w:bookmarkStart w:id="40" w:name="_Toc17862"/>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4"/>
        <w:adjustRightInd/>
        <w:spacing w:before="120" w:after="120" w:line="360" w:lineRule="exact"/>
        <w:rPr>
          <w:rFonts w:cs="Tahoma"/>
          <w:bCs/>
          <w:color w:val="auto"/>
          <w:kern w:val="0"/>
          <w:sz w:val="32"/>
          <w:szCs w:val="32"/>
          <w:highlight w:val="none"/>
          <w:lang w:val="zh-CN"/>
        </w:rPr>
      </w:pPr>
      <w:bookmarkStart w:id="42" w:name="_Toc54941331"/>
      <w:bookmarkStart w:id="43" w:name="_Toc252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1078"/>
      <w:bookmarkStart w:id="45" w:name="_Toc15055"/>
      <w:bookmarkStart w:id="46" w:name="_Toc7325"/>
      <w:bookmarkStart w:id="47" w:name="_Toc25270"/>
      <w:bookmarkStart w:id="48" w:name="_Toc10523"/>
      <w:bookmarkStart w:id="49" w:name="_Toc439316919"/>
      <w:bookmarkStart w:id="50" w:name="_Toc43931687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439316920"/>
      <w:bookmarkStart w:id="53" w:name="_Toc8228"/>
      <w:bookmarkStart w:id="54" w:name="_Toc439316874"/>
      <w:bookmarkStart w:id="55" w:name="_Toc27113"/>
      <w:bookmarkStart w:id="56" w:name="_Toc10933"/>
      <w:bookmarkStart w:id="57" w:name="_Toc2464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5"/>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476584425"/>
      <w:bookmarkStart w:id="64"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5"/>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3"/>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40"/>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3"/>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3"/>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3"/>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r w14:paraId="4133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2155A487">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14:paraId="5088C323">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质保期限</w:t>
            </w:r>
          </w:p>
        </w:tc>
        <w:tc>
          <w:tcPr>
            <w:tcW w:w="6026" w:type="dxa"/>
            <w:vAlign w:val="center"/>
          </w:tcPr>
          <w:p w14:paraId="2C78BE15">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1年</w:t>
            </w:r>
          </w:p>
        </w:tc>
      </w:tr>
    </w:tbl>
    <w:p w14:paraId="08AFCB4E">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bookmarkEnd w:id="68"/>
    <w:tbl>
      <w:tblPr>
        <w:tblStyle w:val="40"/>
        <w:tblW w:w="11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70"/>
        <w:gridCol w:w="825"/>
        <w:gridCol w:w="2081"/>
        <w:gridCol w:w="5232"/>
        <w:gridCol w:w="838"/>
      </w:tblGrid>
      <w:tr w14:paraId="4287E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B256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bookmarkStart w:id="69" w:name="_Toc10569"/>
            <w:bookmarkStart w:id="70" w:name="_Toc54941340"/>
            <w:r>
              <w:rPr>
                <w:rFonts w:hint="eastAsia" w:ascii="宋体" w:hAnsi="宋体" w:eastAsia="宋体" w:cs="宋体"/>
                <w:i w:val="0"/>
                <w:iCs w:val="0"/>
                <w:color w:val="auto"/>
                <w:kern w:val="0"/>
                <w:sz w:val="24"/>
                <w:szCs w:val="24"/>
                <w:highlight w:val="none"/>
                <w:u w:val="none"/>
                <w:shd w:val="clear" w:color="auto" w:fill="auto"/>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5C9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产品名称</w:t>
            </w:r>
          </w:p>
        </w:tc>
        <w:tc>
          <w:tcPr>
            <w:tcW w:w="8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D6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型号</w:t>
            </w:r>
          </w:p>
        </w:tc>
        <w:tc>
          <w:tcPr>
            <w:tcW w:w="20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42EB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图片</w:t>
            </w:r>
          </w:p>
        </w:tc>
        <w:tc>
          <w:tcPr>
            <w:tcW w:w="52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50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参数</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12B70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数量</w:t>
            </w:r>
          </w:p>
        </w:tc>
      </w:tr>
      <w:tr w14:paraId="7301F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1" w:type="dxa"/>
            <w:tcBorders>
              <w:top w:val="single" w:color="000000" w:sz="4" w:space="0"/>
              <w:bottom w:val="single" w:color="auto" w:sz="4" w:space="0"/>
              <w:right w:val="single" w:color="000000" w:sz="4" w:space="0"/>
            </w:tcBorders>
            <w:shd w:val="clear" w:color="auto" w:fill="auto"/>
            <w:vAlign w:val="center"/>
          </w:tcPr>
          <w:p w14:paraId="10E4B3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5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急救技能教学箱套组</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DB5F3">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476885</wp:posOffset>
                  </wp:positionH>
                  <wp:positionV relativeFrom="paragraph">
                    <wp:posOffset>2433955</wp:posOffset>
                  </wp:positionV>
                  <wp:extent cx="1183640" cy="810895"/>
                  <wp:effectExtent l="0" t="0" r="16510" b="825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13"/>
                          <a:stretch>
                            <a:fillRect/>
                          </a:stretch>
                        </pic:blipFill>
                        <pic:spPr>
                          <a:xfrm>
                            <a:off x="0" y="0"/>
                            <a:ext cx="1183640" cy="81089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026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-1720215</wp:posOffset>
                  </wp:positionV>
                  <wp:extent cx="1189990" cy="1179195"/>
                  <wp:effectExtent l="0" t="0" r="0" b="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14"/>
                          <a:stretch>
                            <a:fillRect/>
                          </a:stretch>
                        </pic:blipFill>
                        <pic:spPr>
                          <a:xfrm>
                            <a:off x="0" y="0"/>
                            <a:ext cx="1189990" cy="1179195"/>
                          </a:xfrm>
                          <a:prstGeom prst="rect">
                            <a:avLst/>
                          </a:prstGeom>
                          <a:noFill/>
                          <a:ln>
                            <a:noFill/>
                          </a:ln>
                        </pic:spPr>
                      </pic:pic>
                    </a:graphicData>
                  </a:graphic>
                </wp:anchor>
              </w:drawing>
            </w:r>
          </w:p>
        </w:tc>
        <w:tc>
          <w:tcPr>
            <w:tcW w:w="5232" w:type="dxa"/>
            <w:tcBorders>
              <w:top w:val="single" w:color="000000" w:sz="4" w:space="0"/>
              <w:left w:val="single" w:color="000000" w:sz="4" w:space="0"/>
              <w:bottom w:val="single" w:color="auto" w:sz="4" w:space="0"/>
              <w:right w:val="nil"/>
            </w:tcBorders>
            <w:shd w:val="clear" w:color="auto" w:fill="auto"/>
            <w:vAlign w:val="center"/>
          </w:tcPr>
          <w:p w14:paraId="602FCB1D">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参考尺寸：1、外部尺寸：900*450*360mm，公差±20mm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2、内部尺寸：870*440*140mm公差±20mm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1、成人半身模拟人：1个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2、训练机：1台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①可选8个频段群控，声音灯光指示完全统一；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②主机有显示屏显示操作参数，群控器也屏显，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③导联线穿过收纳袋，有电极片收纳板；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④11种语言切换，有关机状态记忆功能；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⑤系统包含心律案例≥90以上种，根据心脏疾病进行分类，分类选项包括：窦性心律类、心脏骤停类、心房异常类、心室异常类、传导异常类、局部心肌缺血类等，便于导师选取（投标文件中提供产 品软件功能界面截图予以证明）；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3、简易呼吸器球囊+呼吸面罩：1套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4、呼吸阀：6个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5、海姆立克训练马甲（成人）2个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6、一次性CPR屏障消毒面膜50片/盒：2盒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7、医用手套：1盒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8、止血海绵:1片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①进口,产品原料：100%植物多糖（止血粉是100%淀粉；止血绵/止血贴（压缩海绵）是淀粉+羟乙基纤维素）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②储运条件：室温存储，无需冷链运输储存。</w:t>
            </w:r>
          </w:p>
        </w:tc>
        <w:tc>
          <w:tcPr>
            <w:tcW w:w="838" w:type="dxa"/>
            <w:tcBorders>
              <w:top w:val="single" w:color="000000" w:sz="4" w:space="0"/>
              <w:left w:val="single" w:color="000000" w:sz="4" w:space="0"/>
              <w:bottom w:val="single" w:color="auto" w:sz="4" w:space="0"/>
            </w:tcBorders>
            <w:shd w:val="clear" w:color="auto" w:fill="auto"/>
            <w:vAlign w:val="center"/>
          </w:tcPr>
          <w:p w14:paraId="5312B2BF">
            <w:pPr>
              <w:keepNext w:val="0"/>
              <w:keepLines w:val="0"/>
              <w:widowControl/>
              <w:suppressLineNumbers w:val="0"/>
              <w:spacing w:after="200" w:afterAutospacing="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5A9FE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831" w:type="dxa"/>
            <w:tcBorders>
              <w:top w:val="single" w:color="auto" w:sz="4" w:space="0"/>
              <w:bottom w:val="single" w:color="auto" w:sz="4" w:space="0"/>
              <w:right w:val="single" w:color="000000" w:sz="4" w:space="0"/>
            </w:tcBorders>
            <w:shd w:val="clear" w:color="auto" w:fill="auto"/>
            <w:vAlign w:val="center"/>
          </w:tcPr>
          <w:p w14:paraId="0CE59E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14:paraId="7A9D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三角巾（含红十字）+绷带卷（教学用）</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47965FDF">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PXYP</w:t>
            </w:r>
          </w:p>
        </w:tc>
        <w:tc>
          <w:tcPr>
            <w:tcW w:w="20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F63E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wp:posOffset>
                  </wp:positionH>
                  <wp:positionV relativeFrom="paragraph">
                    <wp:posOffset>65405</wp:posOffset>
                  </wp:positionV>
                  <wp:extent cx="1062990" cy="700405"/>
                  <wp:effectExtent l="0" t="0" r="3810" b="4445"/>
                  <wp:wrapNone/>
                  <wp:docPr id="8" name="图片_1_SpCnt_1"/>
                  <wp:cNvGraphicFramePr/>
                  <a:graphic xmlns:a="http://schemas.openxmlformats.org/drawingml/2006/main">
                    <a:graphicData uri="http://schemas.openxmlformats.org/drawingml/2006/picture">
                      <pic:pic xmlns:pic="http://schemas.openxmlformats.org/drawingml/2006/picture">
                        <pic:nvPicPr>
                          <pic:cNvPr id="8" name="图片_1_SpCnt_1"/>
                          <pic:cNvPicPr/>
                        </pic:nvPicPr>
                        <pic:blipFill>
                          <a:blip r:embed="rId15"/>
                          <a:stretch>
                            <a:fillRect/>
                          </a:stretch>
                        </pic:blipFill>
                        <pic:spPr>
                          <a:xfrm>
                            <a:off x="0" y="0"/>
                            <a:ext cx="1062990" cy="700405"/>
                          </a:xfrm>
                          <a:prstGeom prst="rect">
                            <a:avLst/>
                          </a:prstGeom>
                          <a:noFill/>
                          <a:ln>
                            <a:noFill/>
                          </a:ln>
                        </pic:spPr>
                      </pic:pic>
                    </a:graphicData>
                  </a:graphic>
                </wp:anchor>
              </w:drawing>
            </w:r>
          </w:p>
        </w:tc>
        <w:tc>
          <w:tcPr>
            <w:tcW w:w="5232" w:type="dxa"/>
            <w:tcBorders>
              <w:top w:val="single" w:color="auto" w:sz="4" w:space="0"/>
              <w:left w:val="single" w:color="000000" w:sz="4" w:space="0"/>
              <w:bottom w:val="single" w:color="auto" w:sz="4" w:space="0"/>
              <w:right w:val="nil"/>
            </w:tcBorders>
            <w:shd w:val="clear" w:color="auto" w:fill="auto"/>
            <w:vAlign w:val="center"/>
          </w:tcPr>
          <w:p w14:paraId="6B0FE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三角巾：纯棉,厚大棉布剪裁,精细织边,含结绳(带子)，培训教学使用；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绷带卷：卡扣设计，弹性氨纶，锁边工艺。</w:t>
            </w:r>
          </w:p>
        </w:tc>
        <w:tc>
          <w:tcPr>
            <w:tcW w:w="838" w:type="dxa"/>
            <w:tcBorders>
              <w:top w:val="single" w:color="auto" w:sz="4" w:space="0"/>
              <w:left w:val="single" w:color="000000" w:sz="4" w:space="0"/>
              <w:bottom w:val="single" w:color="auto" w:sz="4" w:space="0"/>
            </w:tcBorders>
            <w:shd w:val="clear" w:color="auto" w:fill="auto"/>
            <w:vAlign w:val="center"/>
          </w:tcPr>
          <w:p w14:paraId="1D6B3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0B4A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81" w:hRule="atLeast"/>
          <w:jc w:val="center"/>
        </w:trPr>
        <w:tc>
          <w:tcPr>
            <w:tcW w:w="831" w:type="dxa"/>
            <w:tcBorders>
              <w:top w:val="single" w:color="auto" w:sz="4" w:space="0"/>
              <w:bottom w:val="single" w:color="000000" w:sz="4" w:space="0"/>
              <w:right w:val="single" w:color="000000" w:sz="4" w:space="0"/>
            </w:tcBorders>
            <w:shd w:val="clear" w:color="auto" w:fill="auto"/>
            <w:vAlign w:val="center"/>
          </w:tcPr>
          <w:p w14:paraId="068990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FF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创伤评估模块</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68F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754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417195</wp:posOffset>
                  </wp:positionV>
                  <wp:extent cx="1080770" cy="1282065"/>
                  <wp:effectExtent l="0" t="0" r="5080" b="13335"/>
                  <wp:wrapNone/>
                  <wp:docPr id="13" name="图片_2_SpCnt_1"/>
                  <wp:cNvGraphicFramePr/>
                  <a:graphic xmlns:a="http://schemas.openxmlformats.org/drawingml/2006/main">
                    <a:graphicData uri="http://schemas.openxmlformats.org/drawingml/2006/picture">
                      <pic:pic xmlns:pic="http://schemas.openxmlformats.org/drawingml/2006/picture">
                        <pic:nvPicPr>
                          <pic:cNvPr id="13" name="图片_2_SpCnt_1"/>
                          <pic:cNvPicPr/>
                        </pic:nvPicPr>
                        <pic:blipFill>
                          <a:blip r:embed="rId16"/>
                          <a:stretch>
                            <a:fillRect/>
                          </a:stretch>
                        </pic:blipFill>
                        <pic:spPr>
                          <a:xfrm>
                            <a:off x="0" y="0"/>
                            <a:ext cx="1080770" cy="1282065"/>
                          </a:xfrm>
                          <a:prstGeom prst="rect">
                            <a:avLst/>
                          </a:prstGeom>
                          <a:noFill/>
                          <a:ln>
                            <a:noFill/>
                          </a:ln>
                        </pic:spPr>
                      </pic:pic>
                    </a:graphicData>
                  </a:graphic>
                </wp:anchor>
              </w:drawing>
            </w:r>
          </w:p>
        </w:tc>
        <w:tc>
          <w:tcPr>
            <w:tcW w:w="5232" w:type="dxa"/>
            <w:tcBorders>
              <w:top w:val="single" w:color="auto" w:sz="4" w:space="0"/>
              <w:left w:val="single" w:color="000000" w:sz="4" w:space="0"/>
              <w:bottom w:val="single" w:color="000000" w:sz="4" w:space="0"/>
              <w:right w:val="nil"/>
            </w:tcBorders>
            <w:shd w:val="clear" w:color="auto" w:fill="auto"/>
            <w:vAlign w:val="center"/>
          </w:tcPr>
          <w:p w14:paraId="51BD2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创伤评估模块主要配置：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面部烧伤Ⅰ、Ⅱ、Ⅲ度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前额撕裂伤口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颌骨创伤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锁骨开放性骨折与胸膛壁挫伤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腹部创伤伴有小肠突露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右上臂肱骨开放性骨折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右手开放性骨折、软组织撕裂伤口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骨组织暴露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右手掌抢弹伤口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右大腿股骨开放性骨折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左大腿复合型股骨骨折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右大腿金属异物刺伤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右小腿胫骨开放性骨折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右足开放性骨折右小趾截断创伤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左前臂烧伤Ⅰ、Ⅱ、Ⅲ度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左大腿截断创伤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左小腿胫骨闭合性骨折以及踝关节和足挫伤</w:t>
            </w:r>
          </w:p>
        </w:tc>
        <w:tc>
          <w:tcPr>
            <w:tcW w:w="838" w:type="dxa"/>
            <w:tcBorders>
              <w:top w:val="single" w:color="auto" w:sz="4" w:space="0"/>
              <w:left w:val="single" w:color="000000" w:sz="4" w:space="0"/>
              <w:bottom w:val="single" w:color="000000" w:sz="4" w:space="0"/>
            </w:tcBorders>
            <w:shd w:val="clear" w:color="auto" w:fill="auto"/>
            <w:vAlign w:val="center"/>
          </w:tcPr>
          <w:p w14:paraId="52923F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4F26E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09" w:hRule="atLeast"/>
          <w:jc w:val="center"/>
        </w:trPr>
        <w:tc>
          <w:tcPr>
            <w:tcW w:w="831" w:type="dxa"/>
            <w:tcBorders>
              <w:top w:val="single" w:color="000000" w:sz="4" w:space="0"/>
              <w:bottom w:val="single" w:color="000000" w:sz="4" w:space="0"/>
              <w:right w:val="single" w:color="000000" w:sz="4" w:space="0"/>
            </w:tcBorders>
            <w:shd w:val="clear" w:color="auto" w:fill="auto"/>
            <w:vAlign w:val="center"/>
          </w:tcPr>
          <w:p w14:paraId="1A9B39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B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高级婴儿气道梗塞及CPR模型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9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4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127635</wp:posOffset>
                  </wp:positionV>
                  <wp:extent cx="1050290" cy="1196975"/>
                  <wp:effectExtent l="0" t="0" r="16510" b="3175"/>
                  <wp:wrapNone/>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17"/>
                          <a:stretch>
                            <a:fillRect/>
                          </a:stretch>
                        </pic:blipFill>
                        <pic:spPr>
                          <a:xfrm>
                            <a:off x="0" y="0"/>
                            <a:ext cx="1050290" cy="1196975"/>
                          </a:xfrm>
                          <a:prstGeom prst="rect">
                            <a:avLst/>
                          </a:prstGeom>
                          <a:noFill/>
                          <a:ln>
                            <a:noFill/>
                          </a:ln>
                        </pic:spPr>
                      </pic:pic>
                    </a:graphicData>
                  </a:graphic>
                </wp:anchor>
              </w:drawing>
            </w:r>
          </w:p>
        </w:tc>
        <w:tc>
          <w:tcPr>
            <w:tcW w:w="5232" w:type="dxa"/>
            <w:tcBorders>
              <w:top w:val="single" w:color="000000" w:sz="4" w:space="0"/>
              <w:left w:val="single" w:color="000000" w:sz="4" w:space="0"/>
              <w:bottom w:val="single" w:color="000000" w:sz="4" w:space="0"/>
              <w:right w:val="nil"/>
            </w:tcBorders>
            <w:shd w:val="clear" w:color="auto" w:fill="auto"/>
            <w:vAlign w:val="center"/>
          </w:tcPr>
          <w:p w14:paraId="42D40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"详细描述 该产品可进行小儿海氏急救法操作。模拟人根据小儿解剖特征和生理特点设计，适用于气管异物，气管异物常见于婴幼儿身上，因婴幼儿会厌软骨发育不成熟，功能不健全，在婴幼儿口中含物说话、哭笑、打闹和剧烈活动时，容易将口含物吸入气管内引起气管阻塞而导致窒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背部排击法：将患儿骑跨并俯卧于急救者的胳臂上，头低于躯干，固定头部，并将其胳膊放在急救者的大腿上，然后用另一手的掌握部用力排击患儿两肩胛骨之间的背部4-6次，使呼吸道内压骤然升高，有助于松动其异物和排出体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胸部手指猛击法：患儿取仰卧位，抱持于急救者手臂弯中，头略低于躯干，急救者用两手指按压两乳头连线与胸骨中线交界点一横指处4-6处。必要时可与以上方法交替使用。直到异物排出或患儿失去知觉。 功能特点：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正常的气道阻塞模拟；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可进行标准的CPR操作：人工呼吸和心外按压；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气道贯通时的胸部扩张；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窒息、异物阻塞气道的模拟；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标准婴儿真人比列设计及准确的标准布局；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精确的解剖结构，可触及胸骨和肋骨；</w:t>
            </w:r>
          </w:p>
        </w:tc>
        <w:tc>
          <w:tcPr>
            <w:tcW w:w="838" w:type="dxa"/>
            <w:tcBorders>
              <w:top w:val="single" w:color="000000" w:sz="4" w:space="0"/>
              <w:left w:val="single" w:color="000000" w:sz="4" w:space="0"/>
              <w:bottom w:val="single" w:color="000000" w:sz="4" w:space="0"/>
            </w:tcBorders>
            <w:shd w:val="clear" w:color="auto" w:fill="auto"/>
            <w:vAlign w:val="center"/>
          </w:tcPr>
          <w:p w14:paraId="16F47B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336B9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jc w:val="center"/>
        </w:trPr>
        <w:tc>
          <w:tcPr>
            <w:tcW w:w="831" w:type="dxa"/>
            <w:tcBorders>
              <w:top w:val="single" w:color="000000" w:sz="4" w:space="0"/>
              <w:right w:val="single" w:color="000000" w:sz="4" w:space="0"/>
            </w:tcBorders>
            <w:shd w:val="clear" w:color="auto" w:fill="auto"/>
            <w:vAlign w:val="center"/>
          </w:tcPr>
          <w:p w14:paraId="44A73A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right w:val="single" w:color="000000" w:sz="4" w:space="0"/>
            </w:tcBorders>
            <w:shd w:val="clear" w:color="auto" w:fill="auto"/>
            <w:vAlign w:val="center"/>
          </w:tcPr>
          <w:p w14:paraId="06541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数字化心肺复苏模拟人</w:t>
            </w:r>
          </w:p>
        </w:tc>
        <w:tc>
          <w:tcPr>
            <w:tcW w:w="825" w:type="dxa"/>
            <w:tcBorders>
              <w:top w:val="single" w:color="000000" w:sz="4" w:space="0"/>
              <w:left w:val="single" w:color="000000" w:sz="4" w:space="0"/>
              <w:right w:val="single" w:color="000000" w:sz="4" w:space="0"/>
            </w:tcBorders>
            <w:shd w:val="clear" w:color="auto" w:fill="auto"/>
            <w:vAlign w:val="center"/>
          </w:tcPr>
          <w:p w14:paraId="15A55FCA">
            <w:pPr>
              <w:jc w:val="center"/>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right w:val="single" w:color="000000" w:sz="4" w:space="0"/>
            </w:tcBorders>
            <w:shd w:val="clear" w:color="auto" w:fill="auto"/>
            <w:noWrap/>
            <w:vAlign w:val="center"/>
          </w:tcPr>
          <w:p w14:paraId="224FF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159385</wp:posOffset>
                  </wp:positionV>
                  <wp:extent cx="1078230" cy="772160"/>
                  <wp:effectExtent l="0" t="0" r="7620" b="8890"/>
                  <wp:wrapNone/>
                  <wp:docPr id="12" name="图片_2_SpCnt_2"/>
                  <wp:cNvGraphicFramePr/>
                  <a:graphic xmlns:a="http://schemas.openxmlformats.org/drawingml/2006/main">
                    <a:graphicData uri="http://schemas.openxmlformats.org/drawingml/2006/picture">
                      <pic:pic xmlns:pic="http://schemas.openxmlformats.org/drawingml/2006/picture">
                        <pic:nvPicPr>
                          <pic:cNvPr id="12" name="图片_2_SpCnt_2"/>
                          <pic:cNvPicPr/>
                        </pic:nvPicPr>
                        <pic:blipFill>
                          <a:blip r:embed="rId18"/>
                          <a:stretch>
                            <a:fillRect/>
                          </a:stretch>
                        </pic:blipFill>
                        <pic:spPr>
                          <a:xfrm>
                            <a:off x="0" y="0"/>
                            <a:ext cx="1078230" cy="772160"/>
                          </a:xfrm>
                          <a:prstGeom prst="rect">
                            <a:avLst/>
                          </a:prstGeom>
                          <a:noFill/>
                          <a:ln>
                            <a:noFill/>
                          </a:ln>
                        </pic:spPr>
                      </pic:pic>
                    </a:graphicData>
                  </a:graphic>
                </wp:anchor>
              </w:drawing>
            </w:r>
          </w:p>
        </w:tc>
        <w:tc>
          <w:tcPr>
            <w:tcW w:w="5232" w:type="dxa"/>
            <w:tcBorders>
              <w:top w:val="single" w:color="000000" w:sz="4" w:space="0"/>
              <w:left w:val="single" w:color="000000" w:sz="4" w:space="0"/>
              <w:right w:val="nil"/>
            </w:tcBorders>
            <w:shd w:val="clear" w:color="auto" w:fill="auto"/>
            <w:vAlign w:val="top"/>
          </w:tcPr>
          <w:p w14:paraId="7A1330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配套教学视频 电极片位置指示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7英寸彩色触摸屏 清理口腔异物判断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语音提示 拍肩意识判断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训练+考核+实战 生命体征模拟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数字显示按压实时、平均频率 模拟心电图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录制、回放功能</w:t>
            </w:r>
          </w:p>
        </w:tc>
        <w:tc>
          <w:tcPr>
            <w:tcW w:w="838" w:type="dxa"/>
            <w:tcBorders>
              <w:top w:val="single" w:color="000000" w:sz="4" w:space="0"/>
              <w:left w:val="single" w:color="000000" w:sz="4" w:space="0"/>
            </w:tcBorders>
            <w:shd w:val="clear" w:color="auto" w:fill="auto"/>
            <w:vAlign w:val="center"/>
          </w:tcPr>
          <w:p w14:paraId="11483616">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24A22163">
      <w:pPr>
        <w:pStyle w:val="2"/>
        <w:ind w:left="0" w:leftChars="0" w:firstLine="0" w:firstLineChars="0"/>
        <w:rPr>
          <w:rFonts w:hint="eastAsia" w:ascii="Arial" w:hAnsi="Arial"/>
          <w:color w:val="auto"/>
          <w:kern w:val="2"/>
          <w:sz w:val="32"/>
          <w:szCs w:val="32"/>
          <w:highlight w:val="none"/>
          <w:lang w:val="en-US" w:eastAsia="zh-CN"/>
        </w:rPr>
      </w:pPr>
    </w:p>
    <w:p w14:paraId="59B2AE3E">
      <w:pPr>
        <w:pStyle w:val="2"/>
        <w:rPr>
          <w:rFonts w:hint="eastAsia" w:ascii="Arial" w:hAnsi="Arial"/>
          <w:color w:val="auto"/>
          <w:kern w:val="2"/>
          <w:sz w:val="32"/>
          <w:szCs w:val="32"/>
          <w:highlight w:val="none"/>
          <w:lang w:val="en-US" w:eastAsia="zh-CN"/>
        </w:rPr>
      </w:pPr>
    </w:p>
    <w:p w14:paraId="5D92E6BF">
      <w:pPr>
        <w:pStyle w:val="2"/>
        <w:ind w:left="0" w:leftChars="0" w:firstLine="0" w:firstLineChars="0"/>
        <w:rPr>
          <w:rFonts w:hint="eastAsia" w:ascii="Arial" w:hAnsi="Arial"/>
          <w:color w:val="auto"/>
          <w:kern w:val="2"/>
          <w:sz w:val="32"/>
          <w:szCs w:val="32"/>
          <w:highlight w:val="none"/>
          <w:lang w:val="en-US" w:eastAsia="zh-CN"/>
        </w:rPr>
      </w:pPr>
    </w:p>
    <w:p w14:paraId="646D9E68">
      <w:pPr>
        <w:pStyle w:val="2"/>
        <w:ind w:left="0" w:leftChars="0" w:firstLine="0" w:firstLineChars="0"/>
        <w:rPr>
          <w:rFonts w:hint="eastAsia" w:ascii="Arial" w:hAnsi="Arial"/>
          <w:color w:val="auto"/>
          <w:kern w:val="2"/>
          <w:sz w:val="32"/>
          <w:szCs w:val="32"/>
          <w:highlight w:val="none"/>
          <w:lang w:val="en-US" w:eastAsia="zh-CN"/>
        </w:rPr>
      </w:pPr>
    </w:p>
    <w:p w14:paraId="2FAE6C73">
      <w:pPr>
        <w:pStyle w:val="2"/>
        <w:ind w:left="0" w:leftChars="0" w:firstLine="0" w:firstLineChars="0"/>
        <w:rPr>
          <w:rFonts w:hint="eastAsia" w:ascii="Arial" w:hAnsi="Arial"/>
          <w:color w:val="auto"/>
          <w:kern w:val="2"/>
          <w:sz w:val="32"/>
          <w:szCs w:val="32"/>
          <w:highlight w:val="none"/>
          <w:lang w:val="en-US" w:eastAsia="zh-CN"/>
        </w:rPr>
      </w:pPr>
    </w:p>
    <w:p w14:paraId="5E6AC3B3">
      <w:pPr>
        <w:pStyle w:val="2"/>
        <w:ind w:left="0" w:leftChars="0" w:firstLine="0" w:firstLineChars="0"/>
        <w:rPr>
          <w:rFonts w:hint="eastAsia" w:ascii="Arial" w:hAnsi="Arial"/>
          <w:color w:val="auto"/>
          <w:kern w:val="2"/>
          <w:sz w:val="32"/>
          <w:szCs w:val="32"/>
          <w:highlight w:val="none"/>
          <w:lang w:val="en-US" w:eastAsia="zh-CN"/>
        </w:rPr>
      </w:pPr>
    </w:p>
    <w:p w14:paraId="64BB5524">
      <w:pPr>
        <w:pStyle w:val="2"/>
        <w:ind w:left="0" w:leftChars="0" w:firstLine="0" w:firstLineChars="0"/>
        <w:rPr>
          <w:rFonts w:hint="eastAsia" w:ascii="Arial" w:hAnsi="Arial"/>
          <w:color w:val="auto"/>
          <w:kern w:val="2"/>
          <w:sz w:val="32"/>
          <w:szCs w:val="32"/>
          <w:highlight w:val="none"/>
          <w:lang w:val="en-US" w:eastAsia="zh-CN"/>
        </w:rPr>
      </w:pPr>
    </w:p>
    <w:p w14:paraId="30241653">
      <w:pPr>
        <w:pStyle w:val="3"/>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3"/>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439316880"/>
      <w:bookmarkStart w:id="73" w:name="_Toc54941341"/>
      <w:bookmarkStart w:id="74" w:name="_Toc8981"/>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5"/>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2"/>
        <w:rPr>
          <w:color w:val="auto"/>
          <w:highlight w:val="none"/>
        </w:rPr>
      </w:pPr>
    </w:p>
    <w:p w14:paraId="660AB5A7">
      <w:pPr>
        <w:spacing w:line="360" w:lineRule="auto"/>
        <w:ind w:firstLine="435"/>
        <w:rPr>
          <w:rFonts w:ascii="宋体" w:hAnsi="宋体" w:eastAsia="宋体"/>
          <w:sz w:val="24"/>
        </w:rPr>
      </w:pPr>
      <w:bookmarkStart w:id="75" w:name="_Toc24300"/>
      <w:bookmarkStart w:id="76" w:name="_Toc27126"/>
      <w:bookmarkStart w:id="77" w:name="_Toc21295"/>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2232"/>
      <w:bookmarkStart w:id="79" w:name="_Toc24059"/>
      <w:bookmarkStart w:id="80" w:name="_Toc302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3292"/>
      <w:bookmarkStart w:id="82" w:name="_Toc21631"/>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22618"/>
      <w:bookmarkStart w:id="85" w:name="_Toc10340"/>
      <w:bookmarkStart w:id="86"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19304"/>
      <w:bookmarkStart w:id="88" w:name="_Toc2846"/>
      <w:bookmarkStart w:id="89"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19554"/>
      <w:bookmarkStart w:id="91" w:name="_Toc21423"/>
      <w:bookmarkStart w:id="92" w:name="_Toc27250"/>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6021"/>
      <w:bookmarkStart w:id="94" w:name="_Toc15583"/>
      <w:bookmarkStart w:id="95"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5322"/>
      <w:bookmarkStart w:id="97" w:name="_Toc11173"/>
      <w:bookmarkStart w:id="98"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2"/>
        <w:rPr>
          <w:rFonts w:hint="eastAsia" w:ascii="Arial" w:hAnsi="Arial"/>
          <w:color w:val="auto"/>
          <w:kern w:val="2"/>
          <w:sz w:val="36"/>
          <w:szCs w:val="36"/>
          <w:highlight w:val="none"/>
          <w:lang w:val="zh-CN"/>
        </w:rPr>
      </w:pPr>
    </w:p>
    <w:p w14:paraId="69869E16">
      <w:pPr>
        <w:pStyle w:val="2"/>
        <w:rPr>
          <w:rFonts w:hint="eastAsia" w:ascii="Arial" w:hAnsi="Arial"/>
          <w:color w:val="auto"/>
          <w:kern w:val="2"/>
          <w:sz w:val="36"/>
          <w:szCs w:val="36"/>
          <w:highlight w:val="none"/>
          <w:lang w:val="zh-CN"/>
        </w:rPr>
      </w:pPr>
    </w:p>
    <w:p w14:paraId="3F5984A0">
      <w:pPr>
        <w:pStyle w:val="2"/>
        <w:rPr>
          <w:rFonts w:hint="eastAsia" w:ascii="Arial" w:hAnsi="Arial"/>
          <w:color w:val="auto"/>
          <w:kern w:val="2"/>
          <w:sz w:val="36"/>
          <w:szCs w:val="36"/>
          <w:highlight w:val="none"/>
          <w:lang w:val="zh-CN"/>
        </w:rPr>
      </w:pPr>
    </w:p>
    <w:p w14:paraId="28DA2148">
      <w:pPr>
        <w:pStyle w:val="2"/>
        <w:rPr>
          <w:rFonts w:hint="eastAsia" w:ascii="Arial" w:hAnsi="Arial"/>
          <w:color w:val="auto"/>
          <w:kern w:val="2"/>
          <w:sz w:val="36"/>
          <w:szCs w:val="36"/>
          <w:highlight w:val="none"/>
          <w:lang w:val="zh-CN"/>
        </w:rPr>
      </w:pPr>
    </w:p>
    <w:p w14:paraId="538827EF">
      <w:pPr>
        <w:pStyle w:val="2"/>
        <w:rPr>
          <w:rFonts w:hint="eastAsia" w:ascii="Arial" w:hAnsi="Arial"/>
          <w:color w:val="auto"/>
          <w:kern w:val="2"/>
          <w:sz w:val="36"/>
          <w:szCs w:val="36"/>
          <w:highlight w:val="none"/>
          <w:lang w:val="zh-CN"/>
        </w:rPr>
      </w:pPr>
    </w:p>
    <w:p w14:paraId="6B46B7B4">
      <w:pPr>
        <w:pStyle w:val="2"/>
        <w:rPr>
          <w:rFonts w:hint="eastAsia" w:ascii="Arial" w:hAnsi="Arial"/>
          <w:color w:val="auto"/>
          <w:kern w:val="2"/>
          <w:sz w:val="36"/>
          <w:szCs w:val="36"/>
          <w:highlight w:val="none"/>
          <w:lang w:val="zh-CN"/>
        </w:rPr>
      </w:pPr>
    </w:p>
    <w:p w14:paraId="3D8B0CB8">
      <w:pPr>
        <w:pStyle w:val="2"/>
        <w:rPr>
          <w:rFonts w:hint="eastAsia" w:ascii="Arial" w:hAnsi="Arial"/>
          <w:color w:val="auto"/>
          <w:kern w:val="2"/>
          <w:sz w:val="36"/>
          <w:szCs w:val="36"/>
          <w:highlight w:val="none"/>
          <w:lang w:val="zh-CN"/>
        </w:rPr>
      </w:pPr>
    </w:p>
    <w:p w14:paraId="204CB87D">
      <w:pPr>
        <w:pStyle w:val="2"/>
        <w:rPr>
          <w:rFonts w:hint="eastAsia" w:ascii="Arial" w:hAnsi="Arial"/>
          <w:color w:val="auto"/>
          <w:kern w:val="2"/>
          <w:sz w:val="36"/>
          <w:szCs w:val="36"/>
          <w:highlight w:val="none"/>
          <w:lang w:val="zh-CN"/>
        </w:rPr>
      </w:pPr>
    </w:p>
    <w:p w14:paraId="5037A3EF">
      <w:pPr>
        <w:pStyle w:val="2"/>
        <w:ind w:left="0" w:leftChars="0" w:firstLine="0" w:firstLineChars="0"/>
        <w:rPr>
          <w:rFonts w:hint="eastAsia" w:ascii="Arial" w:hAnsi="Arial"/>
          <w:color w:val="auto"/>
          <w:kern w:val="2"/>
          <w:sz w:val="36"/>
          <w:szCs w:val="36"/>
          <w:highlight w:val="none"/>
          <w:lang w:val="zh-CN"/>
        </w:rPr>
      </w:pPr>
    </w:p>
    <w:p w14:paraId="50CC2E07">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2"/>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2"/>
        <w:rPr>
          <w:rFonts w:ascii="宋体" w:hAnsi="宋体" w:cs="宋体"/>
          <w:color w:val="auto"/>
          <w:sz w:val="24"/>
          <w:highlight w:val="none"/>
        </w:rPr>
      </w:pPr>
    </w:p>
    <w:p w14:paraId="18BCD6FA">
      <w:pPr>
        <w:pStyle w:val="2"/>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5"/>
      </w:pPr>
    </w:p>
    <w:p w14:paraId="5612BD5A">
      <w:pPr>
        <w:widowControl/>
        <w:jc w:val="left"/>
        <w:rPr>
          <w:rFonts w:ascii="宋体" w:cs="宋体"/>
          <w:color w:val="auto"/>
          <w:sz w:val="24"/>
          <w:highlight w:val="none"/>
        </w:rPr>
      </w:pPr>
    </w:p>
    <w:p w14:paraId="1AC8455C">
      <w:pPr>
        <w:pStyle w:val="5"/>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5"/>
        <w:spacing w:line="360" w:lineRule="auto"/>
        <w:ind w:left="0" w:leftChars="0" w:firstLine="0" w:firstLineChars="0"/>
        <w:jc w:val="left"/>
        <w:rPr>
          <w:rFonts w:hint="eastAsia" w:ascii="宋体" w:hAnsi="宋体"/>
          <w:color w:val="auto"/>
          <w:sz w:val="24"/>
          <w:highlight w:val="none"/>
        </w:rPr>
      </w:pPr>
    </w:p>
    <w:p w14:paraId="52F2FCA6">
      <w:pPr>
        <w:pStyle w:val="25"/>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3"/>
        <w:tabs>
          <w:tab w:val="left" w:pos="5580"/>
        </w:tabs>
        <w:spacing w:line="480" w:lineRule="auto"/>
        <w:ind w:firstLine="3570" w:firstLineChars="1700"/>
        <w:rPr>
          <w:rFonts w:hint="eastAsia" w:hAnsi="宋体" w:cs="宋体"/>
          <w:color w:val="auto"/>
          <w:highlight w:val="none"/>
        </w:rPr>
      </w:pPr>
    </w:p>
    <w:p w14:paraId="5B76CB0B">
      <w:pPr>
        <w:pStyle w:val="23"/>
        <w:tabs>
          <w:tab w:val="left" w:pos="5580"/>
        </w:tabs>
        <w:spacing w:line="480" w:lineRule="auto"/>
        <w:rPr>
          <w:rFonts w:hint="eastAsia" w:hAnsi="宋体" w:cs="宋体"/>
          <w:color w:val="auto"/>
          <w:highlight w:val="none"/>
        </w:rPr>
      </w:pPr>
    </w:p>
    <w:p w14:paraId="6ED911BB">
      <w:pPr>
        <w:pStyle w:val="23"/>
        <w:tabs>
          <w:tab w:val="left" w:pos="5580"/>
        </w:tabs>
        <w:spacing w:line="480" w:lineRule="auto"/>
        <w:rPr>
          <w:rFonts w:hint="eastAsia" w:hAnsi="宋体" w:cs="宋体"/>
          <w:color w:val="auto"/>
          <w:highlight w:val="none"/>
        </w:rPr>
      </w:pPr>
    </w:p>
    <w:p w14:paraId="3775167C">
      <w:pPr>
        <w:pStyle w:val="23"/>
        <w:tabs>
          <w:tab w:val="left" w:pos="5580"/>
        </w:tabs>
        <w:spacing w:line="480" w:lineRule="auto"/>
        <w:rPr>
          <w:rFonts w:hint="eastAsia" w:hAnsi="宋体" w:cs="宋体"/>
          <w:color w:val="auto"/>
          <w:highlight w:val="none"/>
        </w:rPr>
      </w:pPr>
    </w:p>
    <w:p w14:paraId="499C71AE">
      <w:pPr>
        <w:pStyle w:val="23"/>
        <w:tabs>
          <w:tab w:val="left" w:pos="5580"/>
        </w:tabs>
        <w:spacing w:line="480" w:lineRule="auto"/>
        <w:rPr>
          <w:rFonts w:hint="eastAsia" w:hAnsi="宋体" w:cs="宋体"/>
          <w:color w:val="auto"/>
          <w:highlight w:val="none"/>
        </w:rPr>
      </w:pPr>
    </w:p>
    <w:p w14:paraId="02E4B040">
      <w:pPr>
        <w:pStyle w:val="23"/>
        <w:tabs>
          <w:tab w:val="left" w:pos="5580"/>
        </w:tabs>
        <w:spacing w:line="480" w:lineRule="auto"/>
        <w:rPr>
          <w:rFonts w:hint="eastAsia" w:hAnsi="宋体" w:cs="宋体"/>
          <w:color w:val="auto"/>
          <w:highlight w:val="none"/>
        </w:rPr>
      </w:pPr>
    </w:p>
    <w:p w14:paraId="049C9C40">
      <w:pPr>
        <w:pStyle w:val="5"/>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-1 </w:t>
      </w:r>
      <w:r>
        <w:rPr>
          <w:rFonts w:hint="eastAsia" w:ascii="宋体" w:hAnsi="宋体"/>
          <w:b/>
          <w:color w:val="auto"/>
          <w:sz w:val="24"/>
          <w:szCs w:val="28"/>
          <w:highlight w:val="none"/>
          <w:lang w:val="en-US" w:eastAsia="zh-CN"/>
        </w:rPr>
        <w:t>首轮</w:t>
      </w:r>
      <w:r>
        <w:rPr>
          <w:rFonts w:hint="eastAsia" w:ascii="宋体" w:hAnsi="宋体" w:eastAsia="宋体"/>
          <w:b/>
          <w:color w:val="auto"/>
          <w:sz w:val="24"/>
          <w:szCs w:val="28"/>
          <w:highlight w:val="none"/>
        </w:rPr>
        <w:t>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5"/>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2"/>
        <w:ind w:left="0" w:leftChars="0" w:firstLine="0" w:firstLineChars="0"/>
        <w:rPr>
          <w:rFonts w:hint="eastAsia"/>
          <w:lang w:val="en-US" w:eastAsia="zh-CN"/>
        </w:rPr>
      </w:pPr>
    </w:p>
    <w:p w14:paraId="652BD71C">
      <w:pPr>
        <w:keepNext w:val="0"/>
        <w:keepLines w:val="0"/>
        <w:pageBreakBefore w:val="0"/>
        <w:widowControl w:val="0"/>
        <w:kinsoku/>
        <w:wordWrap/>
        <w:overflowPunct/>
        <w:topLinePunct w:val="0"/>
        <w:autoSpaceDE/>
        <w:autoSpaceDN/>
        <w:bidi w:val="0"/>
        <w:adjustRightInd w:val="0"/>
        <w:snapToGrid/>
        <w:spacing w:after="157" w:afterLines="50"/>
        <w:textAlignment w:val="auto"/>
      </w:pPr>
      <w:r>
        <w:rPr>
          <w:rFonts w:hint="eastAsia" w:hAnsi="宋体" w:cs="宋体"/>
          <w:b/>
          <w:bCs/>
          <w:color w:val="auto"/>
          <w:sz w:val="24"/>
          <w:szCs w:val="24"/>
          <w:highlight w:val="none"/>
          <w:lang w:val="en-US" w:eastAsia="zh-CN"/>
        </w:rPr>
        <w:t>2-2</w:t>
      </w:r>
      <w:r>
        <w:rPr>
          <w:rFonts w:hint="eastAsia" w:hAnsi="宋体" w:cs="宋体"/>
          <w:b/>
          <w:bCs/>
          <w:color w:val="auto"/>
          <w:sz w:val="24"/>
          <w:szCs w:val="24"/>
          <w:highlight w:val="none"/>
          <w:lang w:eastAsia="zh-CN"/>
        </w:rPr>
        <w:t>分项报价明细表</w:t>
      </w:r>
      <w:r>
        <w:rPr>
          <w:rFonts w:hint="eastAsia" w:hAnsi="宋体" w:cs="宋体"/>
          <w:b/>
          <w:bCs/>
          <w:color w:val="auto"/>
          <w:sz w:val="24"/>
          <w:szCs w:val="24"/>
          <w:highlight w:val="none"/>
        </w:rPr>
        <w:t>：</w:t>
      </w:r>
    </w:p>
    <w:tbl>
      <w:tblPr>
        <w:tblStyle w:val="4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276"/>
        <w:gridCol w:w="1565"/>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84" w:type="dxa"/>
            <w:vAlign w:val="center"/>
          </w:tcPr>
          <w:p w14:paraId="19D48A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6"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565"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276" w:type="dxa"/>
            <w:vAlign w:val="center"/>
          </w:tcPr>
          <w:p w14:paraId="473ADD21">
            <w:pPr>
              <w:spacing w:line="360" w:lineRule="auto"/>
              <w:jc w:val="center"/>
              <w:rPr>
                <w:rFonts w:ascii="宋体" w:hAnsi="宋体" w:cs="宋体"/>
                <w:color w:val="auto"/>
                <w:szCs w:val="21"/>
                <w:highlight w:val="none"/>
              </w:rPr>
            </w:pPr>
          </w:p>
        </w:tc>
        <w:tc>
          <w:tcPr>
            <w:tcW w:w="1565"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276" w:type="dxa"/>
            <w:vAlign w:val="center"/>
          </w:tcPr>
          <w:p w14:paraId="3210A503">
            <w:pPr>
              <w:spacing w:line="360" w:lineRule="auto"/>
              <w:jc w:val="center"/>
              <w:rPr>
                <w:rFonts w:ascii="宋体" w:hAnsi="宋体" w:cs="宋体"/>
                <w:color w:val="auto"/>
                <w:szCs w:val="21"/>
                <w:highlight w:val="none"/>
              </w:rPr>
            </w:pPr>
          </w:p>
        </w:tc>
        <w:tc>
          <w:tcPr>
            <w:tcW w:w="1565"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276" w:type="dxa"/>
            <w:vAlign w:val="center"/>
          </w:tcPr>
          <w:p w14:paraId="7F7D35F2">
            <w:pPr>
              <w:spacing w:line="360" w:lineRule="auto"/>
              <w:jc w:val="center"/>
              <w:rPr>
                <w:rFonts w:ascii="宋体" w:hAnsi="宋体" w:cs="宋体"/>
                <w:color w:val="auto"/>
                <w:szCs w:val="21"/>
                <w:highlight w:val="none"/>
              </w:rPr>
            </w:pPr>
          </w:p>
        </w:tc>
        <w:tc>
          <w:tcPr>
            <w:tcW w:w="1565" w:type="dxa"/>
            <w:vAlign w:val="center"/>
          </w:tcPr>
          <w:p w14:paraId="6FCB2DF7">
            <w:pPr>
              <w:spacing w:line="360" w:lineRule="auto"/>
              <w:jc w:val="center"/>
              <w:rPr>
                <w:rFonts w:ascii="宋体" w:hAnsi="宋体" w:cs="宋体"/>
                <w:color w:val="auto"/>
                <w:szCs w:val="21"/>
                <w:highlight w:val="none"/>
              </w:rPr>
            </w:pPr>
          </w:p>
        </w:tc>
      </w:tr>
      <w:tr w14:paraId="574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0E0F6B1A">
            <w:pPr>
              <w:spacing w:line="360" w:lineRule="auto"/>
              <w:jc w:val="center"/>
              <w:rPr>
                <w:rFonts w:ascii="宋体" w:hAnsi="宋体" w:cs="宋体"/>
                <w:color w:val="auto"/>
                <w:spacing w:val="-4"/>
                <w:szCs w:val="21"/>
                <w:highlight w:val="none"/>
              </w:rPr>
            </w:pPr>
          </w:p>
        </w:tc>
        <w:tc>
          <w:tcPr>
            <w:tcW w:w="1315" w:type="dxa"/>
            <w:vAlign w:val="center"/>
          </w:tcPr>
          <w:p w14:paraId="06231753">
            <w:pPr>
              <w:spacing w:line="360" w:lineRule="auto"/>
              <w:jc w:val="center"/>
              <w:rPr>
                <w:rFonts w:ascii="宋体" w:hAnsi="宋体" w:cs="宋体"/>
                <w:color w:val="auto"/>
                <w:szCs w:val="21"/>
                <w:highlight w:val="none"/>
              </w:rPr>
            </w:pPr>
          </w:p>
        </w:tc>
        <w:tc>
          <w:tcPr>
            <w:tcW w:w="2584" w:type="dxa"/>
            <w:vAlign w:val="center"/>
          </w:tcPr>
          <w:p w14:paraId="4C90C873">
            <w:pPr>
              <w:spacing w:line="360" w:lineRule="auto"/>
              <w:jc w:val="center"/>
              <w:rPr>
                <w:rFonts w:ascii="宋体" w:hAnsi="宋体" w:cs="宋体"/>
                <w:color w:val="auto"/>
                <w:szCs w:val="21"/>
                <w:highlight w:val="none"/>
              </w:rPr>
            </w:pPr>
          </w:p>
        </w:tc>
        <w:tc>
          <w:tcPr>
            <w:tcW w:w="820" w:type="dxa"/>
            <w:vAlign w:val="center"/>
          </w:tcPr>
          <w:p w14:paraId="5692DE21">
            <w:pPr>
              <w:spacing w:line="360" w:lineRule="auto"/>
              <w:jc w:val="center"/>
              <w:rPr>
                <w:rFonts w:ascii="宋体" w:hAnsi="宋体" w:cs="宋体"/>
                <w:color w:val="auto"/>
                <w:szCs w:val="21"/>
                <w:highlight w:val="none"/>
              </w:rPr>
            </w:pPr>
          </w:p>
        </w:tc>
        <w:tc>
          <w:tcPr>
            <w:tcW w:w="696" w:type="dxa"/>
            <w:vAlign w:val="center"/>
          </w:tcPr>
          <w:p w14:paraId="2FEBCC3C">
            <w:pPr>
              <w:spacing w:line="360" w:lineRule="auto"/>
              <w:jc w:val="center"/>
              <w:rPr>
                <w:rFonts w:ascii="宋体" w:hAnsi="宋体" w:cs="宋体"/>
                <w:color w:val="auto"/>
                <w:szCs w:val="21"/>
                <w:highlight w:val="none"/>
              </w:rPr>
            </w:pPr>
          </w:p>
        </w:tc>
        <w:tc>
          <w:tcPr>
            <w:tcW w:w="1276" w:type="dxa"/>
            <w:vAlign w:val="center"/>
          </w:tcPr>
          <w:p w14:paraId="150F003D">
            <w:pPr>
              <w:spacing w:line="360" w:lineRule="auto"/>
              <w:jc w:val="center"/>
              <w:rPr>
                <w:rFonts w:ascii="宋体" w:hAnsi="宋体" w:cs="宋体"/>
                <w:color w:val="auto"/>
                <w:szCs w:val="21"/>
                <w:highlight w:val="none"/>
              </w:rPr>
            </w:pPr>
          </w:p>
        </w:tc>
        <w:tc>
          <w:tcPr>
            <w:tcW w:w="1565" w:type="dxa"/>
            <w:vAlign w:val="center"/>
          </w:tcPr>
          <w:p w14:paraId="4B14E183">
            <w:pPr>
              <w:spacing w:line="360" w:lineRule="auto"/>
              <w:jc w:val="center"/>
              <w:rPr>
                <w:rFonts w:ascii="宋体" w:hAnsi="宋体" w:cs="宋体"/>
                <w:color w:val="auto"/>
                <w:szCs w:val="21"/>
                <w:highlight w:val="none"/>
              </w:rPr>
            </w:pPr>
          </w:p>
        </w:tc>
      </w:tr>
      <w:tr w14:paraId="4BC6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11BEA3E9">
            <w:pPr>
              <w:spacing w:line="360" w:lineRule="auto"/>
              <w:jc w:val="center"/>
              <w:rPr>
                <w:rFonts w:ascii="宋体" w:hAnsi="宋体" w:cs="宋体"/>
                <w:color w:val="auto"/>
                <w:spacing w:val="-4"/>
                <w:szCs w:val="21"/>
                <w:highlight w:val="none"/>
              </w:rPr>
            </w:pPr>
          </w:p>
        </w:tc>
        <w:tc>
          <w:tcPr>
            <w:tcW w:w="1315" w:type="dxa"/>
            <w:vAlign w:val="center"/>
          </w:tcPr>
          <w:p w14:paraId="3C5A6E4A">
            <w:pPr>
              <w:spacing w:line="360" w:lineRule="auto"/>
              <w:jc w:val="center"/>
              <w:rPr>
                <w:rFonts w:ascii="宋体" w:hAnsi="宋体" w:cs="宋体"/>
                <w:color w:val="auto"/>
                <w:szCs w:val="21"/>
                <w:highlight w:val="none"/>
              </w:rPr>
            </w:pPr>
          </w:p>
        </w:tc>
        <w:tc>
          <w:tcPr>
            <w:tcW w:w="2584" w:type="dxa"/>
            <w:vAlign w:val="center"/>
          </w:tcPr>
          <w:p w14:paraId="22851E67">
            <w:pPr>
              <w:spacing w:line="360" w:lineRule="auto"/>
              <w:jc w:val="center"/>
              <w:rPr>
                <w:rFonts w:ascii="宋体" w:hAnsi="宋体" w:cs="宋体"/>
                <w:color w:val="auto"/>
                <w:szCs w:val="21"/>
                <w:highlight w:val="none"/>
              </w:rPr>
            </w:pPr>
          </w:p>
        </w:tc>
        <w:tc>
          <w:tcPr>
            <w:tcW w:w="820" w:type="dxa"/>
            <w:vAlign w:val="center"/>
          </w:tcPr>
          <w:p w14:paraId="6A732E14">
            <w:pPr>
              <w:spacing w:line="360" w:lineRule="auto"/>
              <w:jc w:val="center"/>
              <w:rPr>
                <w:rFonts w:ascii="宋体" w:hAnsi="宋体" w:cs="宋体"/>
                <w:color w:val="auto"/>
                <w:szCs w:val="21"/>
                <w:highlight w:val="none"/>
              </w:rPr>
            </w:pPr>
          </w:p>
        </w:tc>
        <w:tc>
          <w:tcPr>
            <w:tcW w:w="696" w:type="dxa"/>
            <w:vAlign w:val="center"/>
          </w:tcPr>
          <w:p w14:paraId="779F45AE">
            <w:pPr>
              <w:spacing w:line="360" w:lineRule="auto"/>
              <w:jc w:val="center"/>
              <w:rPr>
                <w:rFonts w:ascii="宋体" w:hAnsi="宋体" w:cs="宋体"/>
                <w:color w:val="auto"/>
                <w:szCs w:val="21"/>
                <w:highlight w:val="none"/>
              </w:rPr>
            </w:pPr>
          </w:p>
        </w:tc>
        <w:tc>
          <w:tcPr>
            <w:tcW w:w="1276" w:type="dxa"/>
            <w:vAlign w:val="center"/>
          </w:tcPr>
          <w:p w14:paraId="5FEAF521">
            <w:pPr>
              <w:spacing w:line="360" w:lineRule="auto"/>
              <w:jc w:val="center"/>
              <w:rPr>
                <w:rFonts w:ascii="宋体" w:hAnsi="宋体" w:cs="宋体"/>
                <w:color w:val="auto"/>
                <w:szCs w:val="21"/>
                <w:highlight w:val="none"/>
              </w:rPr>
            </w:pPr>
          </w:p>
        </w:tc>
        <w:tc>
          <w:tcPr>
            <w:tcW w:w="1565" w:type="dxa"/>
            <w:vAlign w:val="center"/>
          </w:tcPr>
          <w:p w14:paraId="0F20A799">
            <w:pPr>
              <w:spacing w:line="360" w:lineRule="auto"/>
              <w:jc w:val="center"/>
              <w:rPr>
                <w:rFonts w:ascii="宋体" w:hAnsi="宋体" w:cs="宋体"/>
                <w:color w:val="auto"/>
                <w:szCs w:val="21"/>
                <w:highlight w:val="none"/>
              </w:rPr>
            </w:pPr>
          </w:p>
        </w:tc>
      </w:tr>
    </w:tbl>
    <w:p w14:paraId="2D4A6B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4FC9271">
      <w:pPr>
        <w:pStyle w:val="2"/>
        <w:ind w:left="0" w:leftChars="0" w:firstLine="0" w:firstLineChars="0"/>
        <w:rPr>
          <w:rFonts w:hint="eastAsia"/>
          <w:lang w:val="en-US" w:eastAsia="zh-CN"/>
        </w:rPr>
      </w:pPr>
    </w:p>
    <w:p w14:paraId="2D5D867F">
      <w:pPr>
        <w:pStyle w:val="2"/>
        <w:ind w:left="0" w:leftChars="0" w:firstLine="0" w:firstLineChars="0"/>
        <w:rPr>
          <w:rFonts w:hint="eastAsia"/>
          <w:lang w:val="en-US" w:eastAsia="zh-CN"/>
        </w:rPr>
      </w:pPr>
    </w:p>
    <w:p w14:paraId="405D1405">
      <w:pPr>
        <w:pStyle w:val="2"/>
        <w:ind w:left="0" w:leftChars="0" w:firstLine="0" w:firstLineChars="0"/>
        <w:rPr>
          <w:rFonts w:hint="eastAsia"/>
          <w:lang w:val="en-US" w:eastAsia="zh-CN"/>
        </w:rPr>
      </w:pPr>
    </w:p>
    <w:p w14:paraId="7E46299E">
      <w:pPr>
        <w:pStyle w:val="2"/>
        <w:ind w:left="0" w:leftChars="0" w:firstLine="0" w:firstLineChars="0"/>
        <w:rPr>
          <w:rFonts w:hint="eastAsia"/>
          <w:lang w:val="en-US" w:eastAsia="zh-CN"/>
        </w:rPr>
      </w:pPr>
    </w:p>
    <w:p w14:paraId="169BC08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3"/>
              <w:jc w:val="center"/>
              <w:rPr>
                <w:rFonts w:cs="Wingdings" w:asciiTheme="minorEastAsia" w:hAnsiTheme="minorEastAsia"/>
                <w:b/>
                <w:color w:val="auto"/>
                <w:sz w:val="24"/>
                <w:highlight w:val="none"/>
              </w:rPr>
            </w:pPr>
            <w:bookmarkStart w:id="104" w:name="_Toc54941345"/>
            <w:bookmarkStart w:id="105" w:name="_Toc476584436"/>
            <w:bookmarkStart w:id="106" w:name="_Toc15038"/>
            <w:r>
              <w:rPr>
                <w:rFonts w:hint="eastAsia" w:cs="Wingdings" w:asciiTheme="minorEastAsia" w:hAnsiTheme="minorEastAsia"/>
                <w:b/>
                <w:color w:val="auto"/>
                <w:sz w:val="24"/>
                <w:highlight w:val="none"/>
              </w:rPr>
              <w:t>序号</w:t>
            </w:r>
          </w:p>
        </w:tc>
        <w:tc>
          <w:tcPr>
            <w:tcW w:w="1927" w:type="dxa"/>
            <w:vAlign w:val="center"/>
          </w:tcPr>
          <w:p w14:paraId="49F065DB">
            <w:pPr>
              <w:pStyle w:val="2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40"/>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bookmarkEnd w:id="104"/>
    <w:p w14:paraId="45F58EDD">
      <w:pPr>
        <w:pStyle w:val="5"/>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5"/>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eastAsia="zh-CN"/>
        </w:rPr>
        <w:t>谈判</w:t>
      </w:r>
      <w:r>
        <w:rPr>
          <w:rFonts w:hint="eastAsia" w:ascii="宋体" w:hAnsi="宋体"/>
          <w:b/>
          <w:sz w:val="24"/>
        </w:rPr>
        <w:t>时报价使用。（此表由供应商</w:t>
      </w:r>
      <w:r>
        <w:rPr>
          <w:rFonts w:hint="eastAsia" w:ascii="宋体" w:hAnsi="宋体"/>
          <w:b/>
          <w:sz w:val="24"/>
          <w:lang w:eastAsia="zh-CN"/>
        </w:rPr>
        <w:t>谈判</w:t>
      </w:r>
      <w:r>
        <w:rPr>
          <w:rFonts w:hint="eastAsia" w:ascii="宋体" w:hAnsi="宋体"/>
          <w:b/>
          <w:sz w:val="24"/>
        </w:rPr>
        <w:t>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920"/>
      <w:bookmarkStart w:id="10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8007"/>
      <w:bookmarkStart w:id="110"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5"/>
        <w:spacing w:line="360" w:lineRule="auto"/>
        <w:ind w:left="0" w:leftChars="0" w:firstLine="0" w:firstLineChars="0"/>
        <w:rPr>
          <w:rFonts w:hint="eastAsia" w:ascii="宋体" w:hAnsi="宋体"/>
          <w:b/>
          <w:bCs/>
          <w:color w:val="auto"/>
          <w:sz w:val="24"/>
          <w:highlight w:val="none"/>
        </w:rPr>
      </w:pPr>
    </w:p>
    <w:p w14:paraId="74F2602E">
      <w:pPr>
        <w:pStyle w:val="25"/>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6186"/>
      <w:bookmarkStart w:id="113" w:name="_Toc22272"/>
    </w:p>
    <w:p w14:paraId="51ADD086">
      <w:pPr>
        <w:rPr>
          <w:rFonts w:hint="eastAsia"/>
          <w:color w:val="auto"/>
          <w:sz w:val="28"/>
          <w:szCs w:val="28"/>
          <w:highlight w:val="none"/>
          <w:lang w:val="en-US" w:eastAsia="zh-CN"/>
        </w:rPr>
      </w:pPr>
    </w:p>
    <w:p w14:paraId="011C779E">
      <w:pPr>
        <w:pStyle w:val="5"/>
        <w:rPr>
          <w:rFonts w:hint="eastAsia"/>
          <w:color w:val="auto"/>
          <w:sz w:val="28"/>
          <w:szCs w:val="28"/>
          <w:highlight w:val="none"/>
          <w:lang w:val="en-US" w:eastAsia="zh-CN"/>
        </w:rPr>
      </w:pPr>
    </w:p>
    <w:p w14:paraId="1A1A6E80">
      <w:pPr>
        <w:pStyle w:val="5"/>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5"/>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3"/>
        <w:numPr>
          <w:ilvl w:val="0"/>
          <w:numId w:val="0"/>
        </w:numPr>
        <w:spacing w:before="0" w:beforeAutospacing="0"/>
        <w:ind w:firstLine="1921" w:firstLineChars="600"/>
        <w:jc w:val="left"/>
        <w:rPr>
          <w:color w:val="auto"/>
          <w:highlight w:val="none"/>
        </w:rPr>
      </w:pPr>
      <w:bookmarkStart w:id="114" w:name="_Toc32741"/>
      <w:bookmarkStart w:id="115" w:name="_Toc12703"/>
      <w:bookmarkStart w:id="116" w:name="_Toc2700"/>
      <w:bookmarkStart w:id="117" w:name="_Toc8573"/>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5"/>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5"/>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8"/>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8"/>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8"/>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8"/>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8"/>
      <w:pBdr>
        <w:top w:val="single" w:color="auto" w:sz="4" w:space="1"/>
      </w:pBdr>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8"/>
      <w:rPr>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54C"/>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7A17701"/>
    <w:rsid w:val="19A9143B"/>
    <w:rsid w:val="1A4A0E6B"/>
    <w:rsid w:val="1A66331F"/>
    <w:rsid w:val="1AB377E9"/>
    <w:rsid w:val="1B7D17CE"/>
    <w:rsid w:val="1E0104DD"/>
    <w:rsid w:val="1EA4741C"/>
    <w:rsid w:val="235A67DD"/>
    <w:rsid w:val="283C571B"/>
    <w:rsid w:val="289742A6"/>
    <w:rsid w:val="28C826B1"/>
    <w:rsid w:val="28E63499"/>
    <w:rsid w:val="29430DFE"/>
    <w:rsid w:val="2B7803BF"/>
    <w:rsid w:val="2B843649"/>
    <w:rsid w:val="2CB85B3D"/>
    <w:rsid w:val="2D13017B"/>
    <w:rsid w:val="2E9279E9"/>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40393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7B5F1C"/>
    <w:rsid w:val="68AB6E74"/>
    <w:rsid w:val="68B0223F"/>
    <w:rsid w:val="6C550632"/>
    <w:rsid w:val="6F504CA2"/>
    <w:rsid w:val="71464E03"/>
    <w:rsid w:val="71A97B73"/>
    <w:rsid w:val="742915A0"/>
    <w:rsid w:val="746F15A7"/>
    <w:rsid w:val="74BE7E3A"/>
    <w:rsid w:val="75B96BD7"/>
    <w:rsid w:val="7A0E5D68"/>
    <w:rsid w:val="7AC07129"/>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9"/>
    <w:autoRedefine/>
    <w:unhideWhenUsed/>
    <w:qFormat/>
    <w:uiPriority w:val="0"/>
    <w:pPr>
      <w:ind w:left="2730" w:hanging="2730" w:hangingChars="1365"/>
      <w:jc w:val="left"/>
    </w:pPr>
    <w:rPr>
      <w:sz w:val="20"/>
      <w:lang w:bidi="he-IL"/>
    </w:rPr>
  </w:style>
  <w:style w:type="paragraph" w:styleId="16">
    <w:name w:val="envelope return"/>
    <w:basedOn w:val="1"/>
    <w:autoRedefine/>
    <w:qFormat/>
    <w:uiPriority w:val="0"/>
    <w:pPr>
      <w:snapToGrid w:val="0"/>
    </w:pPr>
    <w:rPr>
      <w:rFonts w:ascii="Arial" w:hAnsi="Arial"/>
    </w:rPr>
  </w:style>
  <w:style w:type="paragraph" w:styleId="17">
    <w:name w:val="annotation text"/>
    <w:basedOn w:val="1"/>
    <w:link w:val="123"/>
    <w:autoRedefine/>
    <w:unhideWhenUsed/>
    <w:qFormat/>
    <w:uiPriority w:val="0"/>
    <w:pPr>
      <w:adjustRightInd/>
      <w:spacing w:line="500" w:lineRule="exact"/>
      <w:jc w:val="left"/>
    </w:pPr>
    <w:rPr>
      <w:sz w:val="20"/>
    </w:rPr>
  </w:style>
  <w:style w:type="paragraph" w:styleId="18">
    <w:name w:val="Body Text 3"/>
    <w:basedOn w:val="1"/>
    <w:link w:val="79"/>
    <w:autoRedefine/>
    <w:semiHidden/>
    <w:unhideWhenUsed/>
    <w:qFormat/>
    <w:uiPriority w:val="99"/>
    <w:pPr>
      <w:spacing w:after="120"/>
    </w:pPr>
    <w:rPr>
      <w:sz w:val="16"/>
      <w:szCs w:val="16"/>
    </w:rPr>
  </w:style>
  <w:style w:type="paragraph" w:styleId="19">
    <w:name w:val="Body Text"/>
    <w:basedOn w:val="1"/>
    <w:next w:val="1"/>
    <w:link w:val="86"/>
    <w:autoRedefine/>
    <w:unhideWhenUsed/>
    <w:qFormat/>
    <w:uiPriority w:val="0"/>
    <w:pPr>
      <w:spacing w:after="120"/>
    </w:pPr>
  </w:style>
  <w:style w:type="paragraph" w:styleId="20">
    <w:name w:val="Block Text"/>
    <w:basedOn w:val="1"/>
    <w:autoRedefine/>
    <w:unhideWhenUsed/>
    <w:qFormat/>
    <w:uiPriority w:val="99"/>
    <w:pPr>
      <w:spacing w:after="120"/>
      <w:ind w:left="1440" w:leftChars="700" w:right="1440" w:rightChars="700"/>
    </w:pPr>
    <w:rPr>
      <w:szCs w:val="24"/>
    </w:rPr>
  </w:style>
  <w:style w:type="paragraph" w:styleId="21">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2">
    <w:name w:val="toc 3"/>
    <w:basedOn w:val="1"/>
    <w:next w:val="1"/>
    <w:autoRedefine/>
    <w:unhideWhenUsed/>
    <w:qFormat/>
    <w:uiPriority w:val="39"/>
    <w:pPr>
      <w:ind w:left="840" w:leftChars="400"/>
    </w:pPr>
  </w:style>
  <w:style w:type="paragraph" w:styleId="23">
    <w:name w:val="Plain Text"/>
    <w:basedOn w:val="1"/>
    <w:link w:val="124"/>
    <w:autoRedefine/>
    <w:qFormat/>
    <w:uiPriority w:val="0"/>
    <w:pPr>
      <w:textAlignment w:val="baseline"/>
    </w:pPr>
    <w:rPr>
      <w:rFonts w:ascii="宋体" w:hAnsi="Courier New"/>
    </w:rPr>
  </w:style>
  <w:style w:type="paragraph" w:styleId="24">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5">
    <w:name w:val="Date"/>
    <w:basedOn w:val="1"/>
    <w:next w:val="1"/>
    <w:link w:val="84"/>
    <w:autoRedefine/>
    <w:semiHidden/>
    <w:unhideWhenUsed/>
    <w:qFormat/>
    <w:uiPriority w:val="99"/>
    <w:pPr>
      <w:ind w:left="100" w:leftChars="2500"/>
    </w:pPr>
  </w:style>
  <w:style w:type="paragraph" w:styleId="26">
    <w:name w:val="Body Text Indent 2"/>
    <w:basedOn w:val="1"/>
    <w:link w:val="82"/>
    <w:autoRedefine/>
    <w:unhideWhenUsed/>
    <w:qFormat/>
    <w:uiPriority w:val="99"/>
    <w:pPr>
      <w:spacing w:after="120" w:line="480" w:lineRule="auto"/>
      <w:ind w:left="420" w:leftChars="200"/>
      <w:jc w:val="left"/>
    </w:pPr>
  </w:style>
  <w:style w:type="paragraph" w:styleId="27">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8">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9">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34"/>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3"/>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9"/>
    <w:link w:val="93"/>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hint="default"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2"/>
    <w:link w:val="7"/>
    <w:autoRedefine/>
    <w:qFormat/>
    <w:uiPriority w:val="9"/>
    <w:rPr>
      <w:rFonts w:ascii="Times New Roman" w:hAnsi="Times New Roman" w:eastAsia="宋体" w:cs="Times New Roman"/>
      <w:b/>
      <w:bCs/>
      <w:sz w:val="28"/>
      <w:szCs w:val="28"/>
    </w:rPr>
  </w:style>
  <w:style w:type="character" w:customStyle="1" w:styleId="62">
    <w:name w:val="标题 6 字符"/>
    <w:basedOn w:val="42"/>
    <w:link w:val="8"/>
    <w:autoRedefine/>
    <w:qFormat/>
    <w:uiPriority w:val="9"/>
    <w:rPr>
      <w:rFonts w:ascii="Arial" w:hAnsi="Arial" w:eastAsia="黑体" w:cs="Times New Roman"/>
      <w:b/>
      <w:bCs/>
      <w:sz w:val="24"/>
      <w:szCs w:val="24"/>
    </w:rPr>
  </w:style>
  <w:style w:type="character" w:customStyle="1" w:styleId="63">
    <w:name w:val="标题 7 字符"/>
    <w:basedOn w:val="42"/>
    <w:link w:val="9"/>
    <w:autoRedefine/>
    <w:qFormat/>
    <w:uiPriority w:val="0"/>
    <w:rPr>
      <w:rFonts w:ascii="Times New Roman" w:hAnsi="Times New Roman" w:eastAsia="宋体" w:cs="Times New Roman"/>
      <w:b/>
      <w:bCs/>
      <w:sz w:val="24"/>
      <w:szCs w:val="24"/>
    </w:rPr>
  </w:style>
  <w:style w:type="character" w:customStyle="1" w:styleId="64">
    <w:name w:val="标题 8 字符"/>
    <w:basedOn w:val="42"/>
    <w:link w:val="10"/>
    <w:autoRedefine/>
    <w:qFormat/>
    <w:uiPriority w:val="0"/>
    <w:rPr>
      <w:rFonts w:ascii="Arial" w:hAnsi="Arial" w:eastAsia="黑体" w:cs="Times New Roman"/>
      <w:sz w:val="24"/>
      <w:szCs w:val="24"/>
    </w:rPr>
  </w:style>
  <w:style w:type="character" w:customStyle="1" w:styleId="65">
    <w:name w:val="标题 9 字符"/>
    <w:basedOn w:val="42"/>
    <w:link w:val="11"/>
    <w:autoRedefine/>
    <w:qFormat/>
    <w:uiPriority w:val="9"/>
    <w:rPr>
      <w:rFonts w:ascii="Arial" w:hAnsi="Arial" w:eastAsia="黑体" w:cs="Times New Roman"/>
      <w:szCs w:val="21"/>
    </w:rPr>
  </w:style>
  <w:style w:type="character" w:customStyle="1" w:styleId="66">
    <w:name w:val="页眉 字符"/>
    <w:basedOn w:val="42"/>
    <w:link w:val="29"/>
    <w:autoRedefine/>
    <w:qFormat/>
    <w:uiPriority w:val="0"/>
    <w:rPr>
      <w:sz w:val="18"/>
      <w:szCs w:val="18"/>
    </w:rPr>
  </w:style>
  <w:style w:type="character" w:customStyle="1" w:styleId="67">
    <w:name w:val="页脚 字符"/>
    <w:basedOn w:val="42"/>
    <w:link w:val="28"/>
    <w:autoRedefine/>
    <w:qFormat/>
    <w:uiPriority w:val="0"/>
    <w:rPr>
      <w:sz w:val="18"/>
      <w:szCs w:val="18"/>
    </w:rPr>
  </w:style>
  <w:style w:type="character" w:customStyle="1" w:styleId="68">
    <w:name w:val="批注框文本 字符"/>
    <w:basedOn w:val="42"/>
    <w:link w:val="27"/>
    <w:autoRedefine/>
    <w:semiHidden/>
    <w:qFormat/>
    <w:uiPriority w:val="99"/>
    <w:rPr>
      <w:sz w:val="18"/>
      <w:szCs w:val="18"/>
    </w:rPr>
  </w:style>
  <w:style w:type="character" w:customStyle="1" w:styleId="69">
    <w:name w:val="正文文本缩进 字符"/>
    <w:basedOn w:val="42"/>
    <w:link w:val="15"/>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2"/>
    <w:link w:val="18"/>
    <w:autoRedefine/>
    <w:semiHidden/>
    <w:qFormat/>
    <w:uiPriority w:val="99"/>
    <w:rPr>
      <w:rFonts w:ascii="Times New Roman" w:hAnsi="Times New Roman" w:eastAsia="宋体" w:cs="Times New Roman"/>
      <w:kern w:val="0"/>
      <w:sz w:val="16"/>
      <w:szCs w:val="16"/>
    </w:rPr>
  </w:style>
  <w:style w:type="character" w:customStyle="1" w:styleId="80">
    <w:name w:val="fontstyle01"/>
    <w:basedOn w:val="42"/>
    <w:autoRedefine/>
    <w:qFormat/>
    <w:uiPriority w:val="0"/>
    <w:rPr>
      <w:rFonts w:hint="eastAsia" w:ascii="宋体" w:hAnsi="宋体" w:eastAsia="宋体"/>
      <w:color w:val="000000"/>
      <w:sz w:val="44"/>
      <w:szCs w:val="44"/>
    </w:rPr>
  </w:style>
  <w:style w:type="character" w:customStyle="1" w:styleId="81">
    <w:name w:val="fontstyle21"/>
    <w:basedOn w:val="42"/>
    <w:autoRedefine/>
    <w:qFormat/>
    <w:uiPriority w:val="0"/>
    <w:rPr>
      <w:rFonts w:hint="default" w:ascii="Wingdings-Regular" w:hAnsi="Wingdings-Regular"/>
      <w:color w:val="000000"/>
      <w:sz w:val="22"/>
      <w:szCs w:val="22"/>
    </w:rPr>
  </w:style>
  <w:style w:type="character" w:customStyle="1" w:styleId="82">
    <w:name w:val="正文文本缩进 2 字符"/>
    <w:basedOn w:val="42"/>
    <w:link w:val="26"/>
    <w:autoRedefine/>
    <w:qFormat/>
    <w:uiPriority w:val="99"/>
    <w:rPr>
      <w:rFonts w:ascii="Times New Roman" w:hAnsi="Times New Roman" w:eastAsia="宋体" w:cs="Times New Roman"/>
      <w:kern w:val="0"/>
      <w:szCs w:val="20"/>
    </w:rPr>
  </w:style>
  <w:style w:type="character" w:customStyle="1" w:styleId="83">
    <w:name w:val="Unresolved Mention"/>
    <w:basedOn w:val="42"/>
    <w:autoRedefine/>
    <w:semiHidden/>
    <w:unhideWhenUsed/>
    <w:qFormat/>
    <w:uiPriority w:val="99"/>
    <w:rPr>
      <w:color w:val="605E5C"/>
      <w:shd w:val="clear" w:color="auto" w:fill="E1DFDD"/>
    </w:rPr>
  </w:style>
  <w:style w:type="character" w:customStyle="1" w:styleId="84">
    <w:name w:val="日期 字符"/>
    <w:basedOn w:val="42"/>
    <w:link w:val="25"/>
    <w:autoRedefine/>
    <w:semiHidden/>
    <w:qFormat/>
    <w:uiPriority w:val="99"/>
    <w:rPr>
      <w:rFonts w:ascii="Times New Roman" w:hAnsi="Times New Roman" w:eastAsia="宋体" w:cs="Times New Roman"/>
      <w:kern w:val="0"/>
      <w:szCs w:val="20"/>
    </w:rPr>
  </w:style>
  <w:style w:type="character" w:customStyle="1" w:styleId="85">
    <w:name w:val="正文缩进 字符"/>
    <w:link w:val="13"/>
    <w:autoRedefine/>
    <w:qFormat/>
    <w:uiPriority w:val="0"/>
    <w:rPr>
      <w:rFonts w:ascii="宋体"/>
      <w:sz w:val="24"/>
    </w:rPr>
  </w:style>
  <w:style w:type="character" w:customStyle="1" w:styleId="86">
    <w:name w:val="正文文本 字符"/>
    <w:basedOn w:val="42"/>
    <w:link w:val="19"/>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4"/>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9"/>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2"/>
    <w:link w:val="17"/>
    <w:autoRedefine/>
    <w:qFormat/>
    <w:uiPriority w:val="0"/>
    <w:rPr>
      <w:rFonts w:ascii="Times New Roman" w:hAnsi="Times New Roman" w:eastAsia="宋体" w:cs="Times New Roman"/>
      <w:kern w:val="0"/>
      <w:sz w:val="20"/>
      <w:szCs w:val="20"/>
    </w:rPr>
  </w:style>
  <w:style w:type="character" w:customStyle="1" w:styleId="124">
    <w:name w:val="纯文本 字符"/>
    <w:basedOn w:val="42"/>
    <w:link w:val="23"/>
    <w:autoRedefine/>
    <w:qFormat/>
    <w:uiPriority w:val="0"/>
    <w:rPr>
      <w:rFonts w:ascii="宋体" w:hAnsi="Courier New" w:eastAsia="宋体" w:cs="Times New Roman"/>
      <w:kern w:val="0"/>
      <w:szCs w:val="20"/>
    </w:rPr>
  </w:style>
  <w:style w:type="character" w:customStyle="1" w:styleId="125">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26">
    <w:name w:val="font41"/>
    <w:basedOn w:val="42"/>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2"/>
    <w:autoRedefine/>
    <w:qFormat/>
    <w:uiPriority w:val="0"/>
    <w:rPr>
      <w:rFonts w:hint="eastAsia" w:ascii="宋体" w:hAnsi="宋体" w:eastAsia="宋体"/>
      <w:b/>
      <w:color w:val="000000"/>
      <w:kern w:val="2"/>
      <w:sz w:val="18"/>
      <w:u w:val="none"/>
    </w:rPr>
  </w:style>
  <w:style w:type="paragraph" w:customStyle="1" w:styleId="130">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2"/>
    <w:link w:val="33"/>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2"/>
    <w:qFormat/>
    <w:uiPriority w:val="0"/>
  </w:style>
  <w:style w:type="character" w:customStyle="1" w:styleId="142">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45</Pages>
  <Words>1579</Words>
  <Characters>1719</Characters>
  <Lines>29</Lines>
  <Paragraphs>8</Paragraphs>
  <TotalTime>6</TotalTime>
  <ScaleCrop>false</ScaleCrop>
  <LinksUpToDate>false</LinksUpToDate>
  <CharactersWithSpaces>1830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2026-01-19T07:58:42Z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7DD6CFAAB6BE4D6894105F9475D4CBD1_13</vt:lpwstr>
  </property>
  <property fmtid="{D5CDD505-2E9C-101B-9397-08002B2CF9AE}" pid="4" name="KSOTemplateDocerSaveRecord">
    <vt:lpwstr>eyJoZGlkIjoiNDFjNjc4MzM2NGNhOTY1ZjQ2ZmNmMWE4MmVlYzQxYjkiLCJ1c2VySWQiOiIzMDI1ODcyMjYifQ==</vt:lpwstr>
  </property>
</Properties>
</file>