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A8D0B">
      <w:pPr>
        <w:pStyle w:val="14"/>
        <w:ind w:left="0" w:leftChars="0" w:firstLine="0" w:firstLineChars="0"/>
      </w:pPr>
    </w:p>
    <w:p w14:paraId="71EAB638">
      <w:pPr>
        <w:spacing w:line="360" w:lineRule="auto"/>
        <w:ind w:firstLine="522" w:firstLineChars="100"/>
        <w:jc w:val="center"/>
        <w:rPr>
          <w:rFonts w:hint="default" w:ascii="宋体" w:hAnsi="宋体" w:eastAsia="宋体" w:cs="宋体"/>
          <w:b/>
          <w:color w:val="auto"/>
          <w:sz w:val="52"/>
          <w:szCs w:val="52"/>
          <w:highlight w:val="none"/>
          <w:lang w:val="en-US" w:eastAsia="zh-CN"/>
        </w:rPr>
      </w:pPr>
      <w:r>
        <w:rPr>
          <w:rFonts w:hint="eastAsia" w:ascii="宋体" w:hAnsi="宋体" w:cs="宋体"/>
          <w:b/>
          <w:color w:val="auto"/>
          <w:sz w:val="52"/>
          <w:szCs w:val="52"/>
          <w:highlight w:val="none"/>
          <w:lang w:val="en-US" w:eastAsia="zh-CN"/>
        </w:rPr>
        <w:t>桐城师范高等专科学校门禁系统维保服务采购项目</w:t>
      </w:r>
    </w:p>
    <w:p w14:paraId="012F5E32">
      <w:pPr>
        <w:pStyle w:val="50"/>
        <w:rPr>
          <w:rFonts w:hint="eastAsia"/>
          <w:color w:val="auto"/>
          <w:highlight w:val="none"/>
        </w:rPr>
      </w:pPr>
    </w:p>
    <w:p w14:paraId="16BD5BFA">
      <w:pPr>
        <w:spacing w:line="480" w:lineRule="exact"/>
        <w:rPr>
          <w:rFonts w:ascii="宋体"/>
          <w:color w:val="auto"/>
          <w:sz w:val="44"/>
          <w:szCs w:val="44"/>
          <w:highlight w:val="none"/>
        </w:rPr>
      </w:pPr>
    </w:p>
    <w:p w14:paraId="2E845CB9">
      <w:pPr>
        <w:pStyle w:val="50"/>
        <w:jc w:val="center"/>
        <w:rPr>
          <w:rFonts w:hint="default" w:eastAsia="宋体"/>
          <w:b/>
          <w:bCs/>
          <w:color w:val="auto"/>
          <w:sz w:val="72"/>
          <w:szCs w:val="72"/>
          <w:highlight w:val="none"/>
          <w:lang w:val="en-US" w:eastAsia="zh-CN"/>
        </w:rPr>
      </w:pPr>
      <w:r>
        <w:rPr>
          <w:rFonts w:hint="eastAsia" w:ascii="宋体"/>
          <w:b/>
          <w:bCs/>
          <w:color w:val="auto"/>
          <w:sz w:val="72"/>
          <w:szCs w:val="72"/>
          <w:highlight w:val="none"/>
          <w:lang w:val="en-US" w:eastAsia="zh-CN"/>
        </w:rPr>
        <w:t>竞争性磋商文件</w:t>
      </w:r>
    </w:p>
    <w:p w14:paraId="0A0C4D98">
      <w:pPr>
        <w:spacing w:line="480" w:lineRule="exact"/>
        <w:rPr>
          <w:rFonts w:ascii="仿宋_GB2312" w:hAnsi="宋体" w:eastAsia="仿宋_GB2312"/>
          <w:b/>
          <w:color w:val="auto"/>
          <w:sz w:val="44"/>
          <w:szCs w:val="44"/>
          <w:highlight w:val="none"/>
        </w:rPr>
      </w:pPr>
    </w:p>
    <w:p w14:paraId="573E3840">
      <w:pPr>
        <w:spacing w:line="480" w:lineRule="exact"/>
        <w:rPr>
          <w:rFonts w:ascii="宋体"/>
          <w:color w:val="auto"/>
          <w:sz w:val="144"/>
          <w:szCs w:val="144"/>
          <w:highlight w:val="none"/>
        </w:rPr>
      </w:pPr>
    </w:p>
    <w:p w14:paraId="3412A2E2">
      <w:pPr>
        <w:spacing w:line="480" w:lineRule="exact"/>
        <w:jc w:val="center"/>
        <w:rPr>
          <w:rFonts w:hint="eastAsia" w:ascii="宋体" w:hAnsi="宋体" w:cs="宋体"/>
          <w:b/>
          <w:bCs/>
          <w:color w:val="auto"/>
          <w:sz w:val="28"/>
          <w:szCs w:val="28"/>
          <w:highlight w:val="none"/>
        </w:rPr>
      </w:pPr>
    </w:p>
    <w:p w14:paraId="3A64AE3D">
      <w:pPr>
        <w:spacing w:line="480" w:lineRule="exact"/>
        <w:jc w:val="center"/>
        <w:rPr>
          <w:rFonts w:hint="default"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rPr>
        <w:t>项目编号：TCSZCG(202</w:t>
      </w:r>
      <w:r>
        <w:rPr>
          <w:rFonts w:hint="eastAsia" w:ascii="宋体" w:hAnsi="宋体" w:cs="宋体"/>
          <w:b/>
          <w:bCs/>
          <w:color w:val="auto"/>
          <w:sz w:val="28"/>
          <w:szCs w:val="28"/>
          <w:highlight w:val="none"/>
          <w:lang w:val="en-US" w:eastAsia="zh-CN"/>
        </w:rPr>
        <w:t>6</w:t>
      </w:r>
      <w:r>
        <w:rPr>
          <w:rFonts w:hint="eastAsia" w:ascii="宋体" w:hAnsi="宋体" w:cs="宋体"/>
          <w:b/>
          <w:bCs/>
          <w:color w:val="auto"/>
          <w:sz w:val="28"/>
          <w:szCs w:val="28"/>
          <w:highlight w:val="none"/>
        </w:rPr>
        <w:t xml:space="preserve">) </w:t>
      </w:r>
      <w:r>
        <w:rPr>
          <w:rFonts w:hint="eastAsia" w:ascii="宋体" w:hAnsi="宋体" w:cs="宋体"/>
          <w:b/>
          <w:bCs/>
          <w:color w:val="auto"/>
          <w:sz w:val="28"/>
          <w:szCs w:val="28"/>
          <w:highlight w:val="none"/>
          <w:lang w:val="en-US" w:eastAsia="zh-CN"/>
        </w:rPr>
        <w:t>009</w:t>
      </w:r>
      <w:r>
        <w:rPr>
          <w:rFonts w:hint="eastAsia" w:ascii="宋体" w:hAnsi="宋体" w:cs="宋体"/>
          <w:b/>
          <w:bCs/>
          <w:color w:val="auto"/>
          <w:sz w:val="28"/>
          <w:szCs w:val="28"/>
          <w:highlight w:val="none"/>
        </w:rPr>
        <w:t>号</w:t>
      </w:r>
    </w:p>
    <w:p w14:paraId="60801A24">
      <w:pPr>
        <w:spacing w:line="480" w:lineRule="exact"/>
        <w:jc w:val="center"/>
        <w:rPr>
          <w:rFonts w:ascii="宋体" w:hAnsi="宋体" w:cs="仿宋_GB2312"/>
          <w:b/>
          <w:bCs/>
          <w:color w:val="auto"/>
          <w:sz w:val="28"/>
          <w:szCs w:val="28"/>
          <w:highlight w:val="none"/>
        </w:rPr>
      </w:pPr>
    </w:p>
    <w:p w14:paraId="2B5EF3EB">
      <w:pPr>
        <w:spacing w:line="480" w:lineRule="exact"/>
        <w:rPr>
          <w:rFonts w:ascii="宋体" w:hAnsi="宋体" w:cs="仿宋_GB2312"/>
          <w:color w:val="auto"/>
          <w:szCs w:val="21"/>
          <w:highlight w:val="none"/>
        </w:rPr>
      </w:pPr>
    </w:p>
    <w:p w14:paraId="3A46A1F9">
      <w:pPr>
        <w:spacing w:line="480" w:lineRule="exact"/>
        <w:rPr>
          <w:rFonts w:ascii="宋体" w:hAnsi="宋体" w:cs="仿宋_GB2312"/>
          <w:color w:val="auto"/>
          <w:szCs w:val="21"/>
          <w:highlight w:val="none"/>
        </w:rPr>
      </w:pPr>
    </w:p>
    <w:p w14:paraId="088D46C3">
      <w:pPr>
        <w:spacing w:line="480" w:lineRule="exact"/>
        <w:rPr>
          <w:rFonts w:ascii="宋体" w:hAnsi="宋体" w:cs="仿宋_GB2312"/>
          <w:color w:val="auto"/>
          <w:szCs w:val="21"/>
          <w:highlight w:val="none"/>
        </w:rPr>
      </w:pPr>
    </w:p>
    <w:p w14:paraId="565F3C01">
      <w:pPr>
        <w:spacing w:line="360" w:lineRule="auto"/>
        <w:ind w:firstLine="596" w:firstLineChars="198"/>
        <w:rPr>
          <w:rFonts w:ascii="宋体" w:hAnsi="宋体" w:cs="仿宋_GB2312"/>
          <w:b/>
          <w:color w:val="auto"/>
          <w:szCs w:val="21"/>
          <w:highlight w:val="none"/>
        </w:rPr>
      </w:pPr>
      <w:r>
        <w:rPr>
          <w:rFonts w:hint="eastAsia" w:ascii="宋体" w:hAnsi="宋体" w:cs="仿宋_GB2312"/>
          <w:b/>
          <w:color w:val="auto"/>
          <w:sz w:val="30"/>
          <w:szCs w:val="30"/>
          <w:highlight w:val="none"/>
        </w:rPr>
        <w:t>采</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购</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人：</w:t>
      </w:r>
      <w:r>
        <w:rPr>
          <w:rFonts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val="en-US" w:eastAsia="zh-CN"/>
        </w:rPr>
        <w:t xml:space="preserve"> </w:t>
      </w:r>
      <w:r>
        <w:rPr>
          <w:rFonts w:hint="eastAsia" w:ascii="仿宋" w:hAnsi="仿宋" w:eastAsia="仿宋"/>
          <w:b/>
          <w:color w:val="auto"/>
          <w:spacing w:val="20"/>
          <w:sz w:val="30"/>
          <w:szCs w:val="30"/>
          <w:highlight w:val="none"/>
          <w:u w:val="single"/>
          <w:lang w:val="en-US" w:eastAsia="zh-CN"/>
        </w:rPr>
        <w:t>桐城师范高等专科学校</w:t>
      </w:r>
      <w:r>
        <w:rPr>
          <w:rFonts w:hint="eastAsia" w:ascii="仿宋" w:hAnsi="仿宋" w:eastAsia="仿宋"/>
          <w:b/>
          <w:color w:val="auto"/>
          <w:spacing w:val="20"/>
          <w:sz w:val="30"/>
          <w:szCs w:val="30"/>
          <w:highlight w:val="none"/>
          <w:u w:val="single"/>
        </w:rPr>
        <w:t xml:space="preserve"> </w:t>
      </w:r>
      <w:r>
        <w:rPr>
          <w:rFonts w:ascii="宋体" w:hAnsi="宋体" w:cs="仿宋_GB2312"/>
          <w:b/>
          <w:color w:val="auto"/>
          <w:spacing w:val="20"/>
          <w:sz w:val="30"/>
          <w:szCs w:val="30"/>
          <w:highlight w:val="none"/>
          <w:u w:val="single"/>
        </w:rPr>
        <w:t xml:space="preserve"> </w:t>
      </w:r>
      <w:r>
        <w:rPr>
          <w:rFonts w:hint="eastAsia" w:ascii="宋体" w:hAnsi="宋体" w:cs="仿宋_GB2312"/>
          <w:b/>
          <w:color w:val="auto"/>
          <w:spacing w:val="20"/>
          <w:sz w:val="30"/>
          <w:szCs w:val="30"/>
          <w:highlight w:val="none"/>
          <w:u w:val="single"/>
          <w:lang w:val="en-US" w:eastAsia="zh-CN"/>
        </w:rPr>
        <w:t xml:space="preserve"> </w:t>
      </w:r>
      <w:r>
        <w:rPr>
          <w:rFonts w:ascii="宋体" w:hAnsi="宋体" w:cs="仿宋_GB2312"/>
          <w:b/>
          <w:color w:val="auto"/>
          <w:spacing w:val="20"/>
          <w:sz w:val="30"/>
          <w:szCs w:val="30"/>
          <w:highlight w:val="none"/>
          <w:u w:val="single"/>
        </w:rPr>
        <w:t xml:space="preserve">  </w:t>
      </w:r>
    </w:p>
    <w:p w14:paraId="136F318C">
      <w:pPr>
        <w:spacing w:line="360" w:lineRule="auto"/>
        <w:rPr>
          <w:rFonts w:ascii="宋体" w:hAnsi="宋体" w:cs="仿宋_GB2312"/>
          <w:b/>
          <w:color w:val="auto"/>
          <w:sz w:val="24"/>
          <w:highlight w:val="none"/>
        </w:rPr>
      </w:pPr>
    </w:p>
    <w:p w14:paraId="2CB90923">
      <w:pPr>
        <w:spacing w:line="360" w:lineRule="auto"/>
        <w:rPr>
          <w:rFonts w:hint="eastAsia" w:ascii="仿宋" w:hAnsi="仿宋" w:eastAsia="仿宋" w:cs="仿宋"/>
          <w:b/>
          <w:color w:val="auto"/>
          <w:sz w:val="24"/>
          <w:highlight w:val="none"/>
        </w:rPr>
      </w:pPr>
    </w:p>
    <w:p w14:paraId="7CADB34F">
      <w:pPr>
        <w:spacing w:line="360" w:lineRule="auto"/>
        <w:ind w:firstLine="596" w:firstLineChars="198"/>
        <w:rPr>
          <w:rFonts w:hint="eastAsia" w:ascii="仿宋" w:hAnsi="仿宋" w:eastAsia="仿宋" w:cs="仿宋"/>
          <w:b/>
          <w:color w:val="auto"/>
          <w:szCs w:val="21"/>
          <w:highlight w:val="none"/>
        </w:rPr>
      </w:pPr>
      <w:r>
        <w:rPr>
          <w:rFonts w:hint="eastAsia" w:ascii="仿宋" w:hAnsi="仿宋" w:eastAsia="仿宋" w:cs="仿宋"/>
          <w:b/>
          <w:color w:val="auto"/>
          <w:sz w:val="30"/>
          <w:szCs w:val="30"/>
          <w:highlight w:val="none"/>
        </w:rPr>
        <w:t>采购</w:t>
      </w:r>
      <w:r>
        <w:rPr>
          <w:rFonts w:hint="eastAsia" w:ascii="仿宋" w:hAnsi="仿宋" w:eastAsia="仿宋" w:cs="仿宋"/>
          <w:b/>
          <w:color w:val="auto"/>
          <w:sz w:val="30"/>
          <w:szCs w:val="30"/>
          <w:highlight w:val="none"/>
          <w:lang w:val="en-US" w:eastAsia="zh-CN"/>
        </w:rPr>
        <w:t>代理</w:t>
      </w:r>
      <w:r>
        <w:rPr>
          <w:rFonts w:hint="eastAsia" w:ascii="仿宋" w:hAnsi="仿宋" w:eastAsia="仿宋" w:cs="仿宋"/>
          <w:b/>
          <w:color w:val="auto"/>
          <w:sz w:val="30"/>
          <w:szCs w:val="30"/>
          <w:highlight w:val="none"/>
        </w:rPr>
        <w:t>机构：</w:t>
      </w:r>
      <w:r>
        <w:rPr>
          <w:rFonts w:hint="eastAsia" w:ascii="仿宋" w:hAnsi="仿宋" w:eastAsia="仿宋" w:cs="仿宋"/>
          <w:b/>
          <w:color w:val="auto"/>
          <w:sz w:val="30"/>
          <w:szCs w:val="30"/>
          <w:highlight w:val="none"/>
          <w:u w:val="single"/>
        </w:rPr>
        <w:t xml:space="preserve">   </w:t>
      </w:r>
      <w:r>
        <w:rPr>
          <w:rFonts w:hint="eastAsia" w:ascii="仿宋" w:hAnsi="仿宋" w:eastAsia="仿宋" w:cs="仿宋"/>
          <w:b/>
          <w:color w:val="auto"/>
          <w:sz w:val="30"/>
          <w:szCs w:val="30"/>
          <w:highlight w:val="none"/>
          <w:u w:val="single"/>
          <w:lang w:val="en-US" w:eastAsia="zh-CN"/>
        </w:rPr>
        <w:t xml:space="preserve"> 安徽文都招标代理咨询有限公司   </w:t>
      </w:r>
    </w:p>
    <w:p w14:paraId="22CD2A1D">
      <w:pPr>
        <w:spacing w:line="360" w:lineRule="auto"/>
        <w:rPr>
          <w:rFonts w:ascii="宋体" w:hAnsi="宋体" w:cs="仿宋_GB2312"/>
          <w:b/>
          <w:color w:val="auto"/>
          <w:sz w:val="24"/>
          <w:highlight w:val="none"/>
          <w:u w:val="single"/>
        </w:rPr>
      </w:pPr>
    </w:p>
    <w:p w14:paraId="3F06ABF7">
      <w:pPr>
        <w:spacing w:line="360" w:lineRule="auto"/>
        <w:rPr>
          <w:rFonts w:ascii="宋体" w:hAnsi="宋体" w:cs="仿宋_GB2312"/>
          <w:color w:val="auto"/>
          <w:sz w:val="24"/>
          <w:highlight w:val="none"/>
        </w:rPr>
      </w:pPr>
    </w:p>
    <w:p w14:paraId="4B044ED0">
      <w:pPr>
        <w:spacing w:line="360" w:lineRule="auto"/>
        <w:rPr>
          <w:rFonts w:ascii="宋体" w:hAnsi="宋体" w:cs="仿宋_GB2312"/>
          <w:b/>
          <w:color w:val="auto"/>
          <w:sz w:val="24"/>
          <w:highlight w:val="none"/>
          <w:u w:val="single"/>
        </w:rPr>
      </w:pPr>
    </w:p>
    <w:p w14:paraId="397A0260">
      <w:pPr>
        <w:spacing w:line="480" w:lineRule="exact"/>
        <w:rPr>
          <w:rFonts w:ascii="宋体" w:hAnsi="宋体" w:cs="仿宋_GB2312"/>
          <w:color w:val="auto"/>
          <w:szCs w:val="21"/>
          <w:highlight w:val="none"/>
        </w:rPr>
      </w:pPr>
    </w:p>
    <w:p w14:paraId="395EFA32">
      <w:pPr>
        <w:spacing w:line="480" w:lineRule="exact"/>
        <w:rPr>
          <w:rFonts w:ascii="宋体" w:hAnsi="宋体" w:cs="仿宋_GB2312"/>
          <w:color w:val="auto"/>
          <w:szCs w:val="21"/>
          <w:highlight w:val="none"/>
        </w:rPr>
      </w:pPr>
    </w:p>
    <w:p w14:paraId="42D3256F">
      <w:pPr>
        <w:spacing w:line="480" w:lineRule="exact"/>
        <w:jc w:val="center"/>
        <w:rPr>
          <w:rFonts w:hint="eastAsia" w:ascii="黑体" w:hAnsi="黑体" w:eastAsia="黑体" w:cs="宋体"/>
          <w:b/>
          <w:color w:val="auto"/>
          <w:kern w:val="0"/>
          <w:sz w:val="32"/>
          <w:szCs w:val="32"/>
          <w:highlight w:val="none"/>
        </w:rPr>
      </w:pPr>
      <w:r>
        <w:rPr>
          <w:rFonts w:hint="eastAsia" w:ascii="宋体" w:hAnsi="宋体" w:cs="仿宋_GB2312"/>
          <w:color w:val="auto"/>
          <w:sz w:val="32"/>
          <w:szCs w:val="32"/>
          <w:highlight w:val="none"/>
        </w:rPr>
        <w:t>日期：</w:t>
      </w:r>
      <w:r>
        <w:rPr>
          <w:rFonts w:hint="eastAsia" w:ascii="宋体" w:hAnsi="宋体" w:cs="仿宋_GB2312"/>
          <w:color w:val="auto"/>
          <w:sz w:val="32"/>
          <w:szCs w:val="32"/>
          <w:highlight w:val="none"/>
          <w:lang w:val="en-US" w:eastAsia="zh-CN"/>
        </w:rPr>
        <w:t xml:space="preserve"> 2026  </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 xml:space="preserve">  7 </w:t>
      </w:r>
      <w:r>
        <w:rPr>
          <w:rFonts w:hint="eastAsia" w:ascii="宋体" w:hAnsi="宋体" w:cs="仿宋_GB2312"/>
          <w:color w:val="auto"/>
          <w:sz w:val="32"/>
          <w:szCs w:val="32"/>
          <w:highlight w:val="none"/>
        </w:rPr>
        <w:t>月</w:t>
      </w:r>
    </w:p>
    <w:p w14:paraId="0C2CB5D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黑体" w:eastAsia="黑体" w:cs="宋体"/>
          <w:b/>
          <w:color w:val="auto"/>
          <w:kern w:val="0"/>
          <w:sz w:val="32"/>
          <w:szCs w:val="32"/>
          <w:highlight w:val="none"/>
        </w:rPr>
        <w:sectPr>
          <w:headerReference r:id="rId5" w:type="default"/>
          <w:footerReference r:id="rId6"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p>
    <w:p w14:paraId="0910BEB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黑体" w:eastAsia="黑体" w:cs="宋体"/>
          <w:b/>
          <w:color w:val="auto"/>
          <w:kern w:val="0"/>
          <w:sz w:val="32"/>
          <w:szCs w:val="32"/>
          <w:highlight w:val="none"/>
        </w:rPr>
      </w:pPr>
      <w:r>
        <w:rPr>
          <w:rFonts w:hint="eastAsia" w:ascii="黑体" w:hAnsi="黑体" w:eastAsia="黑体" w:cs="宋体"/>
          <w:b/>
          <w:color w:val="auto"/>
          <w:kern w:val="0"/>
          <w:sz w:val="32"/>
          <w:szCs w:val="32"/>
          <w:highlight w:val="none"/>
        </w:rPr>
        <w:t>重  要  提  醒</w:t>
      </w:r>
    </w:p>
    <w:p w14:paraId="0CD0EF50">
      <w:pPr>
        <w:pStyle w:val="2"/>
      </w:pPr>
    </w:p>
    <w:p w14:paraId="410A2A1B">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一、请各市场主体依法参与公共资源交易活动，如存在以下情形的，公共资源交易监管部门将其作为扫黑除恶专项斗争的打击重点予以处理。</w:t>
      </w:r>
    </w:p>
    <w:p w14:paraId="51761965">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1.组织、领导、实施恶意竞标、围标、串标、虚假</w:t>
      </w:r>
      <w:r>
        <w:rPr>
          <w:rFonts w:hint="eastAsia" w:ascii="宋体" w:hAnsi="宋体" w:cs="宋体"/>
          <w:b/>
          <w:color w:val="auto"/>
          <w:kern w:val="0"/>
          <w:sz w:val="24"/>
          <w:highlight w:val="none"/>
          <w:lang w:val="en-US" w:eastAsia="zh-CN"/>
        </w:rPr>
        <w:t>应标</w:t>
      </w:r>
      <w:r>
        <w:rPr>
          <w:rFonts w:hint="eastAsia" w:ascii="宋体" w:hAnsi="宋体" w:cs="宋体"/>
          <w:b/>
          <w:color w:val="auto"/>
          <w:kern w:val="0"/>
          <w:sz w:val="24"/>
          <w:highlight w:val="none"/>
        </w:rPr>
        <w:t xml:space="preserve">、挂靠、出让资质等违法活动。 </w:t>
      </w:r>
    </w:p>
    <w:p w14:paraId="1A19696E">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2.以暴力、威胁、利诱等手段强迫他人参与或者退出</w:t>
      </w:r>
      <w:r>
        <w:rPr>
          <w:rFonts w:hint="eastAsia" w:ascii="宋体" w:hAnsi="宋体" w:cs="宋体"/>
          <w:b/>
          <w:color w:val="auto"/>
          <w:kern w:val="0"/>
          <w:sz w:val="24"/>
          <w:highlight w:val="none"/>
          <w:lang w:val="en-US" w:eastAsia="zh-CN"/>
        </w:rPr>
        <w:t>磋商</w:t>
      </w:r>
      <w:r>
        <w:rPr>
          <w:rFonts w:hint="eastAsia" w:ascii="宋体" w:hAnsi="宋体" w:cs="宋体"/>
          <w:b/>
          <w:color w:val="auto"/>
          <w:kern w:val="0"/>
          <w:sz w:val="24"/>
          <w:highlight w:val="none"/>
        </w:rPr>
        <w:t>、拍卖以及强迫他人</w:t>
      </w:r>
      <w:r>
        <w:rPr>
          <w:rFonts w:hint="eastAsia" w:ascii="宋体" w:hAnsi="宋体" w:cs="宋体"/>
          <w:b/>
          <w:color w:val="auto"/>
          <w:kern w:val="0"/>
          <w:sz w:val="24"/>
          <w:highlight w:val="none"/>
          <w:lang w:val="en-US" w:eastAsia="zh-CN"/>
        </w:rPr>
        <w:t>成交</w:t>
      </w:r>
      <w:r>
        <w:rPr>
          <w:rFonts w:hint="eastAsia" w:ascii="宋体" w:hAnsi="宋体" w:cs="宋体"/>
          <w:b/>
          <w:color w:val="auto"/>
          <w:kern w:val="0"/>
          <w:sz w:val="24"/>
          <w:highlight w:val="none"/>
        </w:rPr>
        <w:t>后放弃</w:t>
      </w:r>
      <w:r>
        <w:rPr>
          <w:rFonts w:hint="eastAsia" w:ascii="宋体" w:hAnsi="宋体" w:cs="宋体"/>
          <w:b/>
          <w:color w:val="auto"/>
          <w:kern w:val="0"/>
          <w:sz w:val="24"/>
          <w:highlight w:val="none"/>
          <w:lang w:val="en-US" w:eastAsia="zh-CN"/>
        </w:rPr>
        <w:t>成交</w:t>
      </w:r>
      <w:r>
        <w:rPr>
          <w:rFonts w:hint="eastAsia" w:ascii="宋体" w:hAnsi="宋体" w:cs="宋体"/>
          <w:b/>
          <w:color w:val="auto"/>
          <w:kern w:val="0"/>
          <w:sz w:val="24"/>
          <w:highlight w:val="none"/>
        </w:rPr>
        <w:t xml:space="preserve">或转包的黑恶势力。 </w:t>
      </w:r>
    </w:p>
    <w:p w14:paraId="57A93016">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 xml:space="preserve">3.聚众围堵开、评标现场，干扰正常开评标秩序的行为。 </w:t>
      </w:r>
    </w:p>
    <w:p w14:paraId="7DDA995F">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4.在</w:t>
      </w:r>
      <w:r>
        <w:rPr>
          <w:rFonts w:hint="eastAsia" w:ascii="宋体" w:hAnsi="宋体" w:cs="宋体"/>
          <w:b/>
          <w:color w:val="auto"/>
          <w:kern w:val="0"/>
          <w:sz w:val="24"/>
          <w:highlight w:val="none"/>
          <w:lang w:val="en-US" w:eastAsia="zh-CN"/>
        </w:rPr>
        <w:t>采购活动</w:t>
      </w:r>
      <w:r>
        <w:rPr>
          <w:rFonts w:hint="eastAsia" w:ascii="宋体" w:hAnsi="宋体" w:cs="宋体"/>
          <w:b/>
          <w:color w:val="auto"/>
          <w:kern w:val="0"/>
          <w:sz w:val="24"/>
          <w:highlight w:val="none"/>
        </w:rPr>
        <w:t xml:space="preserve">过程中寻衅滋事、恶意投诉，或以投诉、信访、举报相威胁获取不正当利益的行为。 </w:t>
      </w:r>
    </w:p>
    <w:p w14:paraId="1652A241">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5.伪造资质证书、证件、提供虚假材料进行</w:t>
      </w:r>
      <w:r>
        <w:rPr>
          <w:rFonts w:hint="eastAsia" w:ascii="宋体" w:hAnsi="宋体" w:cs="宋体"/>
          <w:b/>
          <w:color w:val="auto"/>
          <w:kern w:val="0"/>
          <w:sz w:val="24"/>
          <w:highlight w:val="none"/>
          <w:lang w:val="en-US" w:eastAsia="zh-CN"/>
        </w:rPr>
        <w:t>磋商</w:t>
      </w:r>
      <w:r>
        <w:rPr>
          <w:rFonts w:hint="eastAsia" w:ascii="宋体" w:hAnsi="宋体" w:cs="宋体"/>
          <w:b/>
          <w:color w:val="auto"/>
          <w:kern w:val="0"/>
          <w:sz w:val="24"/>
          <w:highlight w:val="none"/>
        </w:rPr>
        <w:t xml:space="preserve">，谋取不正当利益的违法行为。 </w:t>
      </w:r>
    </w:p>
    <w:p w14:paraId="74EAD17B">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6.采取贿赂、暴力、欺骗、威胁等手段干扰破坏招投标监管、服务人员以及</w:t>
      </w:r>
      <w:r>
        <w:rPr>
          <w:rFonts w:hint="eastAsia" w:ascii="宋体" w:hAnsi="宋体" w:cs="宋体"/>
          <w:b/>
          <w:color w:val="auto"/>
          <w:kern w:val="0"/>
          <w:sz w:val="24"/>
          <w:highlight w:val="none"/>
          <w:lang w:val="en-US" w:eastAsia="zh-CN"/>
        </w:rPr>
        <w:t>磋商小组</w:t>
      </w:r>
      <w:r>
        <w:rPr>
          <w:rFonts w:hint="eastAsia" w:ascii="宋体" w:hAnsi="宋体" w:cs="宋体"/>
          <w:b/>
          <w:color w:val="auto"/>
          <w:kern w:val="0"/>
          <w:sz w:val="24"/>
          <w:highlight w:val="none"/>
        </w:rPr>
        <w:t xml:space="preserve">正常工作的黑恶势力。 </w:t>
      </w:r>
    </w:p>
    <w:p w14:paraId="39B9AAB1">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7.采取言语威胁、</w:t>
      </w:r>
      <w:r>
        <w:rPr>
          <w:rFonts w:hint="eastAsia" w:ascii="宋体" w:hAnsi="宋体" w:cs="宋体"/>
          <w:b/>
          <w:color w:val="auto"/>
          <w:kern w:val="0"/>
          <w:sz w:val="24"/>
          <w:highlight w:val="none"/>
          <w:lang w:eastAsia="zh-CN"/>
        </w:rPr>
        <w:t>磋商</w:t>
      </w:r>
      <w:r>
        <w:rPr>
          <w:rFonts w:hint="eastAsia" w:ascii="宋体" w:hAnsi="宋体" w:cs="宋体"/>
          <w:b/>
          <w:color w:val="auto"/>
          <w:kern w:val="0"/>
          <w:sz w:val="24"/>
          <w:highlight w:val="none"/>
        </w:rPr>
        <w:t>协商、跟踪盯梢、散播隐私、造谣诽谤、持续骚扰等软暴力手段恐吓监管服务人员、</w:t>
      </w:r>
      <w:r>
        <w:rPr>
          <w:rFonts w:hint="eastAsia" w:ascii="宋体" w:hAnsi="宋体" w:cs="宋体"/>
          <w:b/>
          <w:color w:val="auto"/>
          <w:kern w:val="0"/>
          <w:sz w:val="24"/>
          <w:highlight w:val="none"/>
          <w:lang w:val="en-US" w:eastAsia="zh-CN"/>
        </w:rPr>
        <w:t>磋商小组</w:t>
      </w:r>
      <w:r>
        <w:rPr>
          <w:rFonts w:hint="eastAsia" w:ascii="宋体" w:hAnsi="宋体" w:cs="宋体"/>
          <w:b/>
          <w:color w:val="auto"/>
          <w:kern w:val="0"/>
          <w:sz w:val="24"/>
          <w:highlight w:val="none"/>
        </w:rPr>
        <w:t xml:space="preserve">及其家属的违法犯罪行为。 </w:t>
      </w:r>
    </w:p>
    <w:p w14:paraId="3E47C022">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8.利诱、欺骗采购人违反相关规定按其意图设置</w:t>
      </w:r>
      <w:r>
        <w:rPr>
          <w:rFonts w:hint="eastAsia" w:ascii="宋体" w:hAnsi="宋体" w:cs="宋体"/>
          <w:b/>
          <w:color w:val="auto"/>
          <w:kern w:val="0"/>
          <w:sz w:val="24"/>
          <w:highlight w:val="none"/>
          <w:lang w:eastAsia="zh-CN"/>
        </w:rPr>
        <w:t>磋商 文件</w:t>
      </w:r>
      <w:r>
        <w:rPr>
          <w:rFonts w:hint="eastAsia" w:ascii="宋体" w:hAnsi="宋体" w:cs="宋体"/>
          <w:b/>
          <w:color w:val="auto"/>
          <w:kern w:val="0"/>
          <w:sz w:val="24"/>
          <w:highlight w:val="none"/>
        </w:rPr>
        <w:t xml:space="preserve">条款的违法违规行为。 </w:t>
      </w:r>
    </w:p>
    <w:p w14:paraId="089F8350">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9.窃取项目</w:t>
      </w:r>
      <w:r>
        <w:rPr>
          <w:rFonts w:hint="eastAsia" w:ascii="宋体" w:hAnsi="宋体" w:cs="宋体"/>
          <w:b/>
          <w:color w:val="auto"/>
          <w:kern w:val="0"/>
          <w:sz w:val="24"/>
          <w:highlight w:val="none"/>
          <w:lang w:eastAsia="zh-CN"/>
        </w:rPr>
        <w:t>响应人</w:t>
      </w:r>
      <w:r>
        <w:rPr>
          <w:rFonts w:hint="eastAsia" w:ascii="宋体" w:hAnsi="宋体" w:cs="宋体"/>
          <w:b/>
          <w:color w:val="auto"/>
          <w:kern w:val="0"/>
          <w:sz w:val="24"/>
          <w:highlight w:val="none"/>
        </w:rPr>
        <w:t>报名情况、</w:t>
      </w:r>
      <w:r>
        <w:rPr>
          <w:rFonts w:hint="eastAsia" w:ascii="宋体" w:hAnsi="宋体" w:cs="宋体"/>
          <w:b/>
          <w:color w:val="auto"/>
          <w:kern w:val="0"/>
          <w:sz w:val="24"/>
          <w:highlight w:val="none"/>
          <w:lang w:val="en-US" w:eastAsia="zh-CN"/>
        </w:rPr>
        <w:t>磋商小组成员</w:t>
      </w:r>
      <w:r>
        <w:rPr>
          <w:rFonts w:hint="eastAsia" w:ascii="宋体" w:hAnsi="宋体" w:cs="宋体"/>
          <w:b/>
          <w:color w:val="auto"/>
          <w:kern w:val="0"/>
          <w:sz w:val="24"/>
          <w:highlight w:val="none"/>
        </w:rPr>
        <w:t xml:space="preserve">等保密信息。 </w:t>
      </w:r>
    </w:p>
    <w:p w14:paraId="792F2A69">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10.领导干部违反规定插手干预项目</w:t>
      </w:r>
      <w:r>
        <w:rPr>
          <w:rFonts w:hint="eastAsia" w:ascii="宋体" w:hAnsi="宋体" w:cs="宋体"/>
          <w:b/>
          <w:color w:val="auto"/>
          <w:kern w:val="0"/>
          <w:sz w:val="24"/>
          <w:highlight w:val="none"/>
          <w:lang w:val="en-US" w:eastAsia="zh-CN"/>
        </w:rPr>
        <w:t xml:space="preserve">磋商 </w:t>
      </w:r>
      <w:r>
        <w:rPr>
          <w:rFonts w:hint="eastAsia" w:ascii="宋体" w:hAnsi="宋体" w:cs="宋体"/>
          <w:b/>
          <w:color w:val="auto"/>
          <w:kern w:val="0"/>
          <w:sz w:val="24"/>
          <w:highlight w:val="none"/>
        </w:rPr>
        <w:t xml:space="preserve">活动。 </w:t>
      </w:r>
    </w:p>
    <w:p w14:paraId="286F0EC0">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11.干部职工在</w:t>
      </w:r>
      <w:r>
        <w:rPr>
          <w:rFonts w:hint="eastAsia" w:ascii="宋体" w:hAnsi="宋体" w:cs="宋体"/>
          <w:b/>
          <w:color w:val="auto"/>
          <w:kern w:val="0"/>
          <w:sz w:val="24"/>
          <w:highlight w:val="none"/>
          <w:lang w:val="en-US" w:eastAsia="zh-CN"/>
        </w:rPr>
        <w:t>磋商</w:t>
      </w:r>
      <w:r>
        <w:rPr>
          <w:rFonts w:hint="eastAsia" w:ascii="宋体" w:hAnsi="宋体" w:cs="宋体"/>
          <w:b/>
          <w:color w:val="auto"/>
          <w:kern w:val="0"/>
          <w:sz w:val="24"/>
          <w:highlight w:val="none"/>
        </w:rPr>
        <w:t>活动中与黑恶势力勾结，充当保护伞。</w:t>
      </w:r>
    </w:p>
    <w:p w14:paraId="6B70AED8">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二、请各响应人认真阅读</w:t>
      </w:r>
      <w:r>
        <w:rPr>
          <w:rFonts w:hint="eastAsia" w:ascii="宋体" w:hAnsi="宋体" w:cs="宋体"/>
          <w:b/>
          <w:color w:val="auto"/>
          <w:kern w:val="0"/>
          <w:sz w:val="24"/>
          <w:szCs w:val="24"/>
          <w:highlight w:val="none"/>
          <w:lang w:val="en-US" w:eastAsia="zh-CN"/>
        </w:rPr>
        <w:t>竞争性磋商</w:t>
      </w:r>
      <w:r>
        <w:rPr>
          <w:rFonts w:hint="eastAsia" w:ascii="宋体" w:hAnsi="宋体" w:cs="宋体"/>
          <w:b/>
          <w:color w:val="auto"/>
          <w:kern w:val="0"/>
          <w:sz w:val="24"/>
          <w:szCs w:val="24"/>
          <w:highlight w:val="none"/>
        </w:rPr>
        <w:t>文件，对下述事项予以重视：</w:t>
      </w:r>
    </w:p>
    <w:p w14:paraId="18B9691F">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1</w:t>
      </w:r>
      <w:r>
        <w:rPr>
          <w:rFonts w:hint="eastAsia" w:ascii="宋体" w:hAnsi="宋体" w:cs="宋体"/>
          <w:b/>
          <w:color w:val="auto"/>
          <w:kern w:val="0"/>
          <w:sz w:val="24"/>
          <w:szCs w:val="24"/>
          <w:highlight w:val="none"/>
          <w:lang w:val="en-US" w:eastAsia="zh-CN"/>
        </w:rPr>
        <w:t>.</w:t>
      </w:r>
      <w:r>
        <w:rPr>
          <w:rFonts w:hint="eastAsia" w:ascii="宋体" w:hAnsi="宋体" w:cs="宋体"/>
          <w:b/>
          <w:color w:val="auto"/>
          <w:kern w:val="0"/>
          <w:sz w:val="24"/>
          <w:szCs w:val="24"/>
          <w:highlight w:val="none"/>
        </w:rPr>
        <w:t>请依据项目资格要求，自行核对营业执照合法有效。</w:t>
      </w:r>
    </w:p>
    <w:p w14:paraId="4C193521">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2</w:t>
      </w:r>
      <w:r>
        <w:rPr>
          <w:rFonts w:hint="eastAsia" w:ascii="宋体" w:hAnsi="宋体" w:cs="宋体"/>
          <w:b/>
          <w:color w:val="auto"/>
          <w:kern w:val="0"/>
          <w:sz w:val="24"/>
          <w:szCs w:val="24"/>
          <w:highlight w:val="none"/>
          <w:lang w:eastAsia="zh-CN"/>
        </w:rPr>
        <w:t>.</w:t>
      </w:r>
      <w:r>
        <w:rPr>
          <w:rFonts w:hint="eastAsia" w:ascii="宋体" w:hAnsi="宋体" w:cs="宋体"/>
          <w:b/>
          <w:color w:val="auto"/>
          <w:kern w:val="0"/>
          <w:sz w:val="24"/>
          <w:szCs w:val="24"/>
          <w:highlight w:val="none"/>
        </w:rPr>
        <w:t>按照</w:t>
      </w:r>
      <w:r>
        <w:rPr>
          <w:rFonts w:hint="eastAsia" w:ascii="宋体" w:hAnsi="宋体" w:cs="宋体"/>
          <w:b/>
          <w:color w:val="auto"/>
          <w:kern w:val="0"/>
          <w:sz w:val="24"/>
          <w:szCs w:val="24"/>
          <w:highlight w:val="none"/>
          <w:lang w:val="en-US" w:eastAsia="zh-CN"/>
        </w:rPr>
        <w:t>竞争性磋商</w:t>
      </w:r>
      <w:r>
        <w:rPr>
          <w:rFonts w:hint="eastAsia" w:ascii="宋体" w:hAnsi="宋体" w:cs="宋体"/>
          <w:b/>
          <w:color w:val="auto"/>
          <w:kern w:val="0"/>
          <w:sz w:val="24"/>
          <w:szCs w:val="24"/>
          <w:highlight w:val="none"/>
        </w:rPr>
        <w:t>文件要求制作响应文件，响应文件创建标识码、文件制作机器码任一项一致的将不予通过</w:t>
      </w:r>
      <w:r>
        <w:rPr>
          <w:rFonts w:hint="eastAsia" w:ascii="宋体" w:hAnsi="宋体" w:cs="宋体"/>
          <w:b/>
          <w:color w:val="auto"/>
          <w:kern w:val="0"/>
          <w:sz w:val="24"/>
          <w:szCs w:val="24"/>
          <w:highlight w:val="none"/>
          <w:lang w:val="en-US" w:eastAsia="zh-CN"/>
        </w:rPr>
        <w:t>初审</w:t>
      </w:r>
      <w:r>
        <w:rPr>
          <w:rFonts w:hint="eastAsia" w:ascii="宋体" w:hAnsi="宋体" w:cs="宋体"/>
          <w:b/>
          <w:color w:val="auto"/>
          <w:kern w:val="0"/>
          <w:sz w:val="24"/>
          <w:szCs w:val="24"/>
          <w:highlight w:val="none"/>
        </w:rPr>
        <w:t>。</w:t>
      </w:r>
    </w:p>
    <w:p w14:paraId="65B8899B">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3</w:t>
      </w:r>
      <w:r>
        <w:rPr>
          <w:rFonts w:hint="eastAsia" w:ascii="宋体" w:hAnsi="宋体" w:cs="宋体"/>
          <w:b/>
          <w:color w:val="auto"/>
          <w:kern w:val="0"/>
          <w:sz w:val="24"/>
          <w:szCs w:val="24"/>
          <w:highlight w:val="none"/>
          <w:lang w:eastAsia="zh-CN"/>
        </w:rPr>
        <w:t>.</w:t>
      </w:r>
      <w:r>
        <w:rPr>
          <w:rFonts w:hint="eastAsia" w:ascii="宋体" w:hAnsi="宋体" w:cs="宋体"/>
          <w:b/>
          <w:color w:val="auto"/>
          <w:kern w:val="0"/>
          <w:sz w:val="24"/>
          <w:szCs w:val="24"/>
          <w:highlight w:val="none"/>
        </w:rPr>
        <w:t>对</w:t>
      </w:r>
      <w:r>
        <w:rPr>
          <w:rFonts w:hint="eastAsia" w:ascii="宋体" w:hAnsi="宋体" w:cs="宋体"/>
          <w:b/>
          <w:color w:val="auto"/>
          <w:kern w:val="0"/>
          <w:sz w:val="24"/>
          <w:szCs w:val="24"/>
          <w:highlight w:val="none"/>
          <w:lang w:val="en-US" w:eastAsia="zh-CN"/>
        </w:rPr>
        <w:t>磋商</w:t>
      </w:r>
      <w:r>
        <w:rPr>
          <w:rFonts w:hint="eastAsia" w:ascii="宋体" w:hAnsi="宋体" w:cs="宋体"/>
          <w:b/>
          <w:color w:val="auto"/>
          <w:kern w:val="0"/>
          <w:sz w:val="24"/>
          <w:szCs w:val="24"/>
          <w:highlight w:val="none"/>
        </w:rPr>
        <w:t>活动中可能发生的质疑、投诉行为，须依法在规定的时间内提出。</w:t>
      </w:r>
      <w:r>
        <w:rPr>
          <w:rFonts w:ascii="宋体" w:hAnsi="宋体" w:cs="宋体"/>
          <w:b/>
          <w:color w:val="auto"/>
          <w:kern w:val="0"/>
          <w:sz w:val="24"/>
          <w:szCs w:val="24"/>
          <w:highlight w:val="none"/>
        </w:rPr>
        <w:t xml:space="preserve">  </w:t>
      </w:r>
    </w:p>
    <w:p w14:paraId="29A71C63">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4</w:t>
      </w:r>
      <w:r>
        <w:rPr>
          <w:rFonts w:hint="eastAsia" w:ascii="宋体" w:hAnsi="宋体" w:cs="宋体"/>
          <w:b/>
          <w:color w:val="auto"/>
          <w:kern w:val="0"/>
          <w:sz w:val="24"/>
          <w:szCs w:val="24"/>
          <w:highlight w:val="none"/>
          <w:lang w:eastAsia="zh-CN"/>
        </w:rPr>
        <w:t>.</w:t>
      </w:r>
      <w:r>
        <w:rPr>
          <w:rFonts w:hint="eastAsia" w:ascii="宋体" w:hAnsi="宋体" w:cs="宋体"/>
          <w:b/>
          <w:color w:val="auto"/>
          <w:kern w:val="0"/>
          <w:sz w:val="24"/>
          <w:szCs w:val="24"/>
          <w:highlight w:val="none"/>
        </w:rPr>
        <w:t>本项目</w:t>
      </w:r>
      <w:r>
        <w:rPr>
          <w:rFonts w:hint="eastAsia" w:ascii="宋体" w:hAnsi="宋体" w:cs="宋体"/>
          <w:b/>
          <w:color w:val="auto"/>
          <w:kern w:val="0"/>
          <w:sz w:val="24"/>
          <w:szCs w:val="24"/>
          <w:highlight w:val="none"/>
          <w:lang w:eastAsia="zh-CN"/>
        </w:rPr>
        <w:t>磋商</w:t>
      </w:r>
      <w:r>
        <w:rPr>
          <w:rFonts w:hint="eastAsia" w:ascii="宋体" w:hAnsi="宋体" w:cs="宋体"/>
          <w:b/>
          <w:color w:val="auto"/>
          <w:kern w:val="0"/>
          <w:sz w:val="24"/>
          <w:szCs w:val="24"/>
          <w:highlight w:val="none"/>
        </w:rPr>
        <w:t>期间，供应商必须保证联系电话、电子邮箱通畅，因供应商通讯不畅造成的不利后果由供应商自行承担。</w:t>
      </w:r>
    </w:p>
    <w:p w14:paraId="31037FE9">
      <w:pPr>
        <w:widowControl/>
        <w:jc w:val="left"/>
        <w:rPr>
          <w:rFonts w:ascii="宋体" w:hAnsi="宋体" w:cs="宋体"/>
          <w:b/>
          <w:color w:val="auto"/>
          <w:sz w:val="36"/>
          <w:szCs w:val="36"/>
          <w:highlight w:val="none"/>
          <w:lang w:val="zh-CN"/>
        </w:rPr>
      </w:pPr>
      <w:r>
        <w:rPr>
          <w:rFonts w:ascii="宋体" w:hAnsi="宋体" w:cs="宋体"/>
          <w:b/>
          <w:color w:val="auto"/>
          <w:sz w:val="36"/>
          <w:szCs w:val="36"/>
          <w:highlight w:val="none"/>
          <w:lang w:val="zh-CN"/>
        </w:rPr>
        <w:br w:type="page"/>
      </w:r>
    </w:p>
    <w:p w14:paraId="7A426B6C">
      <w:pPr>
        <w:spacing w:line="480" w:lineRule="exact"/>
        <w:jc w:val="center"/>
        <w:rPr>
          <w:rFonts w:hint="eastAsia" w:ascii="宋体" w:hAnsi="宋体" w:cs="宋体"/>
          <w:b/>
          <w:color w:val="auto"/>
          <w:sz w:val="44"/>
          <w:szCs w:val="44"/>
          <w:highlight w:val="none"/>
          <w:lang w:val="zh-CN"/>
        </w:rPr>
      </w:pPr>
      <w:r>
        <w:rPr>
          <w:rFonts w:hint="eastAsia" w:ascii="宋体" w:hAnsi="宋体" w:cs="宋体"/>
          <w:b/>
          <w:color w:val="auto"/>
          <w:sz w:val="44"/>
          <w:szCs w:val="44"/>
          <w:highlight w:val="none"/>
          <w:lang w:val="zh-CN"/>
        </w:rPr>
        <w:t>目</w:t>
      </w:r>
      <w:r>
        <w:rPr>
          <w:rFonts w:ascii="宋体" w:hAnsi="宋体" w:cs="宋体"/>
          <w:b/>
          <w:color w:val="auto"/>
          <w:sz w:val="44"/>
          <w:szCs w:val="44"/>
          <w:highlight w:val="none"/>
        </w:rPr>
        <w:t xml:space="preserve">    </w:t>
      </w:r>
      <w:r>
        <w:rPr>
          <w:rFonts w:hint="eastAsia" w:ascii="宋体" w:hAnsi="宋体" w:cs="宋体"/>
          <w:b/>
          <w:color w:val="auto"/>
          <w:sz w:val="44"/>
          <w:szCs w:val="44"/>
          <w:highlight w:val="none"/>
          <w:lang w:val="zh-CN"/>
        </w:rPr>
        <w:t>录</w:t>
      </w:r>
    </w:p>
    <w:p w14:paraId="22B6B89C">
      <w:pPr>
        <w:pStyle w:val="50"/>
        <w:rPr>
          <w:color w:val="auto"/>
          <w:highlight w:val="none"/>
          <w:lang w:val="zh-CN"/>
        </w:rPr>
      </w:pPr>
    </w:p>
    <w:p w14:paraId="6F456B90">
      <w:pPr>
        <w:pStyle w:val="30"/>
        <w:tabs>
          <w:tab w:val="right" w:leader="dot" w:pos="9070"/>
        </w:tabs>
        <w:spacing w:line="360" w:lineRule="auto"/>
        <w:rPr>
          <w:color w:val="auto"/>
          <w:sz w:val="28"/>
          <w:szCs w:val="24"/>
          <w:highlight w:val="none"/>
        </w:rPr>
      </w:pPr>
      <w:bookmarkStart w:id="0" w:name="_Toc23467"/>
      <w:bookmarkStart w:id="1" w:name="_Toc54941328"/>
      <w:bookmarkStart w:id="2" w:name="_Toc21464"/>
      <w:bookmarkStart w:id="3" w:name="_Toc439316870"/>
      <w:r>
        <w:rPr>
          <w:color w:val="auto"/>
          <w:sz w:val="40"/>
          <w:szCs w:val="40"/>
          <w:highlight w:val="none"/>
        </w:rPr>
        <w:fldChar w:fldCharType="begin"/>
      </w:r>
      <w:r>
        <w:rPr>
          <w:color w:val="auto"/>
          <w:sz w:val="40"/>
          <w:szCs w:val="40"/>
          <w:highlight w:val="none"/>
        </w:rPr>
        <w:instrText xml:space="preserve">TOC \o "1-1" \h \u </w:instrText>
      </w:r>
      <w:r>
        <w:rPr>
          <w:color w:val="auto"/>
          <w:sz w:val="40"/>
          <w:szCs w:val="40"/>
          <w:highlight w:val="none"/>
        </w:rPr>
        <w:fldChar w:fldCharType="separate"/>
      </w:r>
      <w:r>
        <w:rPr>
          <w:color w:val="auto"/>
          <w:sz w:val="28"/>
          <w:szCs w:val="40"/>
          <w:highlight w:val="none"/>
        </w:rPr>
        <w:fldChar w:fldCharType="begin"/>
      </w:r>
      <w:r>
        <w:rPr>
          <w:color w:val="auto"/>
          <w:sz w:val="28"/>
          <w:szCs w:val="40"/>
          <w:highlight w:val="none"/>
        </w:rPr>
        <w:instrText xml:space="preserve"> HYPERLINK \l _Toc7432 </w:instrText>
      </w:r>
      <w:r>
        <w:rPr>
          <w:color w:val="auto"/>
          <w:sz w:val="28"/>
          <w:szCs w:val="40"/>
          <w:highlight w:val="none"/>
        </w:rPr>
        <w:fldChar w:fldCharType="separate"/>
      </w:r>
      <w:r>
        <w:rPr>
          <w:rFonts w:hint="eastAsia"/>
          <w:bCs/>
          <w:i w:val="0"/>
          <w:iCs/>
          <w:color w:val="auto"/>
          <w:sz w:val="28"/>
          <w:szCs w:val="44"/>
          <w:highlight w:val="none"/>
        </w:rPr>
        <w:t>第一章</w:t>
      </w:r>
      <w:r>
        <w:rPr>
          <w:bCs/>
          <w:i w:val="0"/>
          <w:iCs/>
          <w:color w:val="auto"/>
          <w:sz w:val="28"/>
          <w:szCs w:val="44"/>
          <w:highlight w:val="none"/>
        </w:rPr>
        <w:t xml:space="preserve">  </w:t>
      </w:r>
      <w:r>
        <w:rPr>
          <w:rFonts w:hint="eastAsia"/>
          <w:bCs/>
          <w:i w:val="0"/>
          <w:iCs/>
          <w:color w:val="auto"/>
          <w:sz w:val="28"/>
          <w:szCs w:val="44"/>
          <w:highlight w:val="none"/>
          <w:lang w:val="en-US" w:eastAsia="zh-CN"/>
        </w:rPr>
        <w:t>磋商邀请</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_Toc7432 \h </w:instrText>
      </w:r>
      <w:r>
        <w:rPr>
          <w:color w:val="auto"/>
          <w:sz w:val="28"/>
          <w:szCs w:val="24"/>
          <w:highlight w:val="none"/>
        </w:rPr>
        <w:fldChar w:fldCharType="separate"/>
      </w:r>
      <w:r>
        <w:rPr>
          <w:color w:val="auto"/>
          <w:sz w:val="28"/>
          <w:szCs w:val="24"/>
          <w:highlight w:val="none"/>
        </w:rPr>
        <w:t>3</w:t>
      </w:r>
      <w:r>
        <w:rPr>
          <w:color w:val="auto"/>
          <w:sz w:val="28"/>
          <w:szCs w:val="24"/>
          <w:highlight w:val="none"/>
        </w:rPr>
        <w:fldChar w:fldCharType="end"/>
      </w:r>
      <w:r>
        <w:rPr>
          <w:color w:val="auto"/>
          <w:sz w:val="28"/>
          <w:szCs w:val="40"/>
          <w:highlight w:val="none"/>
        </w:rPr>
        <w:fldChar w:fldCharType="end"/>
      </w:r>
    </w:p>
    <w:p w14:paraId="25820FA5">
      <w:pPr>
        <w:pStyle w:val="30"/>
        <w:tabs>
          <w:tab w:val="right" w:leader="dot" w:pos="9070"/>
        </w:tabs>
        <w:spacing w:line="360" w:lineRule="auto"/>
        <w:rPr>
          <w:color w:val="auto"/>
          <w:sz w:val="28"/>
          <w:szCs w:val="24"/>
          <w:highlight w:val="none"/>
        </w:rPr>
      </w:pPr>
      <w:r>
        <w:rPr>
          <w:color w:val="auto"/>
          <w:sz w:val="28"/>
          <w:szCs w:val="40"/>
          <w:highlight w:val="none"/>
        </w:rPr>
        <w:fldChar w:fldCharType="begin"/>
      </w:r>
      <w:r>
        <w:rPr>
          <w:color w:val="auto"/>
          <w:sz w:val="28"/>
          <w:szCs w:val="40"/>
          <w:highlight w:val="none"/>
        </w:rPr>
        <w:instrText xml:space="preserve"> HYPERLINK \l _Toc11266 </w:instrText>
      </w:r>
      <w:r>
        <w:rPr>
          <w:color w:val="auto"/>
          <w:sz w:val="28"/>
          <w:szCs w:val="40"/>
          <w:highlight w:val="none"/>
        </w:rPr>
        <w:fldChar w:fldCharType="separate"/>
      </w:r>
      <w:r>
        <w:rPr>
          <w:rFonts w:hint="eastAsia" w:ascii="Arial" w:hAnsi="Arial"/>
          <w:color w:val="auto"/>
          <w:kern w:val="2"/>
          <w:sz w:val="28"/>
          <w:szCs w:val="44"/>
          <w:highlight w:val="none"/>
        </w:rPr>
        <w:t>第二章</w:t>
      </w:r>
      <w:r>
        <w:rPr>
          <w:rFonts w:ascii="Arial" w:hAnsi="Arial"/>
          <w:color w:val="auto"/>
          <w:kern w:val="2"/>
          <w:sz w:val="28"/>
          <w:szCs w:val="44"/>
          <w:highlight w:val="none"/>
        </w:rPr>
        <w:t xml:space="preserve">  </w:t>
      </w:r>
      <w:r>
        <w:rPr>
          <w:rFonts w:hint="eastAsia" w:ascii="Arial" w:hAnsi="Arial"/>
          <w:color w:val="auto"/>
          <w:kern w:val="2"/>
          <w:sz w:val="28"/>
          <w:szCs w:val="44"/>
          <w:highlight w:val="none"/>
        </w:rPr>
        <w:t>供应商</w:t>
      </w:r>
      <w:r>
        <w:rPr>
          <w:rFonts w:ascii="Arial" w:hAnsi="Arial"/>
          <w:color w:val="auto"/>
          <w:kern w:val="2"/>
          <w:sz w:val="28"/>
          <w:szCs w:val="44"/>
          <w:highlight w:val="none"/>
        </w:rPr>
        <w:t>须知</w:t>
      </w:r>
      <w:r>
        <w:rPr>
          <w:color w:val="auto"/>
          <w:sz w:val="28"/>
          <w:szCs w:val="24"/>
          <w:highlight w:val="none"/>
        </w:rPr>
        <w:tab/>
      </w:r>
      <w:r>
        <w:rPr>
          <w:rFonts w:hint="eastAsia"/>
          <w:color w:val="auto"/>
          <w:sz w:val="28"/>
          <w:szCs w:val="24"/>
          <w:highlight w:val="none"/>
          <w:lang w:val="en-US" w:eastAsia="zh-CN"/>
        </w:rPr>
        <w:t>5</w:t>
      </w:r>
      <w:r>
        <w:rPr>
          <w:color w:val="auto"/>
          <w:sz w:val="28"/>
          <w:szCs w:val="40"/>
          <w:highlight w:val="none"/>
        </w:rPr>
        <w:fldChar w:fldCharType="end"/>
      </w:r>
    </w:p>
    <w:p w14:paraId="4473F23C">
      <w:pPr>
        <w:pStyle w:val="30"/>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_Toc12353 </w:instrText>
      </w:r>
      <w:r>
        <w:rPr>
          <w:color w:val="auto"/>
          <w:sz w:val="28"/>
          <w:szCs w:val="40"/>
          <w:highlight w:val="none"/>
        </w:rPr>
        <w:fldChar w:fldCharType="separate"/>
      </w:r>
      <w:r>
        <w:rPr>
          <w:rFonts w:hint="eastAsia" w:ascii="Arial" w:hAnsi="Arial"/>
          <w:bCs/>
          <w:color w:val="auto"/>
          <w:kern w:val="2"/>
          <w:sz w:val="28"/>
          <w:szCs w:val="44"/>
          <w:highlight w:val="none"/>
          <w:lang w:val="en-US" w:eastAsia="zh-CN"/>
        </w:rPr>
        <w:t xml:space="preserve">第三章 </w:t>
      </w:r>
      <w:r>
        <w:rPr>
          <w:rFonts w:hint="eastAsia" w:ascii="Arial" w:hAnsi="Arial"/>
          <w:color w:val="auto"/>
          <w:kern w:val="2"/>
          <w:sz w:val="28"/>
          <w:szCs w:val="44"/>
          <w:highlight w:val="none"/>
          <w:lang w:val="en-US" w:eastAsia="zh-CN"/>
        </w:rPr>
        <w:t xml:space="preserve"> </w:t>
      </w:r>
      <w:r>
        <w:rPr>
          <w:rFonts w:hint="eastAsia" w:ascii="宋体" w:hAnsi="宋体" w:cs="宋体"/>
          <w:bCs w:val="0"/>
          <w:color w:val="auto"/>
          <w:sz w:val="28"/>
          <w:szCs w:val="40"/>
          <w:highlight w:val="none"/>
          <w:lang w:val="en-US" w:eastAsia="zh-CN"/>
        </w:rPr>
        <w:t>采购需求</w:t>
      </w:r>
      <w:r>
        <w:rPr>
          <w:color w:val="auto"/>
          <w:sz w:val="28"/>
          <w:szCs w:val="24"/>
          <w:highlight w:val="none"/>
        </w:rPr>
        <w:tab/>
      </w:r>
      <w:r>
        <w:rPr>
          <w:rFonts w:hint="eastAsia"/>
          <w:color w:val="auto"/>
          <w:sz w:val="28"/>
          <w:szCs w:val="24"/>
          <w:highlight w:val="none"/>
          <w:lang w:val="en-US" w:eastAsia="zh-CN"/>
        </w:rPr>
        <w:t>1</w:t>
      </w:r>
      <w:r>
        <w:rPr>
          <w:color w:val="auto"/>
          <w:sz w:val="28"/>
          <w:szCs w:val="40"/>
          <w:highlight w:val="none"/>
        </w:rPr>
        <w:fldChar w:fldCharType="end"/>
      </w:r>
      <w:r>
        <w:rPr>
          <w:rFonts w:hint="eastAsia"/>
          <w:color w:val="auto"/>
          <w:sz w:val="28"/>
          <w:szCs w:val="40"/>
          <w:highlight w:val="none"/>
          <w:lang w:val="en-US" w:eastAsia="zh-CN"/>
        </w:rPr>
        <w:t>5</w:t>
      </w:r>
    </w:p>
    <w:p w14:paraId="4DE78E20">
      <w:pPr>
        <w:pStyle w:val="30"/>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_Toc16371 </w:instrText>
      </w:r>
      <w:r>
        <w:rPr>
          <w:color w:val="auto"/>
          <w:sz w:val="28"/>
          <w:szCs w:val="40"/>
          <w:highlight w:val="none"/>
        </w:rPr>
        <w:fldChar w:fldCharType="separate"/>
      </w:r>
      <w:r>
        <w:rPr>
          <w:rFonts w:hint="eastAsia" w:ascii="Arial" w:hAnsi="Arial"/>
          <w:color w:val="auto"/>
          <w:kern w:val="2"/>
          <w:sz w:val="28"/>
          <w:szCs w:val="44"/>
          <w:highlight w:val="none"/>
          <w:lang w:val="en-US" w:eastAsia="zh-CN"/>
        </w:rPr>
        <w:t>第四章  评</w:t>
      </w:r>
      <w:r>
        <w:rPr>
          <w:rFonts w:hint="eastAsia" w:ascii="Arial" w:hAnsi="Arial"/>
          <w:strike w:val="0"/>
          <w:dstrike w:val="0"/>
          <w:color w:val="auto"/>
          <w:kern w:val="2"/>
          <w:sz w:val="28"/>
          <w:szCs w:val="44"/>
          <w:highlight w:val="none"/>
          <w:lang w:val="en-US" w:eastAsia="zh-CN"/>
        </w:rPr>
        <w:t>审方</w:t>
      </w:r>
      <w:r>
        <w:rPr>
          <w:rFonts w:hint="eastAsia" w:ascii="Arial" w:hAnsi="Arial"/>
          <w:color w:val="auto"/>
          <w:kern w:val="2"/>
          <w:sz w:val="28"/>
          <w:szCs w:val="44"/>
          <w:highlight w:val="none"/>
          <w:lang w:val="en-US" w:eastAsia="zh-CN"/>
        </w:rPr>
        <w:t>法与标准</w:t>
      </w:r>
      <w:r>
        <w:rPr>
          <w:color w:val="auto"/>
          <w:sz w:val="28"/>
          <w:szCs w:val="24"/>
          <w:highlight w:val="none"/>
        </w:rPr>
        <w:tab/>
      </w:r>
      <w:r>
        <w:rPr>
          <w:rFonts w:hint="eastAsia"/>
          <w:color w:val="auto"/>
          <w:sz w:val="28"/>
          <w:szCs w:val="24"/>
          <w:highlight w:val="none"/>
          <w:lang w:val="en-US" w:eastAsia="zh-CN"/>
        </w:rPr>
        <w:t>2</w:t>
      </w:r>
      <w:r>
        <w:rPr>
          <w:color w:val="auto"/>
          <w:sz w:val="28"/>
          <w:szCs w:val="40"/>
          <w:highlight w:val="none"/>
        </w:rPr>
        <w:fldChar w:fldCharType="end"/>
      </w:r>
      <w:r>
        <w:rPr>
          <w:rFonts w:hint="eastAsia"/>
          <w:color w:val="auto"/>
          <w:sz w:val="28"/>
          <w:szCs w:val="40"/>
          <w:highlight w:val="none"/>
          <w:lang w:val="en-US" w:eastAsia="zh-CN"/>
        </w:rPr>
        <w:t>2</w:t>
      </w:r>
    </w:p>
    <w:p w14:paraId="7143EA37">
      <w:pPr>
        <w:pStyle w:val="30"/>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_Toc27586 </w:instrText>
      </w:r>
      <w:r>
        <w:rPr>
          <w:color w:val="auto"/>
          <w:sz w:val="28"/>
          <w:szCs w:val="40"/>
          <w:highlight w:val="none"/>
        </w:rPr>
        <w:fldChar w:fldCharType="separate"/>
      </w:r>
      <w:r>
        <w:rPr>
          <w:rFonts w:hint="eastAsia"/>
          <w:color w:val="auto"/>
          <w:sz w:val="28"/>
          <w:szCs w:val="24"/>
          <w:highlight w:val="none"/>
          <w:lang w:val="en-US" w:eastAsia="zh-CN"/>
        </w:rPr>
        <w:t xml:space="preserve">第五章  </w:t>
      </w:r>
      <w:r>
        <w:rPr>
          <w:rFonts w:hint="eastAsia"/>
          <w:color w:val="auto"/>
          <w:sz w:val="28"/>
          <w:szCs w:val="24"/>
          <w:highlight w:val="none"/>
        </w:rPr>
        <w:t>政府采购合同</w:t>
      </w:r>
      <w:r>
        <w:rPr>
          <w:color w:val="auto"/>
          <w:sz w:val="28"/>
          <w:szCs w:val="24"/>
          <w:highlight w:val="none"/>
        </w:rPr>
        <w:tab/>
      </w:r>
      <w:r>
        <w:rPr>
          <w:rFonts w:hint="eastAsia"/>
          <w:color w:val="auto"/>
          <w:sz w:val="28"/>
          <w:szCs w:val="24"/>
          <w:highlight w:val="none"/>
          <w:lang w:val="en-US" w:eastAsia="zh-CN"/>
        </w:rPr>
        <w:t>2</w:t>
      </w:r>
      <w:r>
        <w:rPr>
          <w:color w:val="auto"/>
          <w:sz w:val="28"/>
          <w:szCs w:val="40"/>
          <w:highlight w:val="none"/>
        </w:rPr>
        <w:fldChar w:fldCharType="end"/>
      </w:r>
      <w:r>
        <w:rPr>
          <w:rFonts w:hint="eastAsia"/>
          <w:color w:val="auto"/>
          <w:sz w:val="28"/>
          <w:szCs w:val="40"/>
          <w:highlight w:val="none"/>
          <w:lang w:val="en-US" w:eastAsia="zh-CN"/>
        </w:rPr>
        <w:t>6</w:t>
      </w:r>
    </w:p>
    <w:p w14:paraId="1B92A2FD">
      <w:pPr>
        <w:pStyle w:val="30"/>
        <w:tabs>
          <w:tab w:val="right" w:leader="dot" w:pos="9070"/>
        </w:tabs>
        <w:spacing w:line="360" w:lineRule="auto"/>
        <w:rPr>
          <w:color w:val="auto"/>
          <w:sz w:val="28"/>
          <w:szCs w:val="24"/>
          <w:highlight w:val="none"/>
        </w:rPr>
      </w:pPr>
      <w:r>
        <w:rPr>
          <w:color w:val="auto"/>
          <w:sz w:val="28"/>
          <w:szCs w:val="40"/>
          <w:highlight w:val="none"/>
        </w:rPr>
        <w:fldChar w:fldCharType="begin"/>
      </w:r>
      <w:r>
        <w:rPr>
          <w:color w:val="auto"/>
          <w:sz w:val="28"/>
          <w:szCs w:val="40"/>
          <w:highlight w:val="none"/>
        </w:rPr>
        <w:instrText xml:space="preserve"> HYPERLINK \l _Toc1812 </w:instrText>
      </w:r>
      <w:r>
        <w:rPr>
          <w:color w:val="auto"/>
          <w:sz w:val="28"/>
          <w:szCs w:val="40"/>
          <w:highlight w:val="none"/>
        </w:rPr>
        <w:fldChar w:fldCharType="separate"/>
      </w:r>
      <w:r>
        <w:rPr>
          <w:rFonts w:hint="eastAsia" w:ascii="Arial" w:hAnsi="Arial"/>
          <w:color w:val="auto"/>
          <w:kern w:val="2"/>
          <w:sz w:val="28"/>
          <w:szCs w:val="48"/>
          <w:highlight w:val="none"/>
          <w:lang w:val="zh-CN"/>
        </w:rPr>
        <w:t>第</w:t>
      </w:r>
      <w:r>
        <w:rPr>
          <w:rFonts w:hint="eastAsia" w:ascii="Arial" w:hAnsi="Arial"/>
          <w:color w:val="auto"/>
          <w:kern w:val="2"/>
          <w:sz w:val="28"/>
          <w:szCs w:val="48"/>
          <w:highlight w:val="none"/>
          <w:lang w:val="en-US" w:eastAsia="zh-CN"/>
        </w:rPr>
        <w:t>六</w:t>
      </w:r>
      <w:r>
        <w:rPr>
          <w:rFonts w:hint="eastAsia" w:ascii="Arial" w:hAnsi="Arial"/>
          <w:color w:val="auto"/>
          <w:kern w:val="2"/>
          <w:sz w:val="28"/>
          <w:szCs w:val="48"/>
          <w:highlight w:val="none"/>
          <w:lang w:val="zh-CN"/>
        </w:rPr>
        <w:t>章</w:t>
      </w:r>
      <w:r>
        <w:rPr>
          <w:rFonts w:ascii="Arial" w:hAnsi="Arial"/>
          <w:color w:val="auto"/>
          <w:kern w:val="2"/>
          <w:sz w:val="28"/>
          <w:szCs w:val="48"/>
          <w:highlight w:val="none"/>
          <w:lang w:val="zh-CN"/>
        </w:rPr>
        <w:t xml:space="preserve">  </w:t>
      </w:r>
      <w:r>
        <w:rPr>
          <w:rFonts w:hint="eastAsia" w:ascii="Arial" w:hAnsi="Arial"/>
          <w:color w:val="auto"/>
          <w:kern w:val="2"/>
          <w:sz w:val="28"/>
          <w:szCs w:val="48"/>
          <w:highlight w:val="none"/>
        </w:rPr>
        <w:t>响应文件格式</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_Toc1812 \h </w:instrText>
      </w:r>
      <w:r>
        <w:rPr>
          <w:color w:val="auto"/>
          <w:sz w:val="28"/>
          <w:szCs w:val="24"/>
          <w:highlight w:val="none"/>
        </w:rPr>
        <w:fldChar w:fldCharType="separate"/>
      </w:r>
      <w:r>
        <w:rPr>
          <w:color w:val="auto"/>
          <w:sz w:val="28"/>
          <w:szCs w:val="24"/>
          <w:highlight w:val="none"/>
        </w:rPr>
        <w:t>3</w:t>
      </w:r>
      <w:r>
        <w:rPr>
          <w:rFonts w:hint="eastAsia"/>
          <w:color w:val="auto"/>
          <w:sz w:val="28"/>
          <w:szCs w:val="24"/>
          <w:highlight w:val="none"/>
          <w:lang w:val="en-US" w:eastAsia="zh-CN"/>
        </w:rPr>
        <w:t>0</w:t>
      </w:r>
      <w:r>
        <w:rPr>
          <w:color w:val="auto"/>
          <w:sz w:val="28"/>
          <w:szCs w:val="24"/>
          <w:highlight w:val="none"/>
        </w:rPr>
        <w:fldChar w:fldCharType="end"/>
      </w:r>
      <w:r>
        <w:rPr>
          <w:color w:val="auto"/>
          <w:sz w:val="28"/>
          <w:szCs w:val="40"/>
          <w:highlight w:val="none"/>
        </w:rPr>
        <w:fldChar w:fldCharType="end"/>
      </w:r>
    </w:p>
    <w:p w14:paraId="78B5310B">
      <w:pPr>
        <w:pStyle w:val="30"/>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_Toc2700 </w:instrText>
      </w:r>
      <w:r>
        <w:rPr>
          <w:color w:val="auto"/>
          <w:sz w:val="28"/>
          <w:szCs w:val="40"/>
          <w:highlight w:val="none"/>
        </w:rPr>
        <w:fldChar w:fldCharType="separate"/>
      </w:r>
      <w:r>
        <w:rPr>
          <w:rFonts w:hint="eastAsia"/>
          <w:color w:val="auto"/>
          <w:sz w:val="28"/>
          <w:szCs w:val="24"/>
          <w:highlight w:val="none"/>
          <w:lang w:val="en-US" w:eastAsia="zh-CN"/>
        </w:rPr>
        <w:t>第七章  政府采购供应商询问函和质疑函范本</w:t>
      </w:r>
      <w:r>
        <w:rPr>
          <w:color w:val="auto"/>
          <w:sz w:val="28"/>
          <w:szCs w:val="24"/>
          <w:highlight w:val="none"/>
        </w:rPr>
        <w:tab/>
      </w:r>
      <w:r>
        <w:rPr>
          <w:rFonts w:hint="eastAsia"/>
          <w:color w:val="auto"/>
          <w:sz w:val="28"/>
          <w:szCs w:val="24"/>
          <w:highlight w:val="none"/>
          <w:lang w:val="en-US" w:eastAsia="zh-CN"/>
        </w:rPr>
        <w:t>4</w:t>
      </w:r>
      <w:r>
        <w:rPr>
          <w:color w:val="auto"/>
          <w:sz w:val="28"/>
          <w:szCs w:val="40"/>
          <w:highlight w:val="none"/>
        </w:rPr>
        <w:fldChar w:fldCharType="end"/>
      </w:r>
      <w:r>
        <w:rPr>
          <w:rFonts w:hint="eastAsia"/>
          <w:color w:val="auto"/>
          <w:sz w:val="28"/>
          <w:szCs w:val="40"/>
          <w:highlight w:val="none"/>
          <w:lang w:val="en-US" w:eastAsia="zh-CN"/>
        </w:rPr>
        <w:t>1</w:t>
      </w:r>
    </w:p>
    <w:p w14:paraId="6989B8C6">
      <w:pPr>
        <w:pStyle w:val="21"/>
        <w:tabs>
          <w:tab w:val="right" w:leader="dot" w:pos="9060"/>
        </w:tabs>
        <w:spacing w:line="360" w:lineRule="auto"/>
        <w:rPr>
          <w:color w:val="auto"/>
          <w:szCs w:val="21"/>
          <w:highlight w:val="none"/>
        </w:rPr>
        <w:sectPr>
          <w:footerReference r:id="rId7"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color w:val="auto"/>
          <w:sz w:val="28"/>
          <w:szCs w:val="40"/>
          <w:highlight w:val="none"/>
        </w:rPr>
        <w:fldChar w:fldCharType="end"/>
      </w:r>
      <w:bookmarkStart w:id="4" w:name="_Toc7432"/>
    </w:p>
    <w:p w14:paraId="35D3DCA8">
      <w:pPr>
        <w:pStyle w:val="21"/>
        <w:tabs>
          <w:tab w:val="right" w:leader="dot" w:pos="9060"/>
        </w:tabs>
        <w:spacing w:line="360" w:lineRule="auto"/>
        <w:jc w:val="center"/>
        <w:rPr>
          <w:rFonts w:hint="eastAsia" w:ascii="Arial" w:hAnsi="Arial" w:eastAsia="宋体"/>
          <w:b/>
          <w:bCs/>
          <w:i w:val="0"/>
          <w:iCs/>
          <w:color w:val="auto"/>
          <w:sz w:val="32"/>
          <w:szCs w:val="32"/>
          <w:highlight w:val="none"/>
          <w:lang w:eastAsia="zh-CN"/>
        </w:rPr>
      </w:pPr>
      <w:r>
        <w:rPr>
          <w:rFonts w:hint="eastAsia"/>
          <w:b/>
          <w:bCs/>
          <w:i w:val="0"/>
          <w:iCs/>
          <w:color w:val="auto"/>
          <w:sz w:val="32"/>
          <w:szCs w:val="32"/>
          <w:highlight w:val="none"/>
        </w:rPr>
        <w:t>第一章</w:t>
      </w:r>
      <w:r>
        <w:rPr>
          <w:b/>
          <w:bCs/>
          <w:i w:val="0"/>
          <w:iCs/>
          <w:color w:val="auto"/>
          <w:sz w:val="32"/>
          <w:szCs w:val="32"/>
          <w:highlight w:val="none"/>
        </w:rPr>
        <w:t xml:space="preserve">   </w:t>
      </w:r>
      <w:bookmarkEnd w:id="0"/>
      <w:bookmarkEnd w:id="1"/>
      <w:bookmarkEnd w:id="2"/>
      <w:bookmarkEnd w:id="4"/>
      <w:r>
        <w:rPr>
          <w:rFonts w:hint="eastAsia"/>
          <w:b/>
          <w:bCs/>
          <w:i w:val="0"/>
          <w:iCs/>
          <w:color w:val="auto"/>
          <w:sz w:val="32"/>
          <w:szCs w:val="32"/>
          <w:highlight w:val="none"/>
          <w:lang w:eastAsia="zh-CN"/>
        </w:rPr>
        <w:t>磋商</w:t>
      </w:r>
      <w:r>
        <w:rPr>
          <w:rFonts w:hint="eastAsia"/>
          <w:b/>
          <w:bCs/>
          <w:i w:val="0"/>
          <w:iCs/>
          <w:color w:val="auto"/>
          <w:sz w:val="32"/>
          <w:szCs w:val="32"/>
          <w:highlight w:val="none"/>
        </w:rPr>
        <w:t>邀请</w:t>
      </w:r>
    </w:p>
    <w:p w14:paraId="2B113C03">
      <w:pPr>
        <w:spacing w:line="360" w:lineRule="auto"/>
        <w:ind w:firstLine="435"/>
        <w:outlineLvl w:val="1"/>
        <w:rPr>
          <w:rFonts w:ascii="宋体" w:hAnsi="宋体" w:eastAsia="宋体"/>
          <w:b/>
          <w:bCs/>
          <w:color w:val="auto"/>
          <w:sz w:val="24"/>
          <w:szCs w:val="18"/>
          <w:highlight w:val="none"/>
        </w:rPr>
      </w:pPr>
      <w:bookmarkStart w:id="5" w:name="_Toc7340"/>
      <w:bookmarkStart w:id="6" w:name="_Toc21967"/>
      <w:bookmarkStart w:id="7" w:name="_Toc24610"/>
      <w:r>
        <w:rPr>
          <w:rFonts w:hint="eastAsia" w:ascii="宋体" w:hAnsi="宋体" w:eastAsia="宋体"/>
          <w:b/>
          <w:bCs/>
          <w:color w:val="auto"/>
          <w:sz w:val="24"/>
          <w:szCs w:val="18"/>
          <w:highlight w:val="none"/>
        </w:rPr>
        <w:t>一、项目名称及内容</w:t>
      </w:r>
      <w:bookmarkEnd w:id="5"/>
      <w:bookmarkEnd w:id="6"/>
      <w:bookmarkEnd w:id="7"/>
    </w:p>
    <w:p w14:paraId="77A8596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1.项目编号：</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eastAsia="zh-CN"/>
        </w:rPr>
        <w:t>TCSZCG(202</w:t>
      </w:r>
      <w:r>
        <w:rPr>
          <w:rFonts w:hint="eastAsia" w:ascii="宋体" w:hAnsi="宋体" w:eastAsia="宋体"/>
          <w:color w:val="auto"/>
          <w:sz w:val="24"/>
          <w:szCs w:val="18"/>
          <w:highlight w:val="none"/>
          <w:u w:val="single"/>
          <w:lang w:val="en-US" w:eastAsia="zh-CN"/>
        </w:rPr>
        <w:t>6</w:t>
      </w:r>
      <w:r>
        <w:rPr>
          <w:rFonts w:hint="eastAsia" w:ascii="宋体" w:hAnsi="宋体" w:eastAsia="宋体"/>
          <w:color w:val="auto"/>
          <w:sz w:val="24"/>
          <w:szCs w:val="18"/>
          <w:highlight w:val="none"/>
          <w:u w:val="single"/>
          <w:lang w:eastAsia="zh-CN"/>
        </w:rPr>
        <w:t xml:space="preserve">) </w:t>
      </w:r>
      <w:r>
        <w:rPr>
          <w:rFonts w:hint="eastAsia" w:ascii="宋体" w:hAnsi="宋体" w:eastAsia="宋体"/>
          <w:color w:val="auto"/>
          <w:sz w:val="24"/>
          <w:szCs w:val="18"/>
          <w:highlight w:val="none"/>
          <w:u w:val="single"/>
          <w:lang w:val="en-US" w:eastAsia="zh-CN"/>
        </w:rPr>
        <w:t>009</w:t>
      </w:r>
      <w:r>
        <w:rPr>
          <w:rFonts w:hint="eastAsia" w:ascii="宋体" w:hAnsi="宋体" w:eastAsia="宋体"/>
          <w:color w:val="auto"/>
          <w:sz w:val="24"/>
          <w:szCs w:val="18"/>
          <w:highlight w:val="none"/>
          <w:u w:val="single"/>
          <w:lang w:eastAsia="zh-CN"/>
        </w:rPr>
        <w:t>号</w:t>
      </w:r>
    </w:p>
    <w:p w14:paraId="7258789B">
      <w:pPr>
        <w:autoSpaceDE w:val="0"/>
        <w:autoSpaceDN w:val="0"/>
        <w:adjustRightInd w:val="0"/>
        <w:spacing w:line="360" w:lineRule="auto"/>
        <w:ind w:firstLine="436" w:firstLineChars="182"/>
        <w:jc w:val="left"/>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2.项目名称：</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桐城师范高等专科学校门禁系统维保服务采购项目</w:t>
      </w:r>
    </w:p>
    <w:p w14:paraId="17633DD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54648元/年</w:t>
      </w:r>
      <w:r>
        <w:rPr>
          <w:rFonts w:ascii="宋体" w:hAnsi="宋体" w:eastAsia="宋体"/>
          <w:color w:val="auto"/>
          <w:sz w:val="24"/>
          <w:szCs w:val="18"/>
          <w:highlight w:val="none"/>
          <w:u w:val="single"/>
        </w:rPr>
        <w:t xml:space="preserve"> </w:t>
      </w:r>
    </w:p>
    <w:p w14:paraId="6BA2AA9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54648元/年</w:t>
      </w:r>
      <w:r>
        <w:rPr>
          <w:rFonts w:ascii="宋体" w:hAnsi="宋体" w:eastAsia="宋体"/>
          <w:color w:val="auto"/>
          <w:sz w:val="24"/>
          <w:szCs w:val="18"/>
          <w:highlight w:val="none"/>
          <w:u w:val="single"/>
        </w:rPr>
        <w:t xml:space="preserve"> </w:t>
      </w:r>
    </w:p>
    <w:p w14:paraId="1D8C800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5.采购需求：</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桐城师范高等专科学校门禁系统维保服务采购项目，详见采购需求</w:t>
      </w:r>
    </w:p>
    <w:p w14:paraId="7714AF6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6.合同履行期限：</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两年，合同一年一签</w:t>
      </w:r>
      <w:r>
        <w:rPr>
          <w:rFonts w:ascii="宋体" w:hAnsi="宋体" w:eastAsia="宋体"/>
          <w:color w:val="auto"/>
          <w:sz w:val="24"/>
          <w:szCs w:val="18"/>
          <w:highlight w:val="none"/>
          <w:u w:val="single"/>
        </w:rPr>
        <w:t xml:space="preserve"> </w:t>
      </w:r>
    </w:p>
    <w:p w14:paraId="42AE4A25">
      <w:pPr>
        <w:autoSpaceDE w:val="0"/>
        <w:autoSpaceDN w:val="0"/>
        <w:adjustRightInd w:val="0"/>
        <w:spacing w:line="360" w:lineRule="auto"/>
        <w:ind w:firstLine="436" w:firstLineChars="182"/>
        <w:jc w:val="left"/>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7.本项目</w:t>
      </w:r>
      <w:r>
        <w:rPr>
          <w:rFonts w:hint="eastAsia" w:asciiTheme="minorEastAsia" w:hAnsiTheme="minorEastAsia" w:eastAsiaTheme="minorEastAsia"/>
          <w:color w:val="auto"/>
          <w:sz w:val="24"/>
          <w:highlight w:val="none"/>
          <w:lang w:val="en-US" w:eastAsia="zh-CN"/>
        </w:rPr>
        <w:t>不</w:t>
      </w:r>
      <w:r>
        <w:rPr>
          <w:rFonts w:hint="eastAsia" w:asciiTheme="minorEastAsia" w:hAnsiTheme="minorEastAsia" w:eastAsiaTheme="minorEastAsia"/>
          <w:color w:val="auto"/>
          <w:sz w:val="24"/>
          <w:highlight w:val="none"/>
        </w:rPr>
        <w:t>接受联合体。</w:t>
      </w:r>
    </w:p>
    <w:p w14:paraId="75FF8771">
      <w:pPr>
        <w:spacing w:line="360" w:lineRule="auto"/>
        <w:ind w:firstLine="435"/>
        <w:outlineLvl w:val="1"/>
        <w:rPr>
          <w:rFonts w:ascii="宋体" w:hAnsi="宋体" w:eastAsia="宋体"/>
          <w:b/>
          <w:bCs/>
          <w:color w:val="auto"/>
          <w:sz w:val="24"/>
          <w:szCs w:val="18"/>
          <w:highlight w:val="none"/>
        </w:rPr>
      </w:pPr>
      <w:bookmarkStart w:id="8" w:name="_Toc10226"/>
      <w:bookmarkStart w:id="9" w:name="_Toc5862"/>
      <w:bookmarkStart w:id="10" w:name="_Toc9766"/>
      <w:r>
        <w:rPr>
          <w:rFonts w:hint="eastAsia" w:ascii="宋体" w:hAnsi="宋体" w:eastAsia="宋体"/>
          <w:b/>
          <w:bCs/>
          <w:color w:val="auto"/>
          <w:sz w:val="24"/>
          <w:szCs w:val="18"/>
          <w:highlight w:val="none"/>
        </w:rPr>
        <w:t>二</w:t>
      </w:r>
      <w:r>
        <w:rPr>
          <w:rFonts w:hint="eastAsia" w:asciiTheme="minorEastAsia" w:hAnsiTheme="minorEastAsia" w:eastAsiaTheme="minorEastAsia"/>
          <w:b/>
          <w:color w:val="auto"/>
          <w:sz w:val="24"/>
          <w:highlight w:val="none"/>
        </w:rPr>
        <w:t>、</w:t>
      </w:r>
      <w:bookmarkEnd w:id="8"/>
      <w:r>
        <w:rPr>
          <w:rFonts w:hint="eastAsia" w:ascii="宋体" w:hAnsi="宋体" w:eastAsia="宋体"/>
          <w:b/>
          <w:bCs/>
          <w:color w:val="auto"/>
          <w:sz w:val="24"/>
          <w:szCs w:val="18"/>
          <w:highlight w:val="none"/>
        </w:rPr>
        <w:t>申请人的资格要求</w:t>
      </w:r>
      <w:bookmarkEnd w:id="9"/>
      <w:bookmarkEnd w:id="10"/>
    </w:p>
    <w:p w14:paraId="481D89B6">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1.满足《中华人民共和国政府采购法》第二十二条规定；</w:t>
      </w:r>
    </w:p>
    <w:p w14:paraId="2A9C3111">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2.落实政府采购政策需满足的资格要求</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w:t>
      </w:r>
    </w:p>
    <w:p w14:paraId="0ED5DC6F">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3.本项目的特定资格要求：</w:t>
      </w:r>
      <w:r>
        <w:rPr>
          <w:rFonts w:hint="eastAsia" w:asciiTheme="minorEastAsia" w:hAnsiTheme="minorEastAsia" w:eastAsiaTheme="minorEastAsia"/>
          <w:color w:val="auto"/>
          <w:sz w:val="24"/>
          <w:highlight w:val="none"/>
          <w:lang w:val="en-US" w:eastAsia="zh-CN"/>
        </w:rPr>
        <w:t>/。</w:t>
      </w:r>
    </w:p>
    <w:p w14:paraId="3BA13CD6">
      <w:pPr>
        <w:spacing w:line="360" w:lineRule="auto"/>
        <w:ind w:firstLine="435"/>
        <w:outlineLvl w:val="1"/>
        <w:rPr>
          <w:rFonts w:ascii="宋体" w:hAnsi="宋体" w:eastAsia="宋体"/>
          <w:b/>
          <w:bCs/>
          <w:color w:val="auto"/>
          <w:sz w:val="24"/>
          <w:szCs w:val="18"/>
          <w:highlight w:val="none"/>
        </w:rPr>
      </w:pPr>
      <w:bookmarkStart w:id="11" w:name="_Toc4607"/>
      <w:bookmarkStart w:id="12" w:name="_Toc31607"/>
      <w:bookmarkStart w:id="13" w:name="_Toc31469"/>
      <w:r>
        <w:rPr>
          <w:rFonts w:hint="eastAsia" w:ascii="宋体" w:hAnsi="宋体" w:eastAsia="宋体"/>
          <w:b/>
          <w:bCs/>
          <w:color w:val="auto"/>
          <w:sz w:val="24"/>
          <w:szCs w:val="18"/>
          <w:highlight w:val="none"/>
        </w:rPr>
        <w:t>三</w:t>
      </w:r>
      <w:r>
        <w:rPr>
          <w:rFonts w:hint="eastAsia" w:asciiTheme="minorEastAsia" w:hAnsiTheme="minorEastAsia" w:eastAsiaTheme="minorEastAsia"/>
          <w:b/>
          <w:color w:val="auto"/>
          <w:sz w:val="24"/>
          <w:highlight w:val="none"/>
        </w:rPr>
        <w:t>、</w:t>
      </w:r>
      <w:bookmarkEnd w:id="11"/>
      <w:r>
        <w:rPr>
          <w:rFonts w:hint="eastAsia" w:asciiTheme="minorEastAsia" w:hAnsiTheme="minorEastAsia" w:eastAsiaTheme="minorEastAsia"/>
          <w:b/>
          <w:color w:val="auto"/>
          <w:sz w:val="24"/>
          <w:highlight w:val="none"/>
        </w:rPr>
        <w:t>获取采购文件</w:t>
      </w:r>
      <w:bookmarkEnd w:id="12"/>
      <w:bookmarkEnd w:id="13"/>
    </w:p>
    <w:p w14:paraId="3DE512F2">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i/>
          <w:iCs/>
          <w:sz w:val="24"/>
          <w:szCs w:val="24"/>
          <w:highlight w:val="none"/>
        </w:rPr>
      </w:pPr>
      <w:r>
        <w:rPr>
          <w:rFonts w:hint="eastAsia" w:asciiTheme="minorEastAsia" w:hAnsiTheme="minorEastAsia" w:eastAsiaTheme="minorEastAsia" w:cstheme="minorEastAsia"/>
          <w:sz w:val="24"/>
          <w:szCs w:val="24"/>
          <w:highlight w:val="none"/>
        </w:rPr>
        <w:t>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7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27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9</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00</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分前（北京时间）</w:t>
      </w:r>
    </w:p>
    <w:p w14:paraId="63649A3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宋体" w:hAnsi="宋体" w:eastAsia="宋体"/>
          <w:color w:val="auto"/>
          <w:sz w:val="24"/>
          <w:szCs w:val="18"/>
          <w:highlight w:val="none"/>
          <w:u w:val="single"/>
        </w:rPr>
      </w:pPr>
      <w:r>
        <w:rPr>
          <w:rFonts w:hint="eastAsia" w:asciiTheme="minorEastAsia" w:hAnsiTheme="minorEastAsia" w:eastAsiaTheme="minorEastAsia" w:cstheme="minorEastAsia"/>
          <w:sz w:val="24"/>
          <w:szCs w:val="24"/>
          <w:highlight w:val="none"/>
        </w:rPr>
        <w:t>地点：</w:t>
      </w:r>
      <w:r>
        <w:rPr>
          <w:rFonts w:hint="eastAsia" w:asciiTheme="minorEastAsia" w:hAnsiTheme="minorEastAsia" w:eastAsiaTheme="minorEastAsia" w:cstheme="minorEastAsia"/>
          <w:sz w:val="24"/>
          <w:szCs w:val="24"/>
          <w:highlight w:val="none"/>
          <w:u w:val="single"/>
        </w:rPr>
        <w:t>桐城师范高等专科学校官网</w:t>
      </w:r>
    </w:p>
    <w:p w14:paraId="1DFE9CF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方式：</w:t>
      </w:r>
      <w:r>
        <w:rPr>
          <w:rFonts w:hint="eastAsia" w:ascii="宋体" w:hAnsi="宋体" w:eastAsia="宋体"/>
          <w:color w:val="auto"/>
          <w:sz w:val="24"/>
          <w:szCs w:val="18"/>
          <w:highlight w:val="none"/>
          <w:u w:val="single"/>
          <w:lang w:val="en-US" w:eastAsia="zh-CN"/>
        </w:rPr>
        <w:t>桐城师范高等专科学校官网和安庆市公共资源交易服务网“限额以下项目”自行下载</w:t>
      </w:r>
    </w:p>
    <w:p w14:paraId="25763F3E">
      <w:pPr>
        <w:spacing w:line="360" w:lineRule="auto"/>
        <w:ind w:firstLine="435"/>
        <w:outlineLvl w:val="1"/>
        <w:rPr>
          <w:rFonts w:ascii="宋体" w:hAnsi="宋体" w:eastAsia="宋体"/>
          <w:b/>
          <w:bCs/>
          <w:color w:val="auto"/>
          <w:sz w:val="24"/>
          <w:szCs w:val="18"/>
          <w:highlight w:val="none"/>
        </w:rPr>
      </w:pPr>
      <w:bookmarkStart w:id="14" w:name="_Toc19753"/>
      <w:bookmarkStart w:id="15" w:name="_Toc16674"/>
      <w:bookmarkStart w:id="16" w:name="_Toc346"/>
      <w:r>
        <w:rPr>
          <w:rFonts w:hint="eastAsia" w:ascii="宋体" w:hAnsi="宋体" w:eastAsia="宋体"/>
          <w:b/>
          <w:bCs/>
          <w:color w:val="auto"/>
          <w:sz w:val="24"/>
          <w:szCs w:val="18"/>
          <w:highlight w:val="none"/>
        </w:rPr>
        <w:t>四</w:t>
      </w:r>
      <w:r>
        <w:rPr>
          <w:rFonts w:hint="eastAsia" w:asciiTheme="minorEastAsia" w:hAnsiTheme="minorEastAsia" w:eastAsiaTheme="minorEastAsia"/>
          <w:b/>
          <w:color w:val="auto"/>
          <w:sz w:val="24"/>
          <w:highlight w:val="none"/>
        </w:rPr>
        <w:t>、</w:t>
      </w:r>
      <w:bookmarkEnd w:id="14"/>
      <w:r>
        <w:rPr>
          <w:rFonts w:hint="eastAsia" w:ascii="宋体" w:hAnsi="宋体" w:eastAsia="宋体"/>
          <w:b/>
          <w:bCs/>
          <w:color w:val="auto"/>
          <w:sz w:val="24"/>
          <w:highlight w:val="none"/>
        </w:rPr>
        <w:t>响应文件提交</w:t>
      </w:r>
      <w:bookmarkEnd w:id="15"/>
      <w:bookmarkEnd w:id="16"/>
    </w:p>
    <w:p w14:paraId="625C94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r>
        <w:rPr>
          <w:rFonts w:hint="eastAsia" w:asciiTheme="minorEastAsia" w:hAnsiTheme="minorEastAsia" w:eastAsiaTheme="minorEastAsia" w:cstheme="minorEastAsia"/>
          <w:bCs/>
          <w:sz w:val="24"/>
          <w:szCs w:val="24"/>
          <w:highlight w:val="none"/>
          <w:u w:val="none"/>
        </w:rPr>
        <w:t>截止时间：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7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27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9</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00</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分前</w:t>
      </w:r>
      <w:r>
        <w:rPr>
          <w:rFonts w:hint="eastAsia" w:asciiTheme="minorEastAsia" w:hAnsiTheme="minorEastAsia" w:eastAsiaTheme="minorEastAsia" w:cstheme="minorEastAsia"/>
          <w:bCs/>
          <w:sz w:val="24"/>
          <w:szCs w:val="24"/>
          <w:highlight w:val="none"/>
        </w:rPr>
        <w:t>（北京时间）</w:t>
      </w:r>
    </w:p>
    <w:p w14:paraId="5AC9A5E2">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stheme="minorEastAsia"/>
          <w:sz w:val="24"/>
          <w:szCs w:val="24"/>
          <w:highlight w:val="none"/>
        </w:rPr>
        <w:t>地点：</w:t>
      </w:r>
      <w:r>
        <w:rPr>
          <w:rFonts w:hint="eastAsia" w:ascii="宋体" w:hAnsi="宋体" w:eastAsia="宋体"/>
          <w:color w:val="auto"/>
          <w:sz w:val="24"/>
          <w:szCs w:val="18"/>
          <w:highlight w:val="none"/>
          <w:u w:val="single"/>
          <w:lang w:val="en-US" w:eastAsia="zh-CN"/>
        </w:rPr>
        <w:t>纸质响应文件提交至桐城市民营经济开发区朝阳玉雕城A-15</w:t>
      </w:r>
    </w:p>
    <w:p w14:paraId="7DDE2D61">
      <w:pPr>
        <w:spacing w:line="360" w:lineRule="auto"/>
        <w:ind w:firstLine="435"/>
        <w:outlineLvl w:val="1"/>
        <w:rPr>
          <w:rFonts w:ascii="宋体" w:hAnsi="宋体" w:eastAsia="宋体"/>
          <w:b/>
          <w:bCs/>
          <w:color w:val="auto"/>
          <w:sz w:val="24"/>
          <w:szCs w:val="18"/>
          <w:highlight w:val="none"/>
        </w:rPr>
      </w:pPr>
      <w:bookmarkStart w:id="17" w:name="_Toc8953"/>
      <w:bookmarkStart w:id="18" w:name="_Toc10846"/>
      <w:bookmarkStart w:id="19" w:name="_Toc7959"/>
      <w:r>
        <w:rPr>
          <w:rFonts w:hint="eastAsia" w:ascii="宋体" w:hAnsi="宋体" w:eastAsia="宋体"/>
          <w:b/>
          <w:bCs/>
          <w:color w:val="auto"/>
          <w:sz w:val="24"/>
          <w:szCs w:val="18"/>
          <w:highlight w:val="none"/>
        </w:rPr>
        <w:t>五</w:t>
      </w:r>
      <w:r>
        <w:rPr>
          <w:rFonts w:hint="eastAsia" w:asciiTheme="minorEastAsia" w:hAnsiTheme="minorEastAsia" w:eastAsiaTheme="minorEastAsia"/>
          <w:b/>
          <w:color w:val="auto"/>
          <w:sz w:val="24"/>
          <w:highlight w:val="none"/>
        </w:rPr>
        <w:t>、</w:t>
      </w:r>
      <w:bookmarkEnd w:id="17"/>
      <w:r>
        <w:rPr>
          <w:rFonts w:hint="eastAsia" w:ascii="宋体" w:hAnsi="宋体" w:eastAsia="宋体"/>
          <w:b/>
          <w:bCs/>
          <w:color w:val="auto"/>
          <w:sz w:val="24"/>
          <w:highlight w:val="none"/>
        </w:rPr>
        <w:t>开启</w:t>
      </w:r>
      <w:bookmarkEnd w:id="18"/>
      <w:bookmarkEnd w:id="19"/>
    </w:p>
    <w:p w14:paraId="56F1EB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u w:val="none"/>
        </w:rPr>
        <w:t>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7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27</w:t>
      </w:r>
      <w:bookmarkStart w:id="132" w:name="_GoBack"/>
      <w:bookmarkEnd w:id="132"/>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9</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00</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分</w:t>
      </w:r>
      <w:r>
        <w:rPr>
          <w:rFonts w:hint="eastAsia" w:asciiTheme="minorEastAsia" w:hAnsiTheme="minorEastAsia" w:eastAsiaTheme="minorEastAsia" w:cstheme="minorEastAsia"/>
          <w:bCs/>
          <w:sz w:val="24"/>
          <w:szCs w:val="24"/>
          <w:highlight w:val="none"/>
        </w:rPr>
        <w:t>（北京时间）</w:t>
      </w:r>
    </w:p>
    <w:p w14:paraId="5D701E8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olor w:val="auto"/>
          <w:sz w:val="24"/>
          <w:szCs w:val="18"/>
          <w:highlight w:val="none"/>
        </w:rPr>
      </w:pPr>
      <w:r>
        <w:rPr>
          <w:rFonts w:hint="eastAsia" w:asciiTheme="minorEastAsia" w:hAnsiTheme="minorEastAsia" w:eastAsiaTheme="minorEastAsia" w:cstheme="minorEastAsia"/>
          <w:sz w:val="24"/>
          <w:szCs w:val="24"/>
          <w:highlight w:val="none"/>
        </w:rPr>
        <w:t>地点：</w:t>
      </w:r>
      <w:r>
        <w:rPr>
          <w:rFonts w:hint="eastAsia" w:ascii="宋体" w:hAnsi="宋体" w:eastAsia="宋体"/>
          <w:color w:val="auto"/>
          <w:sz w:val="24"/>
          <w:szCs w:val="18"/>
          <w:highlight w:val="none"/>
          <w:u w:val="single"/>
          <w:lang w:val="en-US" w:eastAsia="zh-CN"/>
        </w:rPr>
        <w:t>桐城市民营经济开发区朝阳玉雕城A-15</w:t>
      </w:r>
    </w:p>
    <w:p w14:paraId="20B1FAE1">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20" w:name="_Toc16124"/>
      <w:bookmarkStart w:id="21" w:name="_Toc14575"/>
      <w:bookmarkStart w:id="22" w:name="_Toc16203"/>
      <w:r>
        <w:rPr>
          <w:rFonts w:hint="eastAsia" w:ascii="宋体" w:hAnsi="宋体" w:eastAsia="宋体"/>
          <w:b/>
          <w:bCs/>
          <w:color w:val="auto"/>
          <w:sz w:val="24"/>
          <w:szCs w:val="18"/>
          <w:highlight w:val="none"/>
          <w:lang w:val="en-US" w:eastAsia="zh-CN"/>
        </w:rPr>
        <w:t>六</w:t>
      </w:r>
      <w:r>
        <w:rPr>
          <w:rFonts w:hint="eastAsia" w:ascii="宋体" w:hAnsi="宋体" w:eastAsia="宋体"/>
          <w:b/>
          <w:bCs/>
          <w:color w:val="auto"/>
          <w:sz w:val="24"/>
          <w:szCs w:val="18"/>
          <w:highlight w:val="none"/>
        </w:rPr>
        <w:t>、公告期限</w:t>
      </w:r>
      <w:bookmarkEnd w:id="20"/>
      <w:bookmarkEnd w:id="21"/>
    </w:p>
    <w:p w14:paraId="32F58A5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r>
        <w:rPr>
          <w:rFonts w:hint="eastAsia" w:asciiTheme="minorEastAsia" w:hAnsiTheme="minorEastAsia" w:eastAsiaTheme="minorEastAsia" w:cstheme="minorEastAsia"/>
          <w:bCs/>
          <w:sz w:val="24"/>
          <w:szCs w:val="24"/>
          <w:highlight w:val="none"/>
          <w:u w:val="none"/>
        </w:rPr>
        <w:t>自本公告发布之日起3个工作日。</w:t>
      </w:r>
    </w:p>
    <w:p w14:paraId="681463CF">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23" w:name="_Toc16366"/>
      <w:bookmarkStart w:id="24" w:name="_Toc21264"/>
      <w:bookmarkStart w:id="25" w:name="_Toc35393626"/>
      <w:bookmarkStart w:id="26" w:name="_Toc35393795"/>
      <w:r>
        <w:rPr>
          <w:rFonts w:hint="eastAsia" w:ascii="宋体" w:hAnsi="宋体" w:eastAsia="宋体"/>
          <w:b/>
          <w:bCs/>
          <w:color w:val="auto"/>
          <w:sz w:val="24"/>
          <w:szCs w:val="18"/>
          <w:highlight w:val="none"/>
          <w:lang w:val="en-US" w:eastAsia="zh-CN"/>
        </w:rPr>
        <w:t>七</w:t>
      </w:r>
      <w:r>
        <w:rPr>
          <w:rFonts w:hint="eastAsia" w:ascii="宋体" w:hAnsi="宋体" w:eastAsia="宋体"/>
          <w:b/>
          <w:bCs/>
          <w:color w:val="auto"/>
          <w:sz w:val="24"/>
          <w:szCs w:val="18"/>
          <w:highlight w:val="none"/>
        </w:rPr>
        <w:t>、其他补充事宜</w:t>
      </w:r>
      <w:bookmarkEnd w:id="23"/>
      <w:bookmarkEnd w:id="24"/>
      <w:bookmarkEnd w:id="25"/>
      <w:bookmarkEnd w:id="26"/>
    </w:p>
    <w:p w14:paraId="264F4CFD">
      <w:pPr>
        <w:spacing w:line="360" w:lineRule="auto"/>
        <w:ind w:firstLine="435"/>
        <w:outlineLvl w:val="1"/>
        <w:rPr>
          <w:rFonts w:hint="eastAsia" w:ascii="宋体" w:hAnsi="宋体" w:eastAsia="宋体"/>
          <w:b w:val="0"/>
          <w:bCs w:val="0"/>
          <w:color w:val="auto"/>
          <w:sz w:val="24"/>
          <w:szCs w:val="18"/>
          <w:highlight w:val="none"/>
          <w:lang w:val="en-US" w:eastAsia="zh-CN"/>
        </w:rPr>
      </w:pPr>
      <w:bookmarkStart w:id="27" w:name="_Toc7755"/>
      <w:bookmarkStart w:id="28" w:name="_Toc24122"/>
      <w:r>
        <w:rPr>
          <w:rFonts w:hint="eastAsia" w:ascii="宋体" w:hAnsi="宋体" w:eastAsia="宋体"/>
          <w:b w:val="0"/>
          <w:bCs w:val="0"/>
          <w:color w:val="auto"/>
          <w:sz w:val="24"/>
          <w:szCs w:val="18"/>
          <w:highlight w:val="none"/>
          <w:lang w:val="en-US" w:eastAsia="zh-CN"/>
        </w:rPr>
        <w:t xml:space="preserve">1.响应文件要求：投标时需将“响应文件”分正/副本（一正、一副）一起装袋密封，响应文件的密封袋的封口骑缝处应加盖供应商公章。响应文件未按要求装订密封，现场报名时招标代理将拒绝接收。 </w:t>
      </w:r>
    </w:p>
    <w:p w14:paraId="61C7E2AF">
      <w:pPr>
        <w:spacing w:line="360" w:lineRule="auto"/>
        <w:ind w:firstLine="435"/>
        <w:outlineLvl w:val="1"/>
        <w:rPr>
          <w:rFonts w:hint="eastAsia" w:ascii="宋体" w:hAnsi="宋体" w:eastAsia="宋体"/>
          <w:b w:val="0"/>
          <w:bCs w:val="0"/>
          <w:color w:val="auto"/>
          <w:sz w:val="24"/>
          <w:szCs w:val="18"/>
          <w:highlight w:val="none"/>
          <w:lang w:val="en-US" w:eastAsia="zh-CN"/>
        </w:rPr>
      </w:pPr>
      <w:r>
        <w:rPr>
          <w:rFonts w:hint="eastAsia" w:ascii="宋体" w:hAnsi="宋体" w:eastAsia="宋体"/>
          <w:b w:val="0"/>
          <w:bCs w:val="0"/>
          <w:color w:val="auto"/>
          <w:sz w:val="24"/>
          <w:szCs w:val="18"/>
          <w:highlight w:val="none"/>
          <w:lang w:val="en-US" w:eastAsia="zh-CN"/>
        </w:rPr>
        <w:t>2.中标单位应按照中标通知书要求及时与采购人签订合同并完成备案，否则将记入不良行为记录，并予以披露。</w:t>
      </w:r>
    </w:p>
    <w:p w14:paraId="685F590A">
      <w:pPr>
        <w:spacing w:line="360" w:lineRule="auto"/>
        <w:ind w:firstLine="435"/>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lang w:val="en-US" w:eastAsia="zh-CN"/>
        </w:rPr>
        <w:t>八</w:t>
      </w:r>
      <w:r>
        <w:rPr>
          <w:rFonts w:hint="eastAsia" w:asciiTheme="minorEastAsia" w:hAnsiTheme="minorEastAsia" w:eastAsiaTheme="minorEastAsia"/>
          <w:b/>
          <w:color w:val="auto"/>
          <w:sz w:val="24"/>
          <w:highlight w:val="none"/>
        </w:rPr>
        <w:t>、</w:t>
      </w:r>
      <w:bookmarkEnd w:id="22"/>
      <w:r>
        <w:rPr>
          <w:rFonts w:hint="eastAsia" w:ascii="宋体" w:hAnsi="宋体" w:eastAsia="宋体"/>
          <w:b/>
          <w:bCs/>
          <w:color w:val="auto"/>
          <w:sz w:val="24"/>
          <w:szCs w:val="18"/>
          <w:highlight w:val="none"/>
        </w:rPr>
        <w:t>凡对本次采购提出询问，请按以下方式联系</w:t>
      </w:r>
      <w:bookmarkEnd w:id="27"/>
      <w:bookmarkEnd w:id="28"/>
    </w:p>
    <w:p w14:paraId="1060BC18">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1.采购人信息</w:t>
      </w:r>
    </w:p>
    <w:p w14:paraId="58CB20EC">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名称：桐城师范高等专科学校</w:t>
      </w:r>
    </w:p>
    <w:p w14:paraId="2B14A2B5">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地址：安徽省桐城市经开区学苑路199号</w:t>
      </w:r>
    </w:p>
    <w:p w14:paraId="7A1499A1">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联系人：陶老师          联系方式：</w:t>
      </w:r>
      <w:r>
        <w:rPr>
          <w:rFonts w:hint="eastAsia" w:ascii="宋体" w:hAnsi="宋体" w:eastAsia="宋体"/>
          <w:color w:val="auto"/>
          <w:sz w:val="24"/>
          <w:szCs w:val="18"/>
          <w:highlight w:val="none"/>
        </w:rPr>
        <w:t>0556-</w:t>
      </w:r>
      <w:r>
        <w:rPr>
          <w:rFonts w:hint="eastAsia" w:ascii="宋体" w:hAnsi="宋体" w:eastAsia="宋体"/>
          <w:color w:val="auto"/>
          <w:sz w:val="24"/>
          <w:szCs w:val="18"/>
          <w:highlight w:val="none"/>
          <w:lang w:val="en-US" w:eastAsia="zh-CN"/>
        </w:rPr>
        <w:t>6181561</w:t>
      </w:r>
    </w:p>
    <w:p w14:paraId="7577A762">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2.采购代理机构信息</w:t>
      </w:r>
    </w:p>
    <w:p w14:paraId="2275BE02">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名称：安徽文都招标代理咨询有限公司</w:t>
      </w:r>
    </w:p>
    <w:p w14:paraId="2ADF2CD4">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地址：桐城市民营经济开发区朝阳玉雕城A-15</w:t>
      </w:r>
    </w:p>
    <w:p w14:paraId="34E18E88">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联系人：叶女士           联系电话：0556-6567777</w:t>
      </w:r>
    </w:p>
    <w:p w14:paraId="00ED2FFC">
      <w:pPr>
        <w:spacing w:line="360" w:lineRule="auto"/>
        <w:ind w:firstLine="435"/>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br w:type="page"/>
      </w:r>
    </w:p>
    <w:bookmarkEnd w:id="3"/>
    <w:p w14:paraId="417B9442">
      <w:pPr>
        <w:pStyle w:val="3"/>
        <w:tabs>
          <w:tab w:val="left" w:pos="1440"/>
          <w:tab w:val="left" w:pos="5670"/>
        </w:tabs>
        <w:spacing w:before="62" w:beforeLines="20" w:after="62" w:afterLines="20" w:line="480" w:lineRule="exact"/>
        <w:ind w:firstLine="0" w:firstLineChars="0"/>
        <w:jc w:val="center"/>
        <w:rPr>
          <w:rFonts w:ascii="Arial" w:hAnsi="Arial"/>
          <w:color w:val="auto"/>
          <w:kern w:val="2"/>
          <w:sz w:val="32"/>
          <w:szCs w:val="32"/>
          <w:highlight w:val="none"/>
        </w:rPr>
      </w:pPr>
      <w:bookmarkStart w:id="29" w:name="_Toc11266"/>
      <w:bookmarkStart w:id="30" w:name="_Toc54941329"/>
      <w:bookmarkStart w:id="31" w:name="_Toc26069"/>
      <w:bookmarkStart w:id="32" w:name="_Toc439316872"/>
      <w:bookmarkStart w:id="33" w:name="_Toc54941331"/>
      <w:bookmarkStart w:id="34" w:name="_Toc2521"/>
      <w:r>
        <w:rPr>
          <w:rFonts w:hint="eastAsia" w:ascii="Arial" w:hAnsi="Arial"/>
          <w:color w:val="auto"/>
          <w:kern w:val="2"/>
          <w:sz w:val="32"/>
          <w:szCs w:val="32"/>
          <w:highlight w:val="none"/>
        </w:rPr>
        <w:t>第二章</w:t>
      </w:r>
      <w:r>
        <w:rPr>
          <w:rFonts w:ascii="Arial" w:hAnsi="Arial"/>
          <w:color w:val="auto"/>
          <w:kern w:val="2"/>
          <w:sz w:val="32"/>
          <w:szCs w:val="32"/>
          <w:highlight w:val="none"/>
        </w:rPr>
        <w:t xml:space="preserve">   </w:t>
      </w:r>
      <w:bookmarkEnd w:id="29"/>
      <w:bookmarkEnd w:id="30"/>
      <w:bookmarkEnd w:id="31"/>
      <w:r>
        <w:rPr>
          <w:rFonts w:hint="eastAsia" w:ascii="Arial" w:hAnsi="Arial"/>
          <w:color w:val="auto"/>
          <w:kern w:val="2"/>
          <w:sz w:val="32"/>
          <w:szCs w:val="32"/>
          <w:highlight w:val="none"/>
        </w:rPr>
        <w:t>供应商</w:t>
      </w:r>
      <w:r>
        <w:rPr>
          <w:rFonts w:ascii="Arial" w:hAnsi="Arial"/>
          <w:color w:val="auto"/>
          <w:kern w:val="2"/>
          <w:sz w:val="32"/>
          <w:szCs w:val="32"/>
          <w:highlight w:val="none"/>
        </w:rPr>
        <w:t>须知</w:t>
      </w:r>
    </w:p>
    <w:p w14:paraId="62BB8DF9">
      <w:pPr>
        <w:pStyle w:val="4"/>
        <w:rPr>
          <w:rFonts w:hint="eastAsia" w:eastAsia="宋体" w:cs="Tahoma"/>
          <w:bCs/>
          <w:color w:val="auto"/>
          <w:kern w:val="0"/>
          <w:sz w:val="28"/>
          <w:szCs w:val="28"/>
          <w:highlight w:val="none"/>
          <w:lang w:eastAsia="zh-CN"/>
        </w:rPr>
      </w:pPr>
      <w:bookmarkStart w:id="35" w:name="_Toc54941330"/>
      <w:bookmarkStart w:id="36" w:name="_Toc439316871"/>
      <w:bookmarkStart w:id="37" w:name="_Toc17862"/>
      <w:r>
        <w:rPr>
          <w:rFonts w:hint="eastAsia" w:cs="Tahoma"/>
          <w:bCs/>
          <w:color w:val="auto"/>
          <w:kern w:val="0"/>
          <w:sz w:val="28"/>
          <w:szCs w:val="28"/>
          <w:highlight w:val="none"/>
        </w:rPr>
        <w:t>一</w:t>
      </w:r>
      <w:bookmarkEnd w:id="35"/>
      <w:bookmarkEnd w:id="36"/>
      <w:bookmarkEnd w:id="37"/>
      <w:r>
        <w:rPr>
          <w:rFonts w:hint="eastAsia" w:cs="Tahoma"/>
          <w:bCs/>
          <w:color w:val="auto"/>
          <w:kern w:val="0"/>
          <w:sz w:val="28"/>
          <w:szCs w:val="28"/>
          <w:highlight w:val="none"/>
          <w:lang w:eastAsia="zh-CN"/>
        </w:rPr>
        <w:t>、</w:t>
      </w:r>
      <w:r>
        <w:rPr>
          <w:rFonts w:hint="eastAsia" w:cs="Tahoma"/>
          <w:bCs/>
          <w:color w:val="auto"/>
          <w:kern w:val="0"/>
          <w:sz w:val="28"/>
          <w:szCs w:val="28"/>
          <w:highlight w:val="none"/>
        </w:rPr>
        <w:t>供应商</w:t>
      </w:r>
      <w:r>
        <w:rPr>
          <w:rFonts w:cs="Tahoma"/>
          <w:bCs/>
          <w:color w:val="auto"/>
          <w:kern w:val="0"/>
          <w:sz w:val="28"/>
          <w:szCs w:val="28"/>
          <w:highlight w:val="none"/>
        </w:rPr>
        <w:t>须知前附表</w:t>
      </w:r>
    </w:p>
    <w:tbl>
      <w:tblPr>
        <w:tblStyle w:val="41"/>
        <w:tblW w:w="1029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7"/>
        <w:gridCol w:w="2341"/>
        <w:gridCol w:w="6898"/>
      </w:tblGrid>
      <w:tr w14:paraId="44360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61D919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2341" w:type="dxa"/>
            <w:tcBorders>
              <w:top w:val="single" w:color="auto" w:sz="4" w:space="0"/>
              <w:left w:val="single" w:color="auto" w:sz="4" w:space="0"/>
              <w:bottom w:val="single" w:color="auto" w:sz="4" w:space="0"/>
              <w:right w:val="single" w:color="auto" w:sz="4" w:space="0"/>
            </w:tcBorders>
          </w:tcPr>
          <w:p w14:paraId="7E9374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内容</w:t>
            </w:r>
          </w:p>
        </w:tc>
        <w:tc>
          <w:tcPr>
            <w:tcW w:w="6898" w:type="dxa"/>
            <w:tcBorders>
              <w:top w:val="single" w:color="auto" w:sz="4" w:space="0"/>
              <w:left w:val="single" w:color="auto" w:sz="4" w:space="0"/>
              <w:bottom w:val="single" w:color="auto" w:sz="4" w:space="0"/>
            </w:tcBorders>
            <w:vAlign w:val="center"/>
          </w:tcPr>
          <w:p w14:paraId="32035F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bCs/>
                <w:sz w:val="24"/>
                <w:szCs w:val="24"/>
              </w:rPr>
            </w:pPr>
            <w:r>
              <w:rPr>
                <w:rFonts w:hint="eastAsia"/>
                <w:b/>
                <w:bCs/>
                <w:sz w:val="24"/>
                <w:szCs w:val="24"/>
              </w:rPr>
              <w:t>说明与要求</w:t>
            </w:r>
          </w:p>
        </w:tc>
      </w:tr>
      <w:tr w14:paraId="2A1352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57" w:type="dxa"/>
            <w:tcBorders>
              <w:top w:val="single" w:color="auto" w:sz="4" w:space="0"/>
              <w:bottom w:val="single" w:color="auto" w:sz="4" w:space="0"/>
              <w:right w:val="single" w:color="auto" w:sz="4" w:space="0"/>
            </w:tcBorders>
            <w:vAlign w:val="center"/>
          </w:tcPr>
          <w:p w14:paraId="250DD6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val="en-US" w:eastAsia="zh-CN"/>
              </w:rPr>
              <w:t>1</w:t>
            </w:r>
          </w:p>
        </w:tc>
        <w:tc>
          <w:tcPr>
            <w:tcW w:w="2341" w:type="dxa"/>
            <w:tcBorders>
              <w:top w:val="single" w:color="auto" w:sz="4" w:space="0"/>
              <w:left w:val="single" w:color="auto" w:sz="4" w:space="0"/>
              <w:bottom w:val="single" w:color="auto" w:sz="4" w:space="0"/>
              <w:right w:val="single" w:color="auto" w:sz="4" w:space="0"/>
            </w:tcBorders>
            <w:vAlign w:val="center"/>
          </w:tcPr>
          <w:p w14:paraId="7D6298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采购人</w:t>
            </w:r>
          </w:p>
        </w:tc>
        <w:tc>
          <w:tcPr>
            <w:tcW w:w="6898" w:type="dxa"/>
            <w:tcBorders>
              <w:top w:val="single" w:color="auto" w:sz="4" w:space="0"/>
              <w:left w:val="single" w:color="auto" w:sz="4" w:space="0"/>
              <w:bottom w:val="single" w:color="auto" w:sz="4" w:space="0"/>
            </w:tcBorders>
            <w:vAlign w:val="center"/>
          </w:tcPr>
          <w:p w14:paraId="7DC7E68B">
            <w:pPr>
              <w:pageBreakBefore w:val="0"/>
              <w:widowControl/>
              <w:kinsoku/>
              <w:overflowPunct/>
              <w:topLinePunct w:val="0"/>
              <w:bidi w:val="0"/>
              <w:snapToGrid w:val="0"/>
              <w:spacing w:line="440" w:lineRule="exact"/>
              <w:jc w:val="left"/>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桐城师范高等专科学校</w:t>
            </w:r>
          </w:p>
        </w:tc>
      </w:tr>
      <w:tr w14:paraId="127939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5927D6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val="en-US" w:eastAsia="zh-CN"/>
              </w:rPr>
              <w:t>2</w:t>
            </w:r>
          </w:p>
        </w:tc>
        <w:tc>
          <w:tcPr>
            <w:tcW w:w="2341" w:type="dxa"/>
            <w:tcBorders>
              <w:top w:val="single" w:color="auto" w:sz="4" w:space="0"/>
              <w:left w:val="single" w:color="auto" w:sz="4" w:space="0"/>
              <w:bottom w:val="single" w:color="auto" w:sz="4" w:space="0"/>
              <w:right w:val="single" w:color="auto" w:sz="4" w:space="0"/>
            </w:tcBorders>
            <w:vAlign w:val="center"/>
          </w:tcPr>
          <w:p w14:paraId="61BA62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w:t>
            </w:r>
            <w:r>
              <w:rPr>
                <w:rFonts w:hint="eastAsia" w:asciiTheme="minorEastAsia" w:hAnsiTheme="minorEastAsia" w:eastAsiaTheme="minorEastAsia" w:cstheme="minorEastAsia"/>
                <w:lang w:val="en-US" w:eastAsia="zh-CN"/>
              </w:rPr>
              <w:t>代理</w:t>
            </w:r>
            <w:r>
              <w:rPr>
                <w:rFonts w:hint="eastAsia" w:asciiTheme="minorEastAsia" w:hAnsiTheme="minorEastAsia" w:eastAsiaTheme="minorEastAsia" w:cstheme="minorEastAsia"/>
              </w:rPr>
              <w:t>机构</w:t>
            </w:r>
          </w:p>
        </w:tc>
        <w:tc>
          <w:tcPr>
            <w:tcW w:w="6898" w:type="dxa"/>
            <w:tcBorders>
              <w:top w:val="single" w:color="auto" w:sz="4" w:space="0"/>
              <w:left w:val="single" w:color="auto" w:sz="4" w:space="0"/>
              <w:bottom w:val="single" w:color="auto" w:sz="4" w:space="0"/>
            </w:tcBorders>
            <w:vAlign w:val="center"/>
          </w:tcPr>
          <w:p w14:paraId="70B3BC7A">
            <w:pPr>
              <w:pageBreakBefore w:val="0"/>
              <w:kinsoku/>
              <w:overflowPunct/>
              <w:topLinePunct w:val="0"/>
              <w:bidi w:val="0"/>
              <w:snapToGrid w:val="0"/>
              <w:spacing w:line="440" w:lineRule="exact"/>
              <w:jc w:val="left"/>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安徽文都招标代理咨询有限公司</w:t>
            </w:r>
          </w:p>
        </w:tc>
      </w:tr>
      <w:tr w14:paraId="4DECC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057" w:type="dxa"/>
            <w:tcBorders>
              <w:top w:val="single" w:color="auto" w:sz="4" w:space="0"/>
              <w:bottom w:val="single" w:color="auto" w:sz="4" w:space="0"/>
              <w:right w:val="single" w:color="auto" w:sz="4" w:space="0"/>
            </w:tcBorders>
            <w:vAlign w:val="center"/>
          </w:tcPr>
          <w:p w14:paraId="7E95B2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3</w:t>
            </w:r>
          </w:p>
        </w:tc>
        <w:tc>
          <w:tcPr>
            <w:tcW w:w="2341" w:type="dxa"/>
            <w:tcBorders>
              <w:top w:val="single" w:color="auto" w:sz="4" w:space="0"/>
              <w:left w:val="single" w:color="auto" w:sz="4" w:space="0"/>
              <w:bottom w:val="single" w:color="auto" w:sz="4" w:space="0"/>
              <w:right w:val="single" w:color="auto" w:sz="4" w:space="0"/>
            </w:tcBorders>
            <w:vAlign w:val="center"/>
          </w:tcPr>
          <w:p w14:paraId="33DFAF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申请人（供应商）</w:t>
            </w:r>
            <w:r>
              <w:rPr>
                <w:rFonts w:hint="eastAsia" w:asciiTheme="minorEastAsia" w:hAnsiTheme="minorEastAsia" w:eastAsiaTheme="minorEastAsia" w:cstheme="minorEastAsia"/>
              </w:rPr>
              <w:t>资格要求</w:t>
            </w:r>
          </w:p>
        </w:tc>
        <w:tc>
          <w:tcPr>
            <w:tcW w:w="6898" w:type="dxa"/>
            <w:tcBorders>
              <w:top w:val="single" w:color="auto" w:sz="4" w:space="0"/>
              <w:left w:val="single" w:color="auto" w:sz="4" w:space="0"/>
              <w:bottom w:val="single" w:color="auto" w:sz="4" w:space="0"/>
            </w:tcBorders>
            <w:vAlign w:val="center"/>
          </w:tcPr>
          <w:p w14:paraId="27FE7CE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详见竞争性磋商公告</w:t>
            </w:r>
          </w:p>
        </w:tc>
      </w:tr>
      <w:tr w14:paraId="3FF3D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1057" w:type="dxa"/>
            <w:tcBorders>
              <w:top w:val="single" w:color="auto" w:sz="4" w:space="0"/>
              <w:bottom w:val="single" w:color="auto" w:sz="4" w:space="0"/>
              <w:right w:val="single" w:color="auto" w:sz="4" w:space="0"/>
            </w:tcBorders>
            <w:vAlign w:val="center"/>
          </w:tcPr>
          <w:p w14:paraId="163F2D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4</w:t>
            </w:r>
          </w:p>
        </w:tc>
        <w:tc>
          <w:tcPr>
            <w:tcW w:w="2341" w:type="dxa"/>
            <w:tcBorders>
              <w:top w:val="single" w:color="auto" w:sz="4" w:space="0"/>
              <w:left w:val="single" w:color="auto" w:sz="4" w:space="0"/>
              <w:bottom w:val="single" w:color="auto" w:sz="4" w:space="0"/>
              <w:right w:val="single" w:color="auto" w:sz="4" w:space="0"/>
            </w:tcBorders>
            <w:vAlign w:val="center"/>
          </w:tcPr>
          <w:p w14:paraId="0893C8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现场考察</w:t>
            </w:r>
          </w:p>
        </w:tc>
        <w:tc>
          <w:tcPr>
            <w:tcW w:w="6898" w:type="dxa"/>
            <w:tcBorders>
              <w:top w:val="single" w:color="auto" w:sz="4" w:space="0"/>
              <w:left w:val="single" w:color="auto" w:sz="4" w:space="0"/>
              <w:bottom w:val="single" w:color="auto" w:sz="4" w:space="0"/>
            </w:tcBorders>
            <w:vAlign w:val="center"/>
          </w:tcPr>
          <w:p w14:paraId="62E4DD6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响应人</w:t>
            </w:r>
            <w:r>
              <w:rPr>
                <w:rFonts w:hint="eastAsia" w:asciiTheme="minorEastAsia" w:hAnsiTheme="minorEastAsia" w:eastAsiaTheme="minorEastAsia" w:cstheme="minorEastAsia"/>
              </w:rPr>
              <w:t>自行考察</w:t>
            </w:r>
          </w:p>
        </w:tc>
      </w:tr>
      <w:tr w14:paraId="434E6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200120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5</w:t>
            </w:r>
          </w:p>
        </w:tc>
        <w:tc>
          <w:tcPr>
            <w:tcW w:w="2341" w:type="dxa"/>
            <w:tcBorders>
              <w:top w:val="single" w:color="auto" w:sz="4" w:space="0"/>
              <w:left w:val="single" w:color="auto" w:sz="4" w:space="0"/>
              <w:bottom w:val="single" w:color="auto" w:sz="4" w:space="0"/>
              <w:right w:val="single" w:color="auto" w:sz="4" w:space="0"/>
            </w:tcBorders>
            <w:vAlign w:val="center"/>
          </w:tcPr>
          <w:p w14:paraId="2FFB3C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包别划分</w:t>
            </w:r>
          </w:p>
        </w:tc>
        <w:tc>
          <w:tcPr>
            <w:tcW w:w="6898" w:type="dxa"/>
            <w:tcBorders>
              <w:top w:val="single" w:color="auto" w:sz="4" w:space="0"/>
              <w:left w:val="single" w:color="auto" w:sz="4" w:space="0"/>
              <w:bottom w:val="single" w:color="auto" w:sz="4" w:space="0"/>
            </w:tcBorders>
            <w:vAlign w:val="center"/>
          </w:tcPr>
          <w:p w14:paraId="43F7CC8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auto"/>
                <w:szCs w:val="21"/>
                <w:highlight w:val="none"/>
                <w:lang w:val="en-US" w:eastAsia="zh-CN"/>
              </w:rPr>
              <w:t>一个包</w:t>
            </w:r>
          </w:p>
        </w:tc>
      </w:tr>
      <w:tr w14:paraId="685C4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057" w:type="dxa"/>
            <w:tcBorders>
              <w:top w:val="single" w:color="auto" w:sz="4" w:space="0"/>
              <w:bottom w:val="single" w:color="auto" w:sz="4" w:space="0"/>
              <w:right w:val="single" w:color="auto" w:sz="4" w:space="0"/>
            </w:tcBorders>
            <w:vAlign w:val="center"/>
          </w:tcPr>
          <w:p w14:paraId="37D469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6</w:t>
            </w:r>
          </w:p>
        </w:tc>
        <w:tc>
          <w:tcPr>
            <w:tcW w:w="2341" w:type="dxa"/>
            <w:tcBorders>
              <w:top w:val="single" w:color="auto" w:sz="4" w:space="0"/>
              <w:left w:val="single" w:color="auto" w:sz="4" w:space="0"/>
              <w:bottom w:val="single" w:color="auto" w:sz="4" w:space="0"/>
              <w:right w:val="single" w:color="auto" w:sz="4" w:space="0"/>
            </w:tcBorders>
            <w:vAlign w:val="center"/>
          </w:tcPr>
          <w:p w14:paraId="73D4CA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有效期</w:t>
            </w:r>
          </w:p>
        </w:tc>
        <w:tc>
          <w:tcPr>
            <w:tcW w:w="6898" w:type="dxa"/>
            <w:tcBorders>
              <w:top w:val="single" w:color="auto" w:sz="4" w:space="0"/>
              <w:left w:val="single" w:color="auto" w:sz="4" w:space="0"/>
              <w:bottom w:val="single" w:color="auto" w:sz="4" w:space="0"/>
            </w:tcBorders>
            <w:vAlign w:val="center"/>
          </w:tcPr>
          <w:p w14:paraId="0ED9365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color w:val="auto"/>
                <w:szCs w:val="21"/>
                <w:highlight w:val="none"/>
                <w:u w:val="single"/>
              </w:rPr>
              <w:t>90日历天（从响应文件提交截止时间算起）</w:t>
            </w:r>
          </w:p>
        </w:tc>
      </w:tr>
      <w:tr w14:paraId="1F099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057" w:type="dxa"/>
            <w:tcBorders>
              <w:top w:val="single" w:color="auto" w:sz="4" w:space="0"/>
              <w:bottom w:val="single" w:color="auto" w:sz="4" w:space="0"/>
              <w:right w:val="single" w:color="auto" w:sz="4" w:space="0"/>
            </w:tcBorders>
            <w:vAlign w:val="center"/>
          </w:tcPr>
          <w:p w14:paraId="701C19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7</w:t>
            </w:r>
          </w:p>
        </w:tc>
        <w:tc>
          <w:tcPr>
            <w:tcW w:w="2341" w:type="dxa"/>
            <w:tcBorders>
              <w:top w:val="single" w:color="auto" w:sz="4" w:space="0"/>
              <w:left w:val="single" w:color="auto" w:sz="4" w:space="0"/>
              <w:bottom w:val="single" w:color="auto" w:sz="4" w:space="0"/>
              <w:right w:val="single" w:color="auto" w:sz="4" w:space="0"/>
            </w:tcBorders>
            <w:vAlign w:val="center"/>
          </w:tcPr>
          <w:p w14:paraId="5BE397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响应文件要求</w:t>
            </w:r>
          </w:p>
        </w:tc>
        <w:tc>
          <w:tcPr>
            <w:tcW w:w="6898" w:type="dxa"/>
            <w:tcBorders>
              <w:top w:val="single" w:color="auto" w:sz="4" w:space="0"/>
              <w:left w:val="single" w:color="auto" w:sz="4" w:space="0"/>
              <w:bottom w:val="single" w:color="auto" w:sz="4" w:space="0"/>
            </w:tcBorders>
            <w:vAlign w:val="center"/>
          </w:tcPr>
          <w:p w14:paraId="548DB967">
            <w:pPr>
              <w:pageBreakBefore w:val="0"/>
              <w:kinsoku/>
              <w:overflowPunct/>
              <w:topLinePunct w:val="0"/>
              <w:bidi w:val="0"/>
              <w:snapToGrid w:val="0"/>
              <w:spacing w:line="440" w:lineRule="exact"/>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（1）供应商的响应文件需胶装成册，所附材料须按规定填写，并按要求签字盖章，否则按废标处理。</w:t>
            </w:r>
          </w:p>
          <w:p w14:paraId="27565755">
            <w:pPr>
              <w:pageBreakBefore w:val="0"/>
              <w:kinsoku/>
              <w:overflowPunct/>
              <w:topLinePunct w:val="0"/>
              <w:bidi w:val="0"/>
              <w:snapToGrid w:val="0"/>
              <w:spacing w:line="440" w:lineRule="exact"/>
              <w:rPr>
                <w:rFonts w:hint="default"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（2）供应商需携带授权委托书递交响应文件，否则现场报名时招标代理将拒绝接收。</w:t>
            </w:r>
          </w:p>
          <w:p w14:paraId="0BF03671">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heme="minorEastAsia" w:hAnsiTheme="minorEastAsia" w:eastAsiaTheme="minorEastAsia" w:cstheme="minorEastAsia"/>
                <w:lang w:val="en-US"/>
              </w:rPr>
            </w:pPr>
            <w:r>
              <w:rPr>
                <w:rFonts w:hint="eastAsia" w:ascii="宋体" w:hAnsi="宋体" w:eastAsia="宋体" w:cs="宋体"/>
                <w:b w:val="0"/>
                <w:bCs w:val="0"/>
                <w:color w:val="auto"/>
                <w:kern w:val="0"/>
                <w:sz w:val="21"/>
                <w:szCs w:val="21"/>
                <w:highlight w:val="none"/>
                <w:lang w:val="en-US" w:eastAsia="zh-CN" w:bidi="ar"/>
              </w:rPr>
              <w:t>（3）法定代表人递交响应文件无需授权委托书，提供身份证明即可。</w:t>
            </w:r>
          </w:p>
        </w:tc>
      </w:tr>
      <w:tr w14:paraId="08CC8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057" w:type="dxa"/>
            <w:tcBorders>
              <w:top w:val="single" w:color="auto" w:sz="4" w:space="0"/>
              <w:bottom w:val="single" w:color="auto" w:sz="4" w:space="0"/>
              <w:right w:val="single" w:color="auto" w:sz="4" w:space="0"/>
            </w:tcBorders>
            <w:vAlign w:val="center"/>
          </w:tcPr>
          <w:p w14:paraId="5784F1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8</w:t>
            </w:r>
          </w:p>
        </w:tc>
        <w:tc>
          <w:tcPr>
            <w:tcW w:w="2341" w:type="dxa"/>
            <w:tcBorders>
              <w:top w:val="single" w:color="auto" w:sz="4" w:space="0"/>
              <w:left w:val="single" w:color="auto" w:sz="4" w:space="0"/>
              <w:bottom w:val="single" w:color="auto" w:sz="4" w:space="0"/>
              <w:right w:val="single" w:color="auto" w:sz="4" w:space="0"/>
            </w:tcBorders>
            <w:vAlign w:val="center"/>
          </w:tcPr>
          <w:p w14:paraId="26ADD0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响应文件的密封和标记</w:t>
            </w:r>
          </w:p>
        </w:tc>
        <w:tc>
          <w:tcPr>
            <w:tcW w:w="6898" w:type="dxa"/>
            <w:tcBorders>
              <w:top w:val="single" w:color="auto" w:sz="4" w:space="0"/>
              <w:left w:val="single" w:color="auto" w:sz="4" w:space="0"/>
              <w:bottom w:val="single" w:color="auto" w:sz="4" w:space="0"/>
            </w:tcBorders>
            <w:vAlign w:val="center"/>
          </w:tcPr>
          <w:p w14:paraId="748D36E7">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en-US" w:eastAsia="zh-CN" w:bidi="ar-SA"/>
              </w:rPr>
              <w:t>密封</w:t>
            </w:r>
            <w:r>
              <w:rPr>
                <w:rFonts w:hint="eastAsia" w:ascii="宋体" w:hAnsi="宋体" w:cs="Times New Roman"/>
                <w:b w:val="0"/>
                <w:bCs w:val="0"/>
                <w:strike w:val="0"/>
                <w:dstrike w:val="0"/>
                <w:color w:val="auto"/>
                <w:kern w:val="2"/>
                <w:sz w:val="21"/>
                <w:szCs w:val="21"/>
                <w:highlight w:val="none"/>
                <w:lang w:val="en-US" w:eastAsia="zh-CN" w:bidi="ar-SA"/>
              </w:rPr>
              <w:t>要求</w:t>
            </w:r>
            <w:r>
              <w:rPr>
                <w:rFonts w:hint="eastAsia" w:ascii="宋体" w:hAnsi="宋体" w:eastAsia="宋体" w:cs="Times New Roman"/>
                <w:b w:val="0"/>
                <w:bCs w:val="0"/>
                <w:strike w:val="0"/>
                <w:dstrike w:val="0"/>
                <w:color w:val="auto"/>
                <w:kern w:val="2"/>
                <w:sz w:val="21"/>
                <w:szCs w:val="21"/>
                <w:highlight w:val="none"/>
                <w:lang w:val="en-US" w:eastAsia="zh-CN" w:bidi="ar-SA"/>
              </w:rPr>
              <w:t>：“响应文件”分正/副本（一正、一副）</w:t>
            </w:r>
            <w:r>
              <w:rPr>
                <w:rFonts w:hint="eastAsia" w:ascii="宋体" w:hAnsi="宋体" w:cs="Times New Roman"/>
                <w:b w:val="0"/>
                <w:bCs w:val="0"/>
                <w:strike w:val="0"/>
                <w:dstrike w:val="0"/>
                <w:color w:val="auto"/>
                <w:kern w:val="2"/>
                <w:sz w:val="21"/>
                <w:szCs w:val="21"/>
                <w:highlight w:val="none"/>
                <w:lang w:val="en-US" w:eastAsia="zh-CN" w:bidi="ar-SA"/>
              </w:rPr>
              <w:t>一起</w:t>
            </w:r>
            <w:r>
              <w:rPr>
                <w:rFonts w:hint="eastAsia" w:ascii="宋体" w:hAnsi="宋体" w:eastAsia="宋体" w:cs="Times New Roman"/>
                <w:b w:val="0"/>
                <w:bCs w:val="0"/>
                <w:strike w:val="0"/>
                <w:dstrike w:val="0"/>
                <w:color w:val="auto"/>
                <w:kern w:val="2"/>
                <w:sz w:val="21"/>
                <w:szCs w:val="21"/>
                <w:highlight w:val="none"/>
                <w:lang w:val="en-US" w:eastAsia="zh-CN" w:bidi="ar-SA"/>
              </w:rPr>
              <w:t>装袋密封</w:t>
            </w:r>
            <w:r>
              <w:rPr>
                <w:rFonts w:hint="eastAsia" w:ascii="宋体" w:hAnsi="宋体" w:eastAsia="宋体" w:cs="Times New Roman"/>
                <w:b w:val="0"/>
                <w:bCs w:val="0"/>
                <w:strike w:val="0"/>
                <w:dstrike w:val="0"/>
                <w:color w:val="auto"/>
                <w:kern w:val="2"/>
                <w:sz w:val="21"/>
                <w:szCs w:val="21"/>
                <w:highlight w:val="none"/>
                <w:lang w:val="zh-CN" w:eastAsia="zh-CN" w:bidi="ar-SA"/>
              </w:rPr>
              <w:t>，响应文件的密封袋的封口骑缝处应加盖</w:t>
            </w:r>
            <w:r>
              <w:rPr>
                <w:rFonts w:hint="eastAsia" w:ascii="宋体" w:hAnsi="宋体" w:eastAsia="宋体" w:cs="Times New Roman"/>
                <w:b w:val="0"/>
                <w:bCs w:val="0"/>
                <w:strike w:val="0"/>
                <w:dstrike w:val="0"/>
                <w:color w:val="auto"/>
                <w:kern w:val="2"/>
                <w:sz w:val="21"/>
                <w:szCs w:val="21"/>
                <w:highlight w:val="none"/>
                <w:lang w:val="en-US" w:eastAsia="zh-CN" w:bidi="ar-SA"/>
              </w:rPr>
              <w:t>供应商公章</w:t>
            </w:r>
            <w:r>
              <w:rPr>
                <w:rFonts w:hint="eastAsia" w:ascii="宋体" w:hAnsi="宋体" w:eastAsia="宋体" w:cs="Times New Roman"/>
                <w:b w:val="0"/>
                <w:bCs w:val="0"/>
                <w:strike w:val="0"/>
                <w:dstrike w:val="0"/>
                <w:color w:val="auto"/>
                <w:kern w:val="2"/>
                <w:sz w:val="21"/>
                <w:szCs w:val="21"/>
                <w:highlight w:val="none"/>
                <w:lang w:val="zh-CN" w:eastAsia="zh-CN" w:bidi="ar-SA"/>
              </w:rPr>
              <w:t>。</w:t>
            </w:r>
          </w:p>
          <w:p w14:paraId="791EEF46">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供应商未按上述要求密封的，现场报名时招标代理将拒绝接收。</w:t>
            </w:r>
          </w:p>
          <w:p w14:paraId="64ED7252">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en-US" w:eastAsia="zh-CN" w:bidi="ar-SA"/>
              </w:rPr>
              <w:t>在</w:t>
            </w:r>
            <w:r>
              <w:rPr>
                <w:rFonts w:hint="eastAsia" w:ascii="宋体" w:hAnsi="宋体" w:eastAsia="宋体" w:cs="Times New Roman"/>
                <w:b w:val="0"/>
                <w:bCs w:val="0"/>
                <w:strike w:val="0"/>
                <w:dstrike w:val="0"/>
                <w:color w:val="auto"/>
                <w:kern w:val="2"/>
                <w:sz w:val="21"/>
                <w:szCs w:val="21"/>
                <w:highlight w:val="none"/>
                <w:lang w:val="zh-CN" w:eastAsia="zh-CN" w:bidi="ar-SA"/>
              </w:rPr>
              <w:t>密封袋上注明</w:t>
            </w:r>
            <w:r>
              <w:rPr>
                <w:rFonts w:hint="eastAsia" w:ascii="宋体" w:hAnsi="宋体" w:eastAsia="宋体" w:cs="Times New Roman"/>
                <w:b w:val="0"/>
                <w:bCs w:val="0"/>
                <w:strike w:val="0"/>
                <w:dstrike w:val="0"/>
                <w:color w:val="auto"/>
                <w:kern w:val="2"/>
                <w:sz w:val="21"/>
                <w:szCs w:val="21"/>
                <w:highlight w:val="none"/>
                <w:lang w:val="en-US" w:eastAsia="zh-CN" w:bidi="ar-SA"/>
              </w:rPr>
              <w:t>下列内容</w:t>
            </w:r>
            <w:r>
              <w:rPr>
                <w:rFonts w:hint="eastAsia" w:ascii="宋体" w:hAnsi="宋体" w:eastAsia="宋体" w:cs="Times New Roman"/>
                <w:b w:val="0"/>
                <w:bCs w:val="0"/>
                <w:strike w:val="0"/>
                <w:dstrike w:val="0"/>
                <w:color w:val="auto"/>
                <w:kern w:val="2"/>
                <w:sz w:val="21"/>
                <w:szCs w:val="21"/>
                <w:highlight w:val="none"/>
                <w:lang w:val="zh-CN" w:eastAsia="zh-CN" w:bidi="ar-SA"/>
              </w:rPr>
              <w:t>：</w:t>
            </w:r>
          </w:p>
          <w:p w14:paraId="5B7A9ABC">
            <w:pPr>
              <w:keepNext w:val="0"/>
              <w:keepLines w:val="0"/>
              <w:suppressLineNumbers w:val="0"/>
              <w:spacing w:before="0" w:beforeAutospacing="0" w:after="0" w:afterAutospacing="0" w:line="360" w:lineRule="auto"/>
              <w:ind w:left="0" w:right="0"/>
              <w:rPr>
                <w:rFonts w:hint="eastAsia"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采购人名称：</w:t>
            </w:r>
          </w:p>
          <w:p w14:paraId="79A9EFE5">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en-US"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供应商名称：</w:t>
            </w:r>
            <w:r>
              <w:rPr>
                <w:rFonts w:hint="eastAsia" w:ascii="宋体" w:hAnsi="宋体" w:eastAsia="宋体" w:cs="Times New Roman"/>
                <w:b w:val="0"/>
                <w:bCs w:val="0"/>
                <w:strike w:val="0"/>
                <w:dstrike w:val="0"/>
                <w:color w:val="auto"/>
                <w:kern w:val="2"/>
                <w:sz w:val="21"/>
                <w:szCs w:val="21"/>
                <w:highlight w:val="none"/>
                <w:lang w:val="en-US" w:eastAsia="zh-CN" w:bidi="ar-SA"/>
              </w:rPr>
              <w:t xml:space="preserve">   </w:t>
            </w:r>
          </w:p>
          <w:p w14:paraId="338786B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Times New Roman"/>
                <w:b w:val="0"/>
                <w:bCs w:val="0"/>
                <w:strike w:val="0"/>
                <w:dstrike w:val="0"/>
                <w:color w:val="auto"/>
                <w:kern w:val="2"/>
                <w:sz w:val="21"/>
                <w:szCs w:val="21"/>
                <w:highlight w:val="none"/>
                <w:lang w:val="zh-CN" w:eastAsia="zh-CN" w:bidi="ar-SA"/>
              </w:rPr>
              <w:t>项目名称：</w:t>
            </w:r>
          </w:p>
        </w:tc>
      </w:tr>
      <w:tr w14:paraId="44A12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057" w:type="dxa"/>
            <w:tcBorders>
              <w:top w:val="single" w:color="auto" w:sz="4" w:space="0"/>
              <w:bottom w:val="single" w:color="auto" w:sz="4" w:space="0"/>
              <w:right w:val="single" w:color="auto" w:sz="4" w:space="0"/>
            </w:tcBorders>
            <w:vAlign w:val="center"/>
          </w:tcPr>
          <w:p w14:paraId="131674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9</w:t>
            </w:r>
          </w:p>
        </w:tc>
        <w:tc>
          <w:tcPr>
            <w:tcW w:w="2341" w:type="dxa"/>
            <w:tcBorders>
              <w:top w:val="single" w:color="auto" w:sz="4" w:space="0"/>
              <w:left w:val="single" w:color="auto" w:sz="4" w:space="0"/>
              <w:bottom w:val="single" w:color="auto" w:sz="4" w:space="0"/>
              <w:right w:val="single" w:color="auto" w:sz="4" w:space="0"/>
            </w:tcBorders>
            <w:vAlign w:val="center"/>
          </w:tcPr>
          <w:p w14:paraId="4E47A0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响应</w:t>
            </w:r>
            <w:r>
              <w:rPr>
                <w:rFonts w:hint="eastAsia" w:asciiTheme="minorEastAsia" w:hAnsiTheme="minorEastAsia" w:eastAsiaTheme="minorEastAsia" w:cstheme="minorEastAsia"/>
              </w:rPr>
              <w:t>文件提交</w:t>
            </w:r>
          </w:p>
        </w:tc>
        <w:tc>
          <w:tcPr>
            <w:tcW w:w="6898" w:type="dxa"/>
            <w:tcBorders>
              <w:top w:val="single" w:color="auto" w:sz="4" w:space="0"/>
              <w:left w:val="single" w:color="auto" w:sz="4" w:space="0"/>
              <w:bottom w:val="single" w:color="auto" w:sz="4" w:space="0"/>
            </w:tcBorders>
            <w:vAlign w:val="center"/>
          </w:tcPr>
          <w:p w14:paraId="2FAF6F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响应文件提交截止时间</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详见竞争性磋商公告</w:t>
            </w:r>
          </w:p>
        </w:tc>
      </w:tr>
      <w:tr w14:paraId="01153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057" w:type="dxa"/>
            <w:tcBorders>
              <w:top w:val="single" w:color="auto" w:sz="4" w:space="0"/>
              <w:bottom w:val="single" w:color="auto" w:sz="4" w:space="0"/>
              <w:right w:val="single" w:color="auto" w:sz="4" w:space="0"/>
            </w:tcBorders>
            <w:vAlign w:val="center"/>
          </w:tcPr>
          <w:p w14:paraId="508574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10</w:t>
            </w:r>
          </w:p>
        </w:tc>
        <w:tc>
          <w:tcPr>
            <w:tcW w:w="2341" w:type="dxa"/>
            <w:tcBorders>
              <w:top w:val="single" w:color="auto" w:sz="4" w:space="0"/>
              <w:left w:val="single" w:color="auto" w:sz="4" w:space="0"/>
              <w:bottom w:val="single" w:color="auto" w:sz="4" w:space="0"/>
              <w:right w:val="single" w:color="auto" w:sz="4" w:space="0"/>
            </w:tcBorders>
            <w:vAlign w:val="center"/>
          </w:tcPr>
          <w:p w14:paraId="68FF53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时间和地点</w:t>
            </w:r>
          </w:p>
        </w:tc>
        <w:tc>
          <w:tcPr>
            <w:tcW w:w="6898" w:type="dxa"/>
            <w:tcBorders>
              <w:top w:val="single" w:color="auto" w:sz="4" w:space="0"/>
              <w:left w:val="single" w:color="auto" w:sz="4" w:space="0"/>
              <w:bottom w:val="single" w:color="auto" w:sz="4" w:space="0"/>
            </w:tcBorders>
            <w:vAlign w:val="center"/>
          </w:tcPr>
          <w:p w14:paraId="72A5730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详见竞争性磋商公告（同响应文件提交截止时间）</w:t>
            </w:r>
          </w:p>
        </w:tc>
      </w:tr>
      <w:tr w14:paraId="5A8BF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057" w:type="dxa"/>
            <w:tcBorders>
              <w:top w:val="single" w:color="auto" w:sz="4" w:space="0"/>
              <w:bottom w:val="single" w:color="auto" w:sz="4" w:space="0"/>
              <w:right w:val="single" w:color="auto" w:sz="4" w:space="0"/>
            </w:tcBorders>
            <w:vAlign w:val="center"/>
          </w:tcPr>
          <w:p w14:paraId="2376DD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11</w:t>
            </w:r>
          </w:p>
        </w:tc>
        <w:tc>
          <w:tcPr>
            <w:tcW w:w="2341" w:type="dxa"/>
            <w:tcBorders>
              <w:top w:val="single" w:color="auto" w:sz="4" w:space="0"/>
              <w:left w:val="single" w:color="auto" w:sz="4" w:space="0"/>
              <w:bottom w:val="single" w:color="auto" w:sz="4" w:space="0"/>
              <w:right w:val="single" w:color="auto" w:sz="4" w:space="0"/>
            </w:tcBorders>
            <w:vAlign w:val="top"/>
          </w:tcPr>
          <w:p w14:paraId="1C0775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评审方法</w:t>
            </w:r>
          </w:p>
        </w:tc>
        <w:tc>
          <w:tcPr>
            <w:tcW w:w="6898" w:type="dxa"/>
            <w:tcBorders>
              <w:top w:val="single" w:color="auto" w:sz="4" w:space="0"/>
              <w:left w:val="single" w:color="auto" w:sz="4" w:space="0"/>
              <w:bottom w:val="single" w:color="auto" w:sz="4" w:space="0"/>
            </w:tcBorders>
            <w:vAlign w:val="center"/>
          </w:tcPr>
          <w:p w14:paraId="625BF5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auto"/>
                <w:szCs w:val="21"/>
                <w:highlight w:val="none"/>
                <w:lang w:val="en-US" w:eastAsia="zh-CN"/>
              </w:rPr>
              <w:t>最低评标价法</w:t>
            </w:r>
          </w:p>
        </w:tc>
      </w:tr>
      <w:tr w14:paraId="2D497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3" w:hRule="atLeast"/>
          <w:jc w:val="center"/>
        </w:trPr>
        <w:tc>
          <w:tcPr>
            <w:tcW w:w="1057" w:type="dxa"/>
            <w:tcBorders>
              <w:top w:val="single" w:color="auto" w:sz="4" w:space="0"/>
              <w:bottom w:val="single" w:color="auto" w:sz="4" w:space="0"/>
              <w:right w:val="single" w:color="auto" w:sz="4" w:space="0"/>
            </w:tcBorders>
            <w:vAlign w:val="center"/>
          </w:tcPr>
          <w:p w14:paraId="79DB6D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12</w:t>
            </w:r>
          </w:p>
        </w:tc>
        <w:tc>
          <w:tcPr>
            <w:tcW w:w="2341" w:type="dxa"/>
            <w:tcBorders>
              <w:top w:val="single" w:color="auto" w:sz="4" w:space="0"/>
              <w:left w:val="single" w:color="auto" w:sz="4" w:space="0"/>
              <w:bottom w:val="single" w:color="auto" w:sz="4" w:space="0"/>
              <w:right w:val="single" w:color="auto" w:sz="4" w:space="0"/>
            </w:tcBorders>
            <w:vAlign w:val="center"/>
          </w:tcPr>
          <w:p w14:paraId="5BDA91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原件</w:t>
            </w:r>
          </w:p>
        </w:tc>
        <w:tc>
          <w:tcPr>
            <w:tcW w:w="6898" w:type="dxa"/>
            <w:tcBorders>
              <w:top w:val="single" w:color="auto" w:sz="4" w:space="0"/>
              <w:left w:val="single" w:color="auto" w:sz="4" w:space="0"/>
              <w:bottom w:val="single" w:color="auto" w:sz="4" w:space="0"/>
            </w:tcBorders>
            <w:vAlign w:val="center"/>
          </w:tcPr>
          <w:p w14:paraId="462127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本次</w:t>
            </w: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时不要求供应商携带相关证件、业绩及奖项的原件（</w:t>
            </w: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文件另有要求的除外）。</w:t>
            </w:r>
          </w:p>
        </w:tc>
      </w:tr>
      <w:tr w14:paraId="50517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057" w:type="dxa"/>
            <w:tcBorders>
              <w:top w:val="single" w:color="auto" w:sz="4" w:space="0"/>
              <w:bottom w:val="single" w:color="auto" w:sz="4" w:space="0"/>
              <w:right w:val="single" w:color="auto" w:sz="4" w:space="0"/>
            </w:tcBorders>
            <w:vAlign w:val="center"/>
          </w:tcPr>
          <w:p w14:paraId="3D24ED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13</w:t>
            </w:r>
          </w:p>
        </w:tc>
        <w:tc>
          <w:tcPr>
            <w:tcW w:w="2341" w:type="dxa"/>
            <w:tcBorders>
              <w:top w:val="single" w:color="auto" w:sz="4" w:space="0"/>
              <w:left w:val="single" w:color="auto" w:sz="4" w:space="0"/>
              <w:bottom w:val="single" w:color="auto" w:sz="4" w:space="0"/>
              <w:right w:val="single" w:color="auto" w:sz="4" w:space="0"/>
            </w:tcBorders>
            <w:vAlign w:val="center"/>
          </w:tcPr>
          <w:p w14:paraId="50FE82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确定成交候选供应商和成交供应商</w:t>
            </w:r>
          </w:p>
        </w:tc>
        <w:tc>
          <w:tcPr>
            <w:tcW w:w="6898" w:type="dxa"/>
            <w:tcBorders>
              <w:top w:val="single" w:color="auto" w:sz="4" w:space="0"/>
              <w:left w:val="single" w:color="auto" w:sz="4" w:space="0"/>
              <w:bottom w:val="single" w:color="auto" w:sz="4" w:space="0"/>
              <w:right w:val="single" w:color="auto" w:sz="4" w:space="0"/>
            </w:tcBorders>
            <w:vAlign w:val="center"/>
          </w:tcPr>
          <w:p w14:paraId="1989C6B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磋商小组推荐成交候选供应商的数量：1家 </w:t>
            </w:r>
          </w:p>
          <w:p w14:paraId="71A54BB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 xml:space="preserve">确定成交供应商：采购人委托磋商小组确定 </w:t>
            </w:r>
          </w:p>
        </w:tc>
      </w:tr>
      <w:tr w14:paraId="0B3B3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57" w:type="dxa"/>
            <w:tcBorders>
              <w:top w:val="single" w:color="auto" w:sz="4" w:space="0"/>
              <w:bottom w:val="single" w:color="auto" w:sz="4" w:space="0"/>
              <w:right w:val="single" w:color="auto" w:sz="4" w:space="0"/>
            </w:tcBorders>
            <w:vAlign w:val="center"/>
          </w:tcPr>
          <w:p w14:paraId="3EC3D3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14</w:t>
            </w:r>
          </w:p>
        </w:tc>
        <w:tc>
          <w:tcPr>
            <w:tcW w:w="2341" w:type="dxa"/>
            <w:tcBorders>
              <w:top w:val="single" w:color="auto" w:sz="4" w:space="0"/>
              <w:left w:val="single" w:color="auto" w:sz="4" w:space="0"/>
              <w:bottom w:val="single" w:color="auto" w:sz="4" w:space="0"/>
              <w:right w:val="single" w:color="auto" w:sz="4" w:space="0"/>
            </w:tcBorders>
            <w:vAlign w:val="center"/>
          </w:tcPr>
          <w:p w14:paraId="2787E2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媒介发布</w:t>
            </w:r>
          </w:p>
        </w:tc>
        <w:tc>
          <w:tcPr>
            <w:tcW w:w="6898" w:type="dxa"/>
            <w:tcBorders>
              <w:top w:val="single" w:color="auto" w:sz="4" w:space="0"/>
              <w:left w:val="single" w:color="auto" w:sz="4" w:space="0"/>
              <w:bottom w:val="single" w:color="auto" w:sz="4" w:space="0"/>
              <w:right w:val="single" w:color="auto" w:sz="4" w:space="0"/>
            </w:tcBorders>
            <w:vAlign w:val="center"/>
          </w:tcPr>
          <w:p w14:paraId="55B5CC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本次竞争性</w:t>
            </w: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公告在</w:t>
            </w:r>
            <w:r>
              <w:rPr>
                <w:rFonts w:hint="eastAsia" w:asciiTheme="minorEastAsia" w:hAnsiTheme="minorEastAsia" w:eastAsiaTheme="minorEastAsia" w:cstheme="minorEastAsia"/>
                <w:lang w:val="en-US" w:eastAsia="zh-CN"/>
              </w:rPr>
              <w:t>桐城师范高等专科学校官网</w:t>
            </w:r>
            <w:r>
              <w:rPr>
                <w:rFonts w:hint="eastAsia" w:asciiTheme="minorEastAsia" w:hAnsiTheme="minorEastAsia" w:eastAsiaTheme="minorEastAsia" w:cstheme="minorEastAsia"/>
              </w:rPr>
              <w:t>上发布和推送</w:t>
            </w:r>
          </w:p>
        </w:tc>
      </w:tr>
      <w:tr w14:paraId="731FF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right w:val="single" w:color="auto" w:sz="4" w:space="0"/>
            </w:tcBorders>
            <w:vAlign w:val="center"/>
          </w:tcPr>
          <w:p w14:paraId="238487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15</w:t>
            </w:r>
          </w:p>
        </w:tc>
        <w:tc>
          <w:tcPr>
            <w:tcW w:w="2341" w:type="dxa"/>
            <w:tcBorders>
              <w:top w:val="single" w:color="auto" w:sz="4" w:space="0"/>
              <w:left w:val="single" w:color="auto" w:sz="4" w:space="0"/>
              <w:bottom w:val="single" w:color="auto" w:sz="4" w:space="0"/>
              <w:right w:val="single" w:color="auto" w:sz="4" w:space="0"/>
            </w:tcBorders>
            <w:vAlign w:val="center"/>
          </w:tcPr>
          <w:p w14:paraId="0C5638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成交通知书发出的形式</w:t>
            </w:r>
          </w:p>
        </w:tc>
        <w:tc>
          <w:tcPr>
            <w:tcW w:w="6898" w:type="dxa"/>
            <w:tcBorders>
              <w:top w:val="single" w:color="auto" w:sz="4" w:space="0"/>
              <w:left w:val="single" w:color="auto" w:sz="4" w:space="0"/>
              <w:bottom w:val="single" w:color="auto" w:sz="4" w:space="0"/>
            </w:tcBorders>
            <w:vAlign w:val="center"/>
          </w:tcPr>
          <w:p w14:paraId="29BBF9B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书面   </w:t>
            </w:r>
          </w:p>
        </w:tc>
      </w:tr>
      <w:tr w14:paraId="5D03F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restart"/>
            <w:tcBorders>
              <w:top w:val="single" w:color="auto" w:sz="4" w:space="0"/>
              <w:right w:val="single" w:color="auto" w:sz="4" w:space="0"/>
            </w:tcBorders>
            <w:vAlign w:val="center"/>
          </w:tcPr>
          <w:p w14:paraId="1181D4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16</w:t>
            </w:r>
          </w:p>
        </w:tc>
        <w:tc>
          <w:tcPr>
            <w:tcW w:w="2341" w:type="dxa"/>
            <w:tcBorders>
              <w:top w:val="single" w:color="auto" w:sz="4" w:space="0"/>
              <w:left w:val="single" w:color="auto" w:sz="4" w:space="0"/>
              <w:bottom w:val="single" w:color="auto" w:sz="4" w:space="0"/>
              <w:right w:val="single" w:color="auto" w:sz="4" w:space="0"/>
            </w:tcBorders>
            <w:vAlign w:val="center"/>
          </w:tcPr>
          <w:p w14:paraId="0BFECB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保证金</w:t>
            </w:r>
          </w:p>
        </w:tc>
        <w:tc>
          <w:tcPr>
            <w:tcW w:w="6898" w:type="dxa"/>
            <w:tcBorders>
              <w:top w:val="single" w:color="auto" w:sz="4" w:space="0"/>
              <w:left w:val="single" w:color="auto" w:sz="4" w:space="0"/>
              <w:bottom w:val="single" w:color="auto" w:sz="4" w:space="0"/>
            </w:tcBorders>
            <w:vAlign w:val="center"/>
          </w:tcPr>
          <w:p w14:paraId="226BAB1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本项目免收</w:t>
            </w:r>
          </w:p>
        </w:tc>
      </w:tr>
      <w:tr w14:paraId="6B4A7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continue"/>
            <w:tcBorders>
              <w:right w:val="single" w:color="auto" w:sz="4" w:space="0"/>
            </w:tcBorders>
            <w:vAlign w:val="center"/>
          </w:tcPr>
          <w:p w14:paraId="623C66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p>
        </w:tc>
        <w:tc>
          <w:tcPr>
            <w:tcW w:w="2341" w:type="dxa"/>
            <w:tcBorders>
              <w:top w:val="single" w:color="auto" w:sz="4" w:space="0"/>
              <w:left w:val="single" w:color="auto" w:sz="4" w:space="0"/>
              <w:bottom w:val="single" w:color="auto" w:sz="4" w:space="0"/>
              <w:right w:val="single" w:color="auto" w:sz="4" w:space="0"/>
            </w:tcBorders>
            <w:vAlign w:val="center"/>
          </w:tcPr>
          <w:p w14:paraId="6E05EE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履约保证金</w:t>
            </w:r>
          </w:p>
        </w:tc>
        <w:tc>
          <w:tcPr>
            <w:tcW w:w="6898" w:type="dxa"/>
            <w:tcBorders>
              <w:top w:val="single" w:color="auto" w:sz="4" w:space="0"/>
              <w:left w:val="single" w:color="auto" w:sz="4" w:space="0"/>
              <w:bottom w:val="single" w:color="auto" w:sz="4" w:space="0"/>
            </w:tcBorders>
            <w:vAlign w:val="center"/>
          </w:tcPr>
          <w:p w14:paraId="31FD0C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本项目免收</w:t>
            </w:r>
          </w:p>
        </w:tc>
      </w:tr>
      <w:tr w14:paraId="2E31A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continue"/>
            <w:tcBorders>
              <w:bottom w:val="single" w:color="auto" w:sz="4" w:space="0"/>
              <w:right w:val="single" w:color="auto" w:sz="4" w:space="0"/>
            </w:tcBorders>
            <w:vAlign w:val="center"/>
          </w:tcPr>
          <w:p w14:paraId="7F8EE0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5B173FCE">
            <w:pPr>
              <w:keepNext w:val="0"/>
              <w:keepLines w:val="0"/>
              <w:pageBreakBefore w:val="0"/>
              <w:widowControl/>
              <w:suppressLineNumbers w:val="0"/>
              <w:kinsoku/>
              <w:overflowPunct/>
              <w:topLinePunct w:val="0"/>
              <w:bidi w:val="0"/>
              <w:snapToGrid w:val="0"/>
              <w:spacing w:line="440" w:lineRule="exact"/>
              <w:jc w:val="center"/>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sz w:val="21"/>
                <w:szCs w:val="21"/>
                <w:highlight w:val="none"/>
                <w:lang w:val="en-US" w:eastAsia="zh-CN"/>
              </w:rPr>
              <w:t>成交服务费（元）</w:t>
            </w:r>
          </w:p>
        </w:tc>
        <w:tc>
          <w:tcPr>
            <w:tcW w:w="6898" w:type="dxa"/>
            <w:tcBorders>
              <w:top w:val="single" w:color="auto" w:sz="4" w:space="0"/>
              <w:left w:val="single" w:color="auto" w:sz="4" w:space="0"/>
              <w:bottom w:val="single" w:color="auto" w:sz="4" w:space="0"/>
            </w:tcBorders>
            <w:shd w:val="clear" w:color="auto" w:fill="auto"/>
            <w:vAlign w:val="center"/>
          </w:tcPr>
          <w:p w14:paraId="735F0E7E">
            <w:pPr>
              <w:pStyle w:val="5"/>
              <w:pageBreakBefore w:val="0"/>
              <w:tabs>
                <w:tab w:val="left" w:pos="2730"/>
              </w:tabs>
              <w:kinsoku/>
              <w:overflowPunct/>
              <w:topLinePunct w:val="0"/>
              <w:bidi w:val="0"/>
              <w:snapToGrid w:val="0"/>
              <w:spacing w:line="440" w:lineRule="exact"/>
              <w:rPr>
                <w:rFonts w:hint="eastAsia" w:asciiTheme="minorEastAsia" w:hAnsiTheme="minorEastAsia" w:eastAsiaTheme="minorEastAsia" w:cstheme="minorEastAsia"/>
                <w:b/>
                <w:color w:val="auto"/>
                <w:kern w:val="2"/>
                <w:sz w:val="21"/>
                <w:highlight w:val="none"/>
                <w:shd w:val="clear" w:color="auto" w:fill="FFFFFF"/>
                <w:lang w:val="en-US" w:eastAsia="zh-CN" w:bidi="ar-SA"/>
              </w:rPr>
            </w:pPr>
            <w:r>
              <w:rPr>
                <w:rFonts w:hint="eastAsia" w:asciiTheme="minorEastAsia" w:hAnsiTheme="minorEastAsia" w:eastAsiaTheme="minorEastAsia" w:cstheme="minorEastAsia"/>
                <w:b w:val="0"/>
                <w:color w:val="auto"/>
                <w:kern w:val="2"/>
                <w:sz w:val="21"/>
                <w:szCs w:val="21"/>
                <w:highlight w:val="none"/>
                <w:lang w:val="en-US" w:eastAsia="zh-CN" w:bidi="ar-SA"/>
              </w:rPr>
              <w:t>成交服务费按项目合同价款的</w:t>
            </w:r>
            <w:r>
              <w:rPr>
                <w:rFonts w:hint="eastAsia" w:asciiTheme="minorEastAsia" w:hAnsiTheme="minorEastAsia" w:eastAsiaTheme="minorEastAsia" w:cstheme="minorEastAsia"/>
                <w:b w:val="0"/>
                <w:color w:val="auto"/>
                <w:kern w:val="2"/>
                <w:sz w:val="21"/>
                <w:szCs w:val="21"/>
                <w:highlight w:val="none"/>
                <w:u w:val="single"/>
                <w:lang w:val="en-US" w:eastAsia="zh-CN" w:bidi="ar-SA"/>
              </w:rPr>
              <w:t xml:space="preserve"> 1.5% </w:t>
            </w:r>
            <w:r>
              <w:rPr>
                <w:rFonts w:hint="eastAsia" w:asciiTheme="minorEastAsia" w:hAnsiTheme="minorEastAsia" w:eastAsiaTheme="minorEastAsia" w:cstheme="minorEastAsia"/>
                <w:b w:val="0"/>
                <w:color w:val="auto"/>
                <w:kern w:val="2"/>
                <w:sz w:val="21"/>
                <w:szCs w:val="21"/>
                <w:highlight w:val="none"/>
                <w:lang w:val="en-US" w:eastAsia="zh-CN" w:bidi="ar-SA"/>
              </w:rPr>
              <w:t>收取。</w:t>
            </w:r>
          </w:p>
        </w:tc>
      </w:tr>
      <w:tr w14:paraId="7F427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7875CA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17</w:t>
            </w:r>
          </w:p>
        </w:tc>
        <w:tc>
          <w:tcPr>
            <w:tcW w:w="2341" w:type="dxa"/>
            <w:tcBorders>
              <w:top w:val="single" w:color="auto" w:sz="4" w:space="0"/>
              <w:left w:val="single" w:color="auto" w:sz="4" w:space="0"/>
              <w:bottom w:val="single" w:color="auto" w:sz="4" w:space="0"/>
              <w:right w:val="single" w:color="auto" w:sz="4" w:space="0"/>
            </w:tcBorders>
            <w:vAlign w:val="center"/>
          </w:tcPr>
          <w:p w14:paraId="5E320E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质疑函递交方式、接收部门、联系电话和通讯地址</w:t>
            </w:r>
          </w:p>
        </w:tc>
        <w:tc>
          <w:tcPr>
            <w:tcW w:w="6898" w:type="dxa"/>
            <w:tcBorders>
              <w:top w:val="single" w:color="auto" w:sz="4" w:space="0"/>
              <w:left w:val="single" w:color="auto" w:sz="4" w:space="0"/>
              <w:bottom w:val="single" w:color="auto" w:sz="4" w:space="0"/>
            </w:tcBorders>
            <w:vAlign w:val="center"/>
          </w:tcPr>
          <w:p w14:paraId="33DE455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递交方式：</w:t>
            </w:r>
            <w:r>
              <w:rPr>
                <w:rFonts w:hint="eastAsia" w:asciiTheme="minorEastAsia" w:hAnsiTheme="minorEastAsia" w:eastAsiaTheme="minorEastAsia" w:cstheme="minorEastAsia"/>
                <w:lang w:val="en-US" w:eastAsia="zh-CN"/>
              </w:rPr>
              <w:t>书面</w:t>
            </w:r>
          </w:p>
          <w:p w14:paraId="2850594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接收部门：</w:t>
            </w:r>
            <w:r>
              <w:rPr>
                <w:rFonts w:hint="eastAsia" w:asciiTheme="minorEastAsia" w:hAnsiTheme="minorEastAsia" w:eastAsiaTheme="minorEastAsia" w:cstheme="minorEastAsia"/>
                <w:lang w:val="en-US" w:eastAsia="zh-CN"/>
              </w:rPr>
              <w:t>采购人或采购代理机构</w:t>
            </w:r>
            <w:r>
              <w:rPr>
                <w:rFonts w:hint="eastAsia" w:asciiTheme="minorEastAsia" w:hAnsiTheme="minorEastAsia" w:eastAsiaTheme="minorEastAsia" w:cstheme="minorEastAsia"/>
              </w:rPr>
              <w:t xml:space="preserve">            </w:t>
            </w:r>
          </w:p>
          <w:p w14:paraId="1E923F3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联系电话： </w:t>
            </w:r>
            <w:r>
              <w:rPr>
                <w:rFonts w:hint="eastAsia" w:asciiTheme="minorEastAsia" w:hAnsiTheme="minorEastAsia" w:eastAsiaTheme="minorEastAsia" w:cstheme="minorEastAsia"/>
                <w:lang w:val="en-US" w:eastAsia="zh-CN"/>
              </w:rPr>
              <w:t>0556-6181009</w:t>
            </w:r>
            <w:r>
              <w:rPr>
                <w:rFonts w:hint="eastAsia" w:asciiTheme="minorEastAsia" w:hAnsiTheme="minorEastAsia" w:eastAsiaTheme="minorEastAsia" w:cstheme="minorEastAsia"/>
              </w:rPr>
              <w:t xml:space="preserve">         </w:t>
            </w:r>
          </w:p>
          <w:p w14:paraId="03D3331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通讯地址： </w:t>
            </w:r>
            <w:r>
              <w:rPr>
                <w:rFonts w:hint="eastAsia" w:asciiTheme="minorEastAsia" w:hAnsiTheme="minorEastAsia" w:eastAsiaTheme="minorEastAsia" w:cstheme="minorEastAsia"/>
                <w:lang w:val="en-US" w:eastAsia="zh-CN"/>
              </w:rPr>
              <w:t>安徽省桐城市经开区学苑路199号</w:t>
            </w:r>
            <w:r>
              <w:rPr>
                <w:rFonts w:hint="eastAsia" w:asciiTheme="minorEastAsia" w:hAnsiTheme="minorEastAsia" w:eastAsiaTheme="minorEastAsia" w:cstheme="minorEastAsia"/>
              </w:rPr>
              <w:t xml:space="preserve">           </w:t>
            </w:r>
          </w:p>
          <w:p w14:paraId="77BA20C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后文附 质疑范本</w:t>
            </w:r>
          </w:p>
        </w:tc>
      </w:tr>
      <w:tr w14:paraId="7EDCA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1057" w:type="dxa"/>
            <w:tcBorders>
              <w:top w:val="single" w:color="auto" w:sz="4" w:space="0"/>
              <w:bottom w:val="single" w:color="auto" w:sz="4" w:space="0"/>
              <w:right w:val="single" w:color="auto" w:sz="4" w:space="0"/>
            </w:tcBorders>
            <w:vAlign w:val="center"/>
          </w:tcPr>
          <w:p w14:paraId="341547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18</w:t>
            </w:r>
          </w:p>
        </w:tc>
        <w:tc>
          <w:tcPr>
            <w:tcW w:w="2341" w:type="dxa"/>
            <w:tcBorders>
              <w:top w:val="single" w:color="auto" w:sz="4" w:space="0"/>
              <w:left w:val="single" w:color="auto" w:sz="4" w:space="0"/>
              <w:bottom w:val="single" w:color="auto" w:sz="4" w:space="0"/>
              <w:right w:val="single" w:color="auto" w:sz="4" w:space="0"/>
            </w:tcBorders>
            <w:vAlign w:val="center"/>
          </w:tcPr>
          <w:p w14:paraId="77EB63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说明</w:t>
            </w:r>
          </w:p>
        </w:tc>
        <w:tc>
          <w:tcPr>
            <w:tcW w:w="6898" w:type="dxa"/>
            <w:tcBorders>
              <w:top w:val="single" w:color="auto" w:sz="4" w:space="0"/>
              <w:left w:val="single" w:color="auto" w:sz="4" w:space="0"/>
              <w:bottom w:val="single" w:color="auto" w:sz="4" w:space="0"/>
            </w:tcBorders>
            <w:vAlign w:val="center"/>
          </w:tcPr>
          <w:p w14:paraId="3B990E7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本</w:t>
            </w: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文件的解释权归采购单位。</w:t>
            </w:r>
          </w:p>
          <w:p w14:paraId="7029C75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、本项目所要求的业绩均须为中华人民共和国境内业绩（不含港澳台地区）</w:t>
            </w:r>
            <w:r>
              <w:rPr>
                <w:rFonts w:hint="eastAsia" w:asciiTheme="minorEastAsia" w:hAnsiTheme="minorEastAsia" w:eastAsiaTheme="minorEastAsia" w:cstheme="minorEastAsia"/>
                <w:lang w:eastAsia="zh-CN"/>
              </w:rPr>
              <w:t>。</w:t>
            </w:r>
          </w:p>
        </w:tc>
      </w:tr>
    </w:tbl>
    <w:p w14:paraId="4C8DA0C0">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13A6CBD">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1CF4FB04">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55924D9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A56803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366704C7">
      <w:pPr>
        <w:rPr>
          <w:rFonts w:hint="eastAsia" w:cs="Tahoma"/>
          <w:bCs/>
          <w:color w:val="auto"/>
          <w:kern w:val="0"/>
          <w:sz w:val="32"/>
          <w:szCs w:val="32"/>
          <w:highlight w:val="none"/>
          <w:lang w:val="en-US" w:eastAsia="zh-CN"/>
        </w:rPr>
      </w:pPr>
    </w:p>
    <w:p w14:paraId="0BE0184C">
      <w:pPr>
        <w:rPr>
          <w:rFonts w:hint="eastAsia" w:cs="Tahoma"/>
          <w:bCs/>
          <w:color w:val="auto"/>
          <w:kern w:val="0"/>
          <w:sz w:val="32"/>
          <w:szCs w:val="32"/>
          <w:highlight w:val="none"/>
          <w:lang w:val="en-US" w:eastAsia="zh-CN"/>
        </w:rPr>
      </w:pPr>
    </w:p>
    <w:p w14:paraId="08ABD3AD">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31ED34D9">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r>
        <w:rPr>
          <w:rFonts w:hint="eastAsia" w:cs="Tahoma"/>
          <w:bCs/>
          <w:color w:val="auto"/>
          <w:kern w:val="0"/>
          <w:sz w:val="32"/>
          <w:szCs w:val="32"/>
          <w:highlight w:val="none"/>
          <w:lang w:val="en-US" w:eastAsia="zh-CN"/>
        </w:rPr>
        <w:t xml:space="preserve">                                                                                                 </w:t>
      </w:r>
    </w:p>
    <w:p w14:paraId="04F19C8D">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658365D1">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4617D84F">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5031C8D0">
      <w:pPr>
        <w:rPr>
          <w:rFonts w:hint="eastAsia" w:cs="Tahoma"/>
          <w:bCs/>
          <w:color w:val="auto"/>
          <w:kern w:val="0"/>
          <w:sz w:val="32"/>
          <w:szCs w:val="32"/>
          <w:highlight w:val="none"/>
          <w:lang w:val="en-US" w:eastAsia="zh-CN"/>
        </w:rPr>
      </w:pPr>
    </w:p>
    <w:p w14:paraId="20327E56">
      <w:pPr>
        <w:rPr>
          <w:rFonts w:hint="eastAsia" w:cs="Tahoma"/>
          <w:bCs/>
          <w:color w:val="auto"/>
          <w:kern w:val="0"/>
          <w:sz w:val="32"/>
          <w:szCs w:val="32"/>
          <w:highlight w:val="none"/>
          <w:lang w:val="en-US" w:eastAsia="zh-CN"/>
        </w:rPr>
      </w:pPr>
    </w:p>
    <w:p w14:paraId="49153585">
      <w:pPr>
        <w:pStyle w:val="14"/>
        <w:rPr>
          <w:rFonts w:hint="eastAsia" w:cs="Tahoma"/>
          <w:bCs/>
          <w:color w:val="auto"/>
          <w:kern w:val="0"/>
          <w:sz w:val="32"/>
          <w:szCs w:val="32"/>
          <w:highlight w:val="none"/>
          <w:lang w:val="en-US" w:eastAsia="zh-CN"/>
        </w:rPr>
      </w:pPr>
    </w:p>
    <w:p w14:paraId="2136D265">
      <w:pPr>
        <w:pStyle w:val="14"/>
        <w:rPr>
          <w:rFonts w:hint="eastAsia" w:cs="Tahoma"/>
          <w:bCs/>
          <w:color w:val="auto"/>
          <w:kern w:val="0"/>
          <w:sz w:val="32"/>
          <w:szCs w:val="32"/>
          <w:highlight w:val="none"/>
          <w:lang w:val="en-US" w:eastAsia="zh-CN"/>
        </w:rPr>
      </w:pPr>
    </w:p>
    <w:bookmarkEnd w:id="32"/>
    <w:bookmarkEnd w:id="33"/>
    <w:bookmarkEnd w:id="34"/>
    <w:p w14:paraId="1B0B2A3E">
      <w:pPr>
        <w:pStyle w:val="3"/>
        <w:tabs>
          <w:tab w:val="left" w:pos="1440"/>
          <w:tab w:val="left" w:pos="5670"/>
        </w:tabs>
        <w:spacing w:before="62" w:beforeLines="20" w:after="62" w:afterLines="20" w:line="480" w:lineRule="exact"/>
        <w:ind w:firstLine="0" w:firstLineChars="0"/>
        <w:jc w:val="center"/>
        <w:rPr>
          <w:rFonts w:hint="eastAsia" w:ascii="宋体" w:hAnsi="宋体" w:eastAsia="宋体" w:cs="宋体"/>
          <w:b/>
          <w:bCs/>
          <w:color w:val="auto"/>
          <w:kern w:val="2"/>
          <w:sz w:val="30"/>
          <w:szCs w:val="30"/>
          <w:highlight w:val="none"/>
          <w:lang w:val="en-US" w:eastAsia="zh-CN"/>
        </w:rPr>
      </w:pPr>
      <w:bookmarkStart w:id="38" w:name="_Toc12353"/>
      <w:r>
        <w:rPr>
          <w:rFonts w:hint="eastAsia" w:ascii="宋体" w:hAnsi="宋体" w:eastAsia="宋体" w:cs="宋体"/>
          <w:b/>
          <w:bCs/>
          <w:color w:val="auto"/>
          <w:kern w:val="2"/>
          <w:sz w:val="30"/>
          <w:szCs w:val="30"/>
          <w:highlight w:val="none"/>
          <w:lang w:val="zh-CN"/>
        </w:rPr>
        <w:t>二、</w:t>
      </w:r>
      <w:r>
        <w:rPr>
          <w:rFonts w:hint="eastAsia" w:ascii="宋体" w:hAnsi="宋体" w:eastAsia="宋体" w:cs="宋体"/>
          <w:b/>
          <w:bCs/>
          <w:color w:val="auto"/>
          <w:kern w:val="2"/>
          <w:sz w:val="30"/>
          <w:szCs w:val="30"/>
          <w:highlight w:val="none"/>
          <w:lang w:val="en-US" w:eastAsia="zh-CN"/>
        </w:rPr>
        <w:t>供应商</w:t>
      </w:r>
      <w:r>
        <w:rPr>
          <w:rFonts w:hint="eastAsia" w:ascii="宋体" w:hAnsi="宋体" w:eastAsia="宋体" w:cs="宋体"/>
          <w:b/>
          <w:bCs/>
          <w:color w:val="auto"/>
          <w:kern w:val="2"/>
          <w:sz w:val="30"/>
          <w:szCs w:val="30"/>
          <w:highlight w:val="none"/>
          <w:lang w:val="zh-CN"/>
        </w:rPr>
        <w:t>须知</w:t>
      </w:r>
      <w:r>
        <w:rPr>
          <w:rFonts w:hint="eastAsia" w:ascii="宋体" w:hAnsi="宋体" w:eastAsia="宋体" w:cs="宋体"/>
          <w:b/>
          <w:bCs/>
          <w:color w:val="auto"/>
          <w:kern w:val="2"/>
          <w:sz w:val="30"/>
          <w:szCs w:val="30"/>
          <w:highlight w:val="none"/>
          <w:lang w:val="en-US" w:eastAsia="zh-CN"/>
        </w:rPr>
        <w:t>正文</w:t>
      </w:r>
    </w:p>
    <w:p w14:paraId="101F9319">
      <w:pPr>
        <w:spacing w:beforeAutospacing="0" w:line="360" w:lineRule="auto"/>
        <w:outlineLvl w:val="2"/>
        <w:rPr>
          <w:rFonts w:asciiTheme="minorEastAsia" w:hAnsiTheme="minorEastAsia" w:eastAsiaTheme="minorEastAsia"/>
          <w:b/>
          <w:color w:val="auto"/>
          <w:sz w:val="24"/>
          <w:highlight w:val="none"/>
        </w:rPr>
      </w:pPr>
      <w:bookmarkStart w:id="39" w:name="_Toc15055"/>
      <w:bookmarkStart w:id="40" w:name="_Toc439316919"/>
      <w:bookmarkStart w:id="41" w:name="_Toc21078"/>
      <w:bookmarkStart w:id="42" w:name="_Toc25270"/>
      <w:bookmarkStart w:id="43" w:name="_Toc439316873"/>
      <w:bookmarkStart w:id="44" w:name="_Toc7325"/>
      <w:bookmarkStart w:id="45" w:name="_Toc10523"/>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44CEDE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1.1采购人：是指依法开展政府采购活动的国家机关、事业单位、团体组织。</w:t>
      </w:r>
    </w:p>
    <w:p w14:paraId="343DC7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1.2采购代理机构：是指集中采购机构或从事采购代理业务的社会中介机构。</w:t>
      </w:r>
    </w:p>
    <w:p w14:paraId="4F90F4E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1.3政府采购监督管理部门：各级人民政府指定的有关部门依法履行与政府采购活动有关的监督管理职责。</w:t>
      </w:r>
    </w:p>
    <w:p w14:paraId="31080CA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1.4供应商：是指向采购人提供货物、工程或者服务的法人、其他组织或者自然人。分支机构不得参加政府采购活动，但银行、保险、石油石化、电力、电信等特殊行业除外。</w:t>
      </w:r>
      <w:bookmarkStart w:id="46" w:name="_Hlk60264251"/>
      <w:r>
        <w:rPr>
          <w:rFonts w:hint="eastAsia" w:ascii="宋体" w:hAnsi="宋体" w:eastAsia="宋体" w:cs="Times New Roman"/>
          <w:color w:val="auto"/>
          <w:sz w:val="24"/>
          <w:highlight w:val="none"/>
          <w:lang w:val="en-US" w:eastAsia="zh-CN"/>
        </w:rPr>
        <w:t>本项目的供应商须满足以下条件：</w:t>
      </w:r>
    </w:p>
    <w:p w14:paraId="7728D21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1.4.1具备《中华人民共和国政府采购法》第二十二条关于供应商条件的规定，遵守本项目采购人本级和上级财政部门政府采购的有关规定。</w:t>
      </w:r>
    </w:p>
    <w:p w14:paraId="4A0DAC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1.4.2以采购代理机构认可的方式获得了本项目的磋商文件。</w:t>
      </w:r>
    </w:p>
    <w:p w14:paraId="38E2CAE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1.4.3若采购需求中写明允许采购进口产品，供应商应保证所投产品可履行合法报通关手续进入中国关境内。</w:t>
      </w:r>
    </w:p>
    <w:p w14:paraId="059CB49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若采购需求中未写明允许采购进口产品，如供应商所投产品为进口产品，其响应文件将被认定为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bookmarkEnd w:id="46"/>
    <w:p w14:paraId="6B0A365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2.资金落实情况</w:t>
      </w:r>
    </w:p>
    <w:p w14:paraId="25ECBFDD">
      <w:pPr>
        <w:spacing w:line="360" w:lineRule="auto"/>
        <w:ind w:firstLine="240" w:firstLineChars="100"/>
        <w:rPr>
          <w:rFonts w:asciiTheme="minorEastAsia" w:hAnsiTheme="minorEastAsia" w:eastAsiaTheme="minorEastAsia"/>
          <w:color w:val="auto"/>
          <w:sz w:val="24"/>
          <w:highlight w:val="none"/>
        </w:rPr>
      </w:pPr>
      <w:r>
        <w:rPr>
          <w:rFonts w:hint="eastAsia" w:ascii="宋体" w:hAnsi="宋体" w:eastAsia="宋体" w:cs="Times New Roman"/>
          <w:color w:val="auto"/>
          <w:sz w:val="24"/>
          <w:highlight w:val="none"/>
          <w:lang w:val="en-US" w:eastAsia="zh-CN"/>
        </w:rPr>
        <w:t>本项目的采购人已获得足以支付本次磋商后所签订的合同项下的资金。</w:t>
      </w:r>
    </w:p>
    <w:p w14:paraId="53D90C5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3.磋商费用</w:t>
      </w:r>
    </w:p>
    <w:p w14:paraId="7C57E13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不论磋商的结果如何，供应商应承担其所有与准备和参加磋商有关的费用。</w:t>
      </w:r>
    </w:p>
    <w:p w14:paraId="6548771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4.适用法律</w:t>
      </w:r>
    </w:p>
    <w:p w14:paraId="55A81F7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5BD1AE1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5.磋商文件构成</w:t>
      </w:r>
    </w:p>
    <w:p w14:paraId="673D8F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5.1磋商文件包括下列内容：</w:t>
      </w:r>
    </w:p>
    <w:p w14:paraId="7455A63B">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第一章  磋商邀请</w:t>
      </w:r>
    </w:p>
    <w:p w14:paraId="4FD73385">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第二章  供应商须知</w:t>
      </w:r>
    </w:p>
    <w:p w14:paraId="2904E97C">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第三章  采购需求</w:t>
      </w:r>
    </w:p>
    <w:p w14:paraId="08A9AF7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第四章  评审方法和标准</w:t>
      </w:r>
    </w:p>
    <w:p w14:paraId="5BF2EBB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第五章  政府采购合同</w:t>
      </w:r>
    </w:p>
    <w:p w14:paraId="5B5FCAF7">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第六章  响应文件格式</w:t>
      </w:r>
    </w:p>
    <w:p w14:paraId="0DA58631">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第七章  政府采购供应商询问函和质疑函范本</w:t>
      </w:r>
    </w:p>
    <w:p w14:paraId="0EF941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踏勘</w:t>
      </w:r>
      <w:r>
        <w:rPr>
          <w:rFonts w:hint="eastAsia" w:asciiTheme="minorEastAsia" w:hAnsiTheme="minorEastAsia" w:eastAsiaTheme="minorEastAsia"/>
          <w:color w:val="auto"/>
          <w:sz w:val="24"/>
          <w:highlight w:val="none"/>
          <w:lang w:eastAsia="zh-CN"/>
        </w:rPr>
        <w:t>（</w:t>
      </w:r>
      <w:r>
        <w:rPr>
          <w:rFonts w:hint="eastAsia" w:ascii="宋体" w:hAnsi="宋体" w:eastAsia="宋体" w:cs="@仿宋_GB2312"/>
          <w:b w:val="0"/>
          <w:bCs/>
          <w:color w:val="auto"/>
          <w:kern w:val="2"/>
          <w:sz w:val="24"/>
          <w:szCs w:val="22"/>
          <w:highlight w:val="none"/>
          <w:lang w:val="en-US" w:eastAsia="zh-CN" w:bidi="ar-SA"/>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58110BF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文件所有的事项、格式、条款和技术规范等。</w:t>
      </w:r>
    </w:p>
    <w:p w14:paraId="5F7532E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6.磋商文件的澄清与修改</w:t>
      </w:r>
    </w:p>
    <w:p w14:paraId="6F22022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6.1供应商如对磋商文件内容有疑问，必须在供应商须知前附表规定的网上询问截止时间前以书面提问形式提交给采购代理机构。</w:t>
      </w:r>
    </w:p>
    <w:p w14:paraId="16037D5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6.2</w:t>
      </w:r>
      <w:r>
        <w:rPr>
          <w:rFonts w:hint="eastAsia" w:asciiTheme="minorEastAsia" w:hAnsiTheme="minorEastAsia" w:eastAsiaTheme="minorEastAsia"/>
          <w:color w:val="auto"/>
          <w:sz w:val="24"/>
          <w:highlight w:val="none"/>
        </w:rPr>
        <w:t>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eastAsia="zh-CN"/>
        </w:rPr>
        <w:t>桐城师范高等专科学校</w:t>
      </w:r>
      <w:r>
        <w:rPr>
          <w:rFonts w:hint="eastAsia" w:asciiTheme="minorEastAsia" w:hAnsiTheme="minorEastAsia" w:eastAsiaTheme="minorEastAsia"/>
          <w:color w:val="auto"/>
          <w:sz w:val="24"/>
          <w:highlight w:val="none"/>
          <w:lang w:val="en-US" w:eastAsia="zh-CN"/>
        </w:rPr>
        <w:t>官网和安庆市公共资源交易服务网“限额以下项目”上</w:t>
      </w:r>
      <w:r>
        <w:rPr>
          <w:rFonts w:hint="eastAsia" w:asciiTheme="minorEastAsia" w:hAnsiTheme="minorEastAsia" w:eastAsiaTheme="minorEastAsia"/>
          <w:color w:val="auto"/>
          <w:sz w:val="24"/>
          <w:highlight w:val="none"/>
        </w:rPr>
        <w:t>发布更正公告的方式澄清或者修改</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1452C7A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35F2B7E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6.4对于没有提出询问又参与了本项目磋商的供应商将被视为完全认同本磋商文件（含更正公告的内容）。</w:t>
      </w:r>
    </w:p>
    <w:p w14:paraId="479E282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7.磋商范围及响应文件中标准和计量单位的使用</w:t>
      </w:r>
    </w:p>
    <w:p w14:paraId="4D97F1E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7.1</w:t>
      </w:r>
      <w:r>
        <w:rPr>
          <w:rFonts w:hint="eastAsia" w:ascii="宋体" w:hAnsi="宋体" w:cs="Times New Roman"/>
          <w:color w:val="auto"/>
          <w:sz w:val="24"/>
          <w:highlight w:val="none"/>
          <w:lang w:val="en-US" w:eastAsia="zh-CN"/>
        </w:rPr>
        <w:t>本</w:t>
      </w:r>
      <w:r>
        <w:rPr>
          <w:rFonts w:hint="eastAsia" w:ascii="宋体" w:hAnsi="宋体" w:eastAsia="宋体" w:cs="Times New Roman"/>
          <w:color w:val="auto"/>
          <w:sz w:val="24"/>
          <w:highlight w:val="none"/>
          <w:lang w:val="en-US" w:eastAsia="zh-CN"/>
        </w:rPr>
        <w:t>项目</w:t>
      </w:r>
      <w:r>
        <w:rPr>
          <w:rFonts w:hint="eastAsia" w:ascii="宋体" w:hAnsi="宋体" w:cs="Times New Roman"/>
          <w:color w:val="auto"/>
          <w:sz w:val="24"/>
          <w:highlight w:val="none"/>
          <w:lang w:val="en-US" w:eastAsia="zh-CN"/>
        </w:rPr>
        <w:t>无</w:t>
      </w:r>
      <w:r>
        <w:rPr>
          <w:rFonts w:hint="eastAsia" w:ascii="宋体" w:hAnsi="宋体" w:eastAsia="宋体" w:cs="Times New Roman"/>
          <w:color w:val="auto"/>
          <w:sz w:val="24"/>
          <w:highlight w:val="none"/>
          <w:lang w:val="en-US" w:eastAsia="zh-CN"/>
        </w:rPr>
        <w:t>分包。</w:t>
      </w:r>
    </w:p>
    <w:p w14:paraId="5FE3DE70">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7.2供应商应当对所投分包磋商文件中“采购需求”所列的所有内容进行响应，如仅响应所投包别中的部分内容，其所投包别的响应将被认定为响应无效</w:t>
      </w:r>
      <w:r>
        <w:rPr>
          <w:rFonts w:hint="eastAsia" w:ascii="宋体" w:hAnsi="宋体" w:eastAsia="宋体" w:cs="Times New Roman"/>
          <w:color w:val="auto"/>
          <w:sz w:val="24"/>
          <w:highlight w:val="yellow"/>
          <w:lang w:val="en-US" w:eastAsia="zh-CN"/>
        </w:rPr>
        <w:t>（采购文件允许偏离的除外）</w:t>
      </w:r>
      <w:r>
        <w:rPr>
          <w:rFonts w:hint="eastAsia" w:ascii="宋体" w:hAnsi="宋体" w:eastAsia="宋体" w:cs="Times New Roman"/>
          <w:color w:val="auto"/>
          <w:sz w:val="24"/>
          <w:highlight w:val="none"/>
          <w:lang w:val="en-US" w:eastAsia="zh-CN"/>
        </w:rPr>
        <w:t>。</w:t>
      </w:r>
    </w:p>
    <w:p w14:paraId="322931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7.3无论磋商文件中是否要求，供应商所投货物及伴随的服务和工程均应符合国家强制性标准。</w:t>
      </w:r>
    </w:p>
    <w:p w14:paraId="2A8D52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7.4供应商与采购代理机构之间与磋商有关的所有往来通知、函件和响应文件均用中文表述。供应商随响应文件提供的证明文件和资料可以为其它语言，但必须附中文译文。翻译的中文资料与外文资料如果出现差异时，以中文为准。</w:t>
      </w:r>
    </w:p>
    <w:p w14:paraId="687B0A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7.5除磋商文件中有特殊要求外，响应文件中所使用的计量单位，应采用中华人民共和国法定计量单位。</w:t>
      </w:r>
    </w:p>
    <w:p w14:paraId="328159C0">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8.响应文件构成</w:t>
      </w:r>
    </w:p>
    <w:p w14:paraId="18748EB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8.1供应商应完整地按磋商文件提供的响应文件格式及要求编写响应文件，具体内容详见本项目响应文件格式的相关内容。</w:t>
      </w:r>
    </w:p>
    <w:p w14:paraId="76F6BD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8.2供应商应提交磋商文件要求的证明文件，证明其响应内容符合磋商文件规定。该证明文件是响应文件的一部分。证明文件形式可以是文字资料、图纸和数据</w:t>
      </w:r>
      <w:bookmarkStart w:id="47" w:name="_Hlk11703583"/>
      <w:r>
        <w:rPr>
          <w:rFonts w:hint="eastAsia" w:ascii="宋体" w:hAnsi="宋体" w:eastAsia="宋体" w:cs="Times New Roman"/>
          <w:color w:val="auto"/>
          <w:sz w:val="24"/>
          <w:highlight w:val="none"/>
          <w:lang w:val="en-US" w:eastAsia="zh-CN"/>
        </w:rPr>
        <w:t>。</w:t>
      </w:r>
    </w:p>
    <w:bookmarkEnd w:id="47"/>
    <w:p w14:paraId="21E9A43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8.3为保证公平公正，除非磋商文件另有规定或说明，供应商对同一项目磋商时，不得同时提供备选磋商方案。</w:t>
      </w:r>
    </w:p>
    <w:p w14:paraId="05C862C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9.报价</w:t>
      </w:r>
    </w:p>
    <w:p w14:paraId="7052D033">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以及伴随的</w:t>
      </w:r>
      <w:r>
        <w:rPr>
          <w:rFonts w:hint="eastAsia" w:asciiTheme="minorEastAsia" w:hAnsiTheme="minorEastAsia" w:eastAsiaTheme="minorEastAsia"/>
          <w:color w:val="auto"/>
          <w:sz w:val="24"/>
          <w:highlight w:val="none"/>
        </w:rPr>
        <w:t>货物</w:t>
      </w:r>
      <w:r>
        <w:rPr>
          <w:rFonts w:asciiTheme="minorEastAsia" w:hAnsiTheme="minorEastAsia" w:eastAsiaTheme="minorEastAsia"/>
          <w:color w:val="auto"/>
          <w:sz w:val="24"/>
          <w:highlight w:val="none"/>
        </w:rPr>
        <w:t>和工程</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除磋商文件另有规定外，</w:t>
      </w:r>
      <w:r>
        <w:rPr>
          <w:rFonts w:hint="eastAsia" w:asciiTheme="minorEastAsia" w:hAnsiTheme="minorEastAsia" w:eastAsiaTheme="minorEastAsia"/>
          <w:color w:val="auto"/>
          <w:sz w:val="24"/>
          <w:highlight w:val="none"/>
        </w:rPr>
        <w:t>所有内容均应以人民币报价，供应商的</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报价应遵守《中华人民共和国价格法》。</w:t>
      </w:r>
    </w:p>
    <w:p w14:paraId="4150C6B9">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.2供应商应</w:t>
      </w:r>
      <w:r>
        <w:rPr>
          <w:rFonts w:hint="eastAsia" w:asciiTheme="minorEastAsia" w:hAnsiTheme="minorEastAsia" w:eastAsiaTheme="minorEastAsia"/>
          <w:color w:val="auto"/>
          <w:sz w:val="24"/>
          <w:highlight w:val="none"/>
        </w:rPr>
        <w:t>在分项报价表上标明分项服务、伴随的货物和工程的价格（如适用）和总价，未标明的视同包含在</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报价中。</w:t>
      </w:r>
    </w:p>
    <w:p w14:paraId="79B8B909">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除非</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文件另有规定或经采购人同意支付的，最后报价均不得高于</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文件（公告）列明的项目预算，否则其响应文件将被认定为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AC3ED12">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78F76B04">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采购人不接受具有附加条件的报价。</w:t>
      </w:r>
    </w:p>
    <w:p w14:paraId="6AB8C72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10.磋商保证金</w:t>
      </w:r>
    </w:p>
    <w:p w14:paraId="2641AA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10.1本项目不收取磋商保证金。</w:t>
      </w:r>
    </w:p>
    <w:p w14:paraId="3036E34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11.磋商有效期</w:t>
      </w:r>
    </w:p>
    <w:p w14:paraId="08E4B2A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11.1磋商有效期为从响应文件提交截止之日算起的日历天数，磋商有效期详见供应商须知前附表。</w:t>
      </w:r>
    </w:p>
    <w:p w14:paraId="016B73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11.2在磋商有效期内，供应商的磋商保持有效，供应商不得要求撤销或修改其响应文件。磋商有效期不满足要求的响应，其响应文件将被认定为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5503A1C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3C114C0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12.响应文件的提交、修改与撤回</w:t>
      </w:r>
    </w:p>
    <w:p w14:paraId="3EFBE38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12.1供应商应当在竞争性磋商公告规定的响应文件提交截止时间前，将密封完好的响应文件递交，逾期递交的响应文件将不予受理。</w:t>
      </w:r>
    </w:p>
    <w:p w14:paraId="77A8F62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12.2响应人应当在响应文件提交截止时间前完成响应文件的现场递交，未在响应文件提交截止时间前提交有效纸质响应文件的，代理机构不予接收，视为未提交响应文件。</w:t>
      </w:r>
    </w:p>
    <w:p w14:paraId="2ED401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12.3供应商应在供应商须知前附表规定的递交时间前对其响应文件进行提交，未在规定时间内进行递交的，</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7C431E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12.4在响应文件提交截止时间之后，供应商不得对其响应文件做任何修改。但属于磋商小组在评审中发现的计算错误并进行核实的修改、按照磋商文件的变动情况和磋商小组的要求重新提交响应文件的，不在此列。</w:t>
      </w:r>
    </w:p>
    <w:p w14:paraId="58FB80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13.磋商小组</w:t>
      </w:r>
    </w:p>
    <w:p w14:paraId="36395F8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13.1本项目将依法组建磋商小组，磋商小组成员由3人以上（含）单数组成，磋商小组及其成员应当依照政府采购的有关规定履行相关职责和义务。</w:t>
      </w:r>
    </w:p>
    <w:p w14:paraId="5CBC2F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13.2磋商小组依法对响应文件进行评审，并根据磋商文件规定的程序、评定成交的标准等事项与实质性响应磋商文件要求的供应商进行磋商。</w:t>
      </w:r>
    </w:p>
    <w:p w14:paraId="2B82BF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13.3磋商小组应当从质量和服务均能满足磋商文件实质性响应要求的供应商中，按照评审办法和标准推荐成交候选人，并编写评审报告。</w:t>
      </w:r>
    </w:p>
    <w:p w14:paraId="3954067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14.响应文件的评审与磋商</w:t>
      </w:r>
    </w:p>
    <w:p w14:paraId="61A6F3C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14.1采购人和采购代理机构将在竞争性磋商公告规定的时间和地点组织磋商。</w:t>
      </w:r>
    </w:p>
    <w:p w14:paraId="029152D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14.2竞争性磋商采用最低评标价法评审。</w:t>
      </w:r>
    </w:p>
    <w:p w14:paraId="6B838F9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最低评标价法，是指响应文件满足磋商文件全部实质性要求且最后报价最低的供应商为成交候选人的评标方法。</w:t>
      </w:r>
    </w:p>
    <w:p w14:paraId="0862BF8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14.3磋商小组将按照磋商文件规定的评审方法和标准对供应商独立进行评审。评审程序如下：</w:t>
      </w:r>
    </w:p>
    <w:p w14:paraId="4224439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14.3.1</w:t>
      </w:r>
      <w:r>
        <w:rPr>
          <w:rFonts w:hint="eastAsia" w:ascii="宋体" w:hAnsi="宋体" w:eastAsia="宋体" w:cs="Times New Roman"/>
          <w:b/>
          <w:bCs/>
          <w:color w:val="auto"/>
          <w:sz w:val="24"/>
          <w:highlight w:val="none"/>
          <w:lang w:val="en-US" w:eastAsia="zh-CN"/>
        </w:rPr>
        <w:t>初审</w:t>
      </w:r>
      <w:r>
        <w:rPr>
          <w:rFonts w:hint="eastAsia" w:ascii="宋体" w:hAnsi="宋体" w:eastAsia="宋体" w:cs="Times New Roman"/>
          <w:color w:val="auto"/>
          <w:sz w:val="24"/>
          <w:highlight w:val="none"/>
          <w:lang w:val="en-US" w:eastAsia="zh-CN"/>
        </w:rPr>
        <w:t>。磋商小组对供应商必须满足和实质性响应的内容进行评审，供应商未实质性响应磋商文件要求导致响应无效的，磋商小组将以书面询标的方式告知有关供应商。</w:t>
      </w:r>
    </w:p>
    <w:p w14:paraId="1F0A87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采购人或采购代理机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失信主体名单、中国政府采购网(www.ccgp.gov.cn)政府采购严重违法失信行为记录名单及其他不符合《中华人民共和国政府采购法》第二十二条规定条件的供应商，其响应文件将被认定为响应无效。</w:t>
      </w:r>
    </w:p>
    <w:p w14:paraId="5F7D8AE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以上信用查询记录，采购人或采购代理机构将下载查询结果页面后与其他采购文件一并保存。供应商不良信用记录以采购人或采购代理机构查询结果为准。在本采购文件规定的查询时间之外，网站信息发生的任何变更均不作为初审依据。供应商自行提供的与网站信息不一致的其他证明材料亦不作为初审依据。</w:t>
      </w:r>
    </w:p>
    <w:p w14:paraId="2BA384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14.3.2</w:t>
      </w:r>
      <w:r>
        <w:rPr>
          <w:rFonts w:hint="eastAsia" w:ascii="宋体" w:hAnsi="宋体" w:eastAsia="宋体" w:cs="Times New Roman"/>
          <w:b/>
          <w:bCs/>
          <w:color w:val="auto"/>
          <w:sz w:val="24"/>
          <w:highlight w:val="none"/>
          <w:lang w:val="en-US" w:eastAsia="zh-CN"/>
        </w:rPr>
        <w:t>磋商</w:t>
      </w:r>
      <w:r>
        <w:rPr>
          <w:rFonts w:hint="eastAsia" w:ascii="宋体" w:hAnsi="宋体" w:eastAsia="宋体" w:cs="Times New Roman"/>
          <w:color w:val="auto"/>
          <w:sz w:val="24"/>
          <w:highlight w:val="none"/>
          <w:lang w:val="en-US" w:eastAsia="zh-CN"/>
        </w:rPr>
        <w:t>。初审合格后，磋商小组将与单一供应商分别进行磋商，并给予所有参加磋商的供应商平等的磋商机会。</w:t>
      </w:r>
    </w:p>
    <w:p w14:paraId="5608CB7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14.3.3</w:t>
      </w:r>
      <w:r>
        <w:rPr>
          <w:rFonts w:hint="eastAsia" w:ascii="宋体" w:hAnsi="宋体" w:eastAsia="宋体" w:cs="Times New Roman"/>
          <w:b/>
          <w:bCs/>
          <w:color w:val="auto"/>
          <w:sz w:val="24"/>
          <w:highlight w:val="none"/>
          <w:lang w:val="en-US" w:eastAsia="zh-CN"/>
        </w:rPr>
        <w:t>报价</w:t>
      </w:r>
      <w:r>
        <w:rPr>
          <w:rFonts w:hint="eastAsia" w:ascii="宋体" w:hAnsi="宋体" w:eastAsia="宋体" w:cs="Times New Roman"/>
          <w:color w:val="auto"/>
          <w:sz w:val="24"/>
          <w:highlight w:val="none"/>
          <w:lang w:val="en-US" w:eastAsia="zh-CN"/>
        </w:rPr>
        <w:t>。磋商结束后，磋商小组应当要求所有继续参加磋商的供应商在规定时间内提交最后报价。如供应商未在规定时间内（30分钟内）提交最后报价，则视为供应商自愿退出磋商。</w:t>
      </w:r>
    </w:p>
    <w:p w14:paraId="26C9810D">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14.3.4</w:t>
      </w:r>
      <w:r>
        <w:rPr>
          <w:rFonts w:hint="eastAsia" w:ascii="宋体" w:hAnsi="宋体" w:eastAsia="宋体" w:cs="Times New Roman"/>
          <w:b/>
          <w:bCs/>
          <w:color w:val="auto"/>
          <w:sz w:val="24"/>
          <w:highlight w:val="none"/>
          <w:lang w:val="en-US" w:eastAsia="zh-CN"/>
        </w:rPr>
        <w:t>异常低价响应审查。根据《关于推进解决政府采购异常低价问题的通知》（财库〔2026〕2号），磋商小组进行异常低价响应审查。</w:t>
      </w:r>
    </w:p>
    <w:p w14:paraId="4562232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14.4相关说明。</w:t>
      </w:r>
    </w:p>
    <w:p w14:paraId="3AD3A8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14.4.1为保证磋商活动顺利进行，供应商可派相关技术人员进行现场答疑。</w:t>
      </w:r>
    </w:p>
    <w:p w14:paraId="70EC8D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14.4.2磋商小组根据与供应商磋商情况可能实质性变动磋商文件的内容，包括采购需求中的技术、服务要求以及合同草案条款。磋商文件有实质性变动的，经采购人代表确认作为磋商文件的有效组成部分，磋商小组将以书面形式通知所有参加磋商的供应商。</w:t>
      </w:r>
    </w:p>
    <w:p w14:paraId="5586BB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14.4.3磋商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378D0F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14.4.4无论何种原因，即使供应商磋商时携带了证书材料的原件，但响应文件中未提供与之内容完全一致的扫描件的，磋商小组可以视同其未提供。</w:t>
      </w:r>
    </w:p>
    <w:p w14:paraId="5055F4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14.4.5磋商小组决定响应文件的响应性及符合性只根据响应文件本身的内容，而不寻求其他外部证据。</w:t>
      </w:r>
    </w:p>
    <w:p w14:paraId="65539C3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14.5供应商授权代表对磋商过程有疑义，以及认为采购人、采购代理机构相关工作人员有需要回避的情形的，应当场提出询问或者回避申请，并说明理由。</w:t>
      </w:r>
    </w:p>
    <w:p w14:paraId="2F63E23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15.终止竞争性磋商</w:t>
      </w:r>
    </w:p>
    <w:p w14:paraId="5E29EEB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15.1出现下列情况之一时，采购人和采购代理机构有权宣布终止竞争性磋商采购，并将理由通知所有供应商：</w:t>
      </w:r>
    </w:p>
    <w:p w14:paraId="60D48D7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（1）有效供应商数量不足，导致本次磋商缺乏竞争的；</w:t>
      </w:r>
    </w:p>
    <w:p w14:paraId="4DA98F1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（2）出现影响采购公正的违法、违规行为的；</w:t>
      </w:r>
    </w:p>
    <w:p w14:paraId="254F1BC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（3）因重大变故，采购任务取消的；</w:t>
      </w:r>
    </w:p>
    <w:p w14:paraId="1F9DFE4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（4）政府采购法律法规规定的其他情形。</w:t>
      </w:r>
    </w:p>
    <w:p w14:paraId="5D5658AD">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16.响应文件的澄清、说明或更正</w:t>
      </w:r>
    </w:p>
    <w:p w14:paraId="04037D2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050D6C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16.2磋商小组要求供应商澄清、说明或者更正响应文件应当以书面形式（询标）作出。供应商的澄清、说明或者更正应当由法定代表人或其授权代表签字或者加盖公章。</w:t>
      </w:r>
    </w:p>
    <w:p w14:paraId="17A40863">
      <w:pPr>
        <w:pageBreakBefore w:val="0"/>
        <w:kinsoku/>
        <w:wordWrap/>
        <w:overflowPunct/>
        <w:topLinePunct w:val="0"/>
        <w:bidi w:val="0"/>
        <w:snapToGrid w:val="0"/>
        <w:spacing w:beforeAutospacing="0" w:afterAutospacing="0" w:line="500" w:lineRule="exact"/>
        <w:ind w:firstLine="241" w:firstLineChars="100"/>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如有询标，授权代表（或法定代表人）现场接受询标。因授权代表联系不上、没有莅临现场等情形而无法接受磋商小组询标的，供应商自行承担相关风险。</w:t>
      </w:r>
    </w:p>
    <w:p w14:paraId="48E7B59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17.最后报价</w:t>
      </w:r>
    </w:p>
    <w:p w14:paraId="5EB59CE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17.1磋商并不限定只进行二轮报价，如果磋商小组认为有必要，可以要求供应商进行多轮报价。</w:t>
      </w:r>
    </w:p>
    <w:p w14:paraId="719EFD7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17.2在磋商内容不做实质性变更或重大调整的前提下，供应商下轮报价不得高于上一轮报价。</w:t>
      </w:r>
    </w:p>
    <w:p w14:paraId="6E3BE18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17.3最后报价是供应商响应文件的有效组成部分，最后报价也是签订合同的依据。</w:t>
      </w:r>
    </w:p>
    <w:p w14:paraId="33E0DB4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18.成交候选人的推荐原则及标准</w:t>
      </w:r>
    </w:p>
    <w:p w14:paraId="42A93BD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18.1磋商小组依据本项目磋商文件所约定的评审方法和标准，按照最后报价由低到高的顺序依次推荐成交候选人。最后报价相同的，则由磋商小组采取随机抽取方式确定。</w:t>
      </w:r>
    </w:p>
    <w:p w14:paraId="092B46A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19.确定成交候选人和成交供应商</w:t>
      </w:r>
    </w:p>
    <w:p w14:paraId="29D60B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19.1磋商小组按照最后报价由低到高的顺序和供应商须知前附表中规定确定成交候选人。按供应商须知前附表中规定，由磋商小组或采购人确定成交供应商。</w:t>
      </w:r>
    </w:p>
    <w:p w14:paraId="71229C7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20.编写评审报告</w:t>
      </w:r>
    </w:p>
    <w:p w14:paraId="2693A82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20.1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4479C70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21.保密要求</w:t>
      </w:r>
    </w:p>
    <w:p w14:paraId="2A2CEDF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21.1评审将在严格保密的情况下进行。</w:t>
      </w:r>
    </w:p>
    <w:p w14:paraId="4F85A3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21.2有关人员应当遵守评审工作纪律，不得泄露评审文件、评审情况和评审中获悉的国家秘密、商业秘密。</w:t>
      </w:r>
    </w:p>
    <w:p w14:paraId="150AE60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22.成交结果公告</w:t>
      </w:r>
    </w:p>
    <w:p w14:paraId="4FD790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22.1为体现“公开、公平、公正”的原则，磋商结束后，采购代理机构将在桐城师范高等专科学校官网</w:t>
      </w:r>
      <w:r>
        <w:rPr>
          <w:rFonts w:hint="eastAsia" w:asciiTheme="minorEastAsia" w:hAnsiTheme="minorEastAsia" w:eastAsiaTheme="minorEastAsia" w:cstheme="minorEastAsia"/>
          <w:sz w:val="24"/>
          <w:szCs w:val="22"/>
          <w:lang w:val="en-US" w:eastAsia="zh-CN"/>
        </w:rPr>
        <w:t>tctc.edu.cn</w:t>
      </w:r>
      <w:r>
        <w:rPr>
          <w:rFonts w:hint="eastAsia" w:ascii="宋体" w:hAnsi="宋体" w:eastAsia="宋体" w:cs="Times New Roman"/>
          <w:color w:val="auto"/>
          <w:sz w:val="24"/>
          <w:highlight w:val="none"/>
          <w:lang w:val="en-US" w:eastAsia="zh-CN"/>
        </w:rPr>
        <w:t>和安庆市公共资源交易服务网</w:t>
      </w:r>
      <w:r>
        <w:rPr>
          <w:rFonts w:hint="eastAsia" w:asciiTheme="minorEastAsia" w:hAnsiTheme="minorEastAsia" w:eastAsiaTheme="minorEastAsia" w:cstheme="minorEastAsia"/>
          <w:sz w:val="24"/>
          <w:szCs w:val="22"/>
          <w:lang w:val="en-US" w:eastAsia="zh-CN"/>
        </w:rPr>
        <w:t>https://aqggzy.anqing.gov.cn/</w:t>
      </w:r>
      <w:r>
        <w:rPr>
          <w:rFonts w:hint="eastAsia" w:ascii="宋体" w:hAnsi="宋体" w:eastAsia="宋体" w:cs="Times New Roman"/>
          <w:color w:val="auto"/>
          <w:sz w:val="24"/>
          <w:highlight w:val="none"/>
          <w:lang w:val="en-US" w:eastAsia="zh-CN"/>
        </w:rPr>
        <w:t>“限额以下项目”上发布成交结果公告。</w:t>
      </w:r>
    </w:p>
    <w:p w14:paraId="68D564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22.2成交结果公告内容应当包括采购人及其委托的采购代理机构的名称、地址、联系方式，项目名称和项目编号，成交供应商名称、地址和成交金额，主要成交标的的名称、品牌（如有）、规格型号、数量、单价，成交结果公告期限、评审专家名单以及供应商须知前附表中约定进行公告的内容。</w:t>
      </w:r>
    </w:p>
    <w:p w14:paraId="315E763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23.成交通知书</w:t>
      </w:r>
    </w:p>
    <w:p w14:paraId="0709D03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23.1采购代理机构发布成交结果公告的同时以供应商须知前附表规定的形式向成交供应商发出成交通知书。</w:t>
      </w:r>
    </w:p>
    <w:p w14:paraId="1E90744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23.2成交通知书对采购人和成交供应商具有同等法律效力。成交通知书发出以后，采购人改变成交结果或者成交供应商放弃成交资格，应当承担相应的法律责任。</w:t>
      </w:r>
    </w:p>
    <w:p w14:paraId="4712008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23.3成交通知书是合同的组成部分。</w:t>
      </w:r>
    </w:p>
    <w:p w14:paraId="46932AAC">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24.告知磋商结果</w:t>
      </w:r>
    </w:p>
    <w:p w14:paraId="79B8FCF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24.1在公告成交结果的同时，采购代理机构同时以供应商须知前附表规定的形式告知未成交供应商本人的排序。</w:t>
      </w:r>
    </w:p>
    <w:p w14:paraId="7A07E4D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24.2采购代理机构对未成交的供应商不做未成交原因的解释。</w:t>
      </w:r>
    </w:p>
    <w:p w14:paraId="4CEBA475">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25.履约保证金</w:t>
      </w:r>
    </w:p>
    <w:p w14:paraId="7015E3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25.1成交供应商应按照供应商须知前附表规定缴纳履约保证金。</w:t>
      </w:r>
    </w:p>
    <w:p w14:paraId="2C1CD49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25.2如果成交供应商没有按照上述履约保证金的规定执行，将视为放弃成交资格。在此情况下，采购人可确定下一成交候选人为成交供应商，也可以重新开展采购活动。</w:t>
      </w:r>
    </w:p>
    <w:p w14:paraId="02B218C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26.代理费用</w:t>
      </w:r>
    </w:p>
    <w:p w14:paraId="6CB914B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26.1本项目代理费用的收取按供应商须知前附表的规定执行。</w:t>
      </w:r>
    </w:p>
    <w:p w14:paraId="456F33E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27.签订合同</w:t>
      </w:r>
    </w:p>
    <w:p w14:paraId="226E25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27.1采购人与成交供应商应当按照供应商须知前附表规定的时间内完成政府采购合同签订及合同公告。</w:t>
      </w:r>
    </w:p>
    <w:p w14:paraId="0AC727D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27.2磋商文件、成交供应商的响应文件及其澄清文件等，均为签订合同的依据。</w:t>
      </w:r>
    </w:p>
    <w:p w14:paraId="170A95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27.3 成交供应商拒绝与采购人签订合同的，采购人可以按照评审报告推荐的成交候选人名单排序，确定下一成交候选人为成交供应商，也可以重新开展采购活动。成交供应商拒绝签订政府采购合同的不得参加对该项目重新开展的采购活动。</w:t>
      </w:r>
    </w:p>
    <w:p w14:paraId="4DE9F8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28.廉洁自律规定</w:t>
      </w:r>
    </w:p>
    <w:p w14:paraId="5A14A57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28.1采购代理机构工作人员不得以不正当手段获取政府采购代理业务，不得与采购人、供应商恶意串通。</w:t>
      </w:r>
    </w:p>
    <w:p w14:paraId="47E94F1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28.2采购代理机构工作人员不得接受采购人或者供应商组织的宴请、旅游、娱乐，不得收受礼品、现金、有价证券等，不得向采购人或者供应商报销应当由个人承担的费用。</w:t>
      </w:r>
    </w:p>
    <w:p w14:paraId="7F2F104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29.质疑的提出与接收</w:t>
      </w:r>
    </w:p>
    <w:p w14:paraId="0D40443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29.1供应商认为磋商文件、采购过程和成交结果使自己的权益受到损害的，可以在知道或者应知其权益受到损害之日起七个工作日内，以书面形式向采购人或其委托的采购代理机构提出质疑。</w:t>
      </w:r>
    </w:p>
    <w:p w14:paraId="0A44BE2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29.2质疑供应商应按照财政部制定的《政府采购质疑函范本》格式和《政府采购质疑和投诉办法》的要求，在法定质疑期内以书面形式提出质疑，超出法定质疑期提交的质疑将被拒绝。针对同一采购程序环节的质疑应一次性提出。</w:t>
      </w:r>
    </w:p>
    <w:p w14:paraId="38FB1E1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29.3采购代理机构质疑函接收部门、联系电话和通讯地址，见供应商须知前附表。</w:t>
      </w:r>
    </w:p>
    <w:p w14:paraId="4E139FF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30.需要补充的其他内容</w:t>
      </w:r>
    </w:p>
    <w:p w14:paraId="7C2E2DA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需要补充的其他内容，见供应商须知前附表。</w:t>
      </w:r>
    </w:p>
    <w:p w14:paraId="6B85ACF8">
      <w:pPr>
        <w:spacing w:beforeAutospacing="0" w:line="360" w:lineRule="auto"/>
        <w:outlineLvl w:val="2"/>
        <w:rPr>
          <w:rFonts w:hint="default"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31.备注</w:t>
      </w:r>
    </w:p>
    <w:p w14:paraId="1EFDFFD1">
      <w:pPr>
        <w:spacing w:line="360" w:lineRule="auto"/>
        <w:ind w:firstLine="240" w:firstLineChars="100"/>
        <w:rPr>
          <w:rFonts w:hint="default" w:ascii="宋体" w:hAnsi="宋体" w:eastAsia="宋体" w:cs="Times New Roman"/>
          <w:color w:val="auto"/>
          <w:sz w:val="24"/>
          <w:highlight w:val="none"/>
          <w:lang w:val="en-US" w:eastAsia="zh-CN"/>
        </w:rPr>
        <w:sectPr>
          <w:footerReference r:id="rId8" w:type="default"/>
          <w:pgSz w:w="11906" w:h="16838"/>
          <w:pgMar w:top="1418" w:right="1418" w:bottom="1276" w:left="1418" w:header="680" w:footer="68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Times New Roman"/>
          <w:color w:val="auto"/>
          <w:sz w:val="24"/>
          <w:highlight w:val="none"/>
          <w:lang w:val="en-US" w:eastAsia="zh-CN"/>
        </w:rPr>
        <w:t>本磋商文件第五章合同格式内容以供参考，具体合同内容以采购人与成交供应商所签订的合同为准</w:t>
      </w:r>
      <w:r>
        <w:rPr>
          <w:rFonts w:hint="eastAsia" w:ascii="宋体" w:hAnsi="宋体" w:cs="Times New Roman"/>
          <w:color w:val="auto"/>
          <w:sz w:val="24"/>
          <w:highlight w:val="none"/>
          <w:lang w:val="en-US" w:eastAsia="zh-CN"/>
        </w:rPr>
        <w:t>。</w:t>
      </w:r>
    </w:p>
    <w:bookmarkEnd w:id="39"/>
    <w:bookmarkEnd w:id="40"/>
    <w:bookmarkEnd w:id="41"/>
    <w:bookmarkEnd w:id="42"/>
    <w:bookmarkEnd w:id="43"/>
    <w:bookmarkEnd w:id="44"/>
    <w:bookmarkEnd w:id="45"/>
    <w:p w14:paraId="1C9EA266">
      <w:pPr>
        <w:pStyle w:val="3"/>
        <w:numPr>
          <w:ilvl w:val="0"/>
          <w:numId w:val="0"/>
        </w:numPr>
        <w:spacing w:before="0" w:beforeAutospacing="0" w:afterLines="0"/>
        <w:jc w:val="center"/>
        <w:rPr>
          <w:rFonts w:hint="eastAsia" w:ascii="Arial" w:hAnsi="Arial"/>
          <w:color w:val="auto"/>
          <w:kern w:val="2"/>
          <w:sz w:val="32"/>
          <w:szCs w:val="32"/>
          <w:highlight w:val="none"/>
          <w:lang w:val="en-US" w:eastAsia="zh-CN"/>
        </w:rPr>
      </w:pPr>
      <w:r>
        <w:rPr>
          <w:rFonts w:hint="eastAsia" w:ascii="Arial" w:hAnsi="Arial"/>
          <w:color w:val="auto"/>
          <w:kern w:val="2"/>
          <w:sz w:val="32"/>
          <w:szCs w:val="32"/>
          <w:highlight w:val="none"/>
          <w:lang w:val="en-US" w:eastAsia="zh-CN"/>
        </w:rPr>
        <w:t>第三章 采购需求</w:t>
      </w:r>
      <w:bookmarkEnd w:id="38"/>
    </w:p>
    <w:p w14:paraId="57F92650">
      <w:pPr>
        <w:pStyle w:val="5"/>
        <w:keepNext/>
        <w:keepLines/>
        <w:pageBreakBefore w:val="0"/>
        <w:widowControl w:val="0"/>
        <w:numPr>
          <w:ilvl w:val="0"/>
          <w:numId w:val="0"/>
        </w:numPr>
        <w:tabs>
          <w:tab w:val="left" w:pos="2730"/>
        </w:tabs>
        <w:kinsoku/>
        <w:wordWrap/>
        <w:overflowPunct/>
        <w:topLinePunct w:val="0"/>
        <w:autoSpaceDE/>
        <w:autoSpaceDN/>
        <w:bidi w:val="0"/>
        <w:adjustRightInd w:val="0"/>
        <w:snapToGrid/>
        <w:spacing w:before="157" w:beforeLines="50" w:after="157" w:afterLines="50" w:line="240" w:lineRule="auto"/>
        <w:ind w:firstLine="472" w:firstLineChars="196"/>
        <w:textAlignment w:val="auto"/>
        <w:rPr>
          <w:rFonts w:hint="eastAsia" w:ascii="宋体" w:hAnsi="宋体" w:eastAsia="宋体" w:cs="宋体"/>
          <w:b/>
          <w:bCs/>
          <w:sz w:val="24"/>
          <w:szCs w:val="24"/>
          <w:lang w:val="en-US" w:eastAsia="zh-CN" w:bidi="ar-SA"/>
        </w:rPr>
      </w:pPr>
      <w:bookmarkStart w:id="48" w:name="_Toc16371"/>
      <w:r>
        <w:rPr>
          <w:rFonts w:hint="eastAsia" w:ascii="宋体" w:hAnsi="宋体" w:eastAsia="宋体" w:cs="宋体"/>
          <w:b/>
          <w:bCs/>
          <w:sz w:val="24"/>
          <w:szCs w:val="24"/>
          <w:lang w:val="en-US" w:eastAsia="zh-CN" w:bidi="ar-SA"/>
        </w:rPr>
        <w:t>一、商务要求</w:t>
      </w:r>
    </w:p>
    <w:tbl>
      <w:tblPr>
        <w:tblStyle w:val="41"/>
        <w:tblW w:w="95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2108"/>
        <w:gridCol w:w="6646"/>
      </w:tblGrid>
      <w:tr w14:paraId="50270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808" w:type="dxa"/>
            <w:vAlign w:val="center"/>
          </w:tcPr>
          <w:p w14:paraId="2966F35B">
            <w:pPr>
              <w:pStyle w:val="22"/>
              <w:jc w:val="center"/>
              <w:rPr>
                <w:rFonts w:cs="Wingdings" w:asciiTheme="minorEastAsia" w:hAnsiTheme="minorEastAsia"/>
                <w:b/>
                <w:sz w:val="24"/>
              </w:rPr>
            </w:pPr>
            <w:r>
              <w:rPr>
                <w:rFonts w:hint="eastAsia" w:cs="Wingdings" w:asciiTheme="minorEastAsia" w:hAnsiTheme="minorEastAsia"/>
                <w:b/>
                <w:color w:val="auto"/>
                <w:sz w:val="24"/>
                <w:highlight w:val="none"/>
              </w:rPr>
              <w:t>序号</w:t>
            </w:r>
          </w:p>
        </w:tc>
        <w:tc>
          <w:tcPr>
            <w:tcW w:w="2108" w:type="dxa"/>
            <w:vAlign w:val="center"/>
          </w:tcPr>
          <w:p w14:paraId="78ECC137">
            <w:pPr>
              <w:pStyle w:val="22"/>
              <w:jc w:val="center"/>
            </w:pPr>
            <w:r>
              <w:rPr>
                <w:rFonts w:hint="eastAsia" w:asciiTheme="minorEastAsia" w:hAnsiTheme="minorEastAsia"/>
                <w:b/>
                <w:bCs/>
                <w:color w:val="auto"/>
                <w:sz w:val="24"/>
                <w:szCs w:val="24"/>
                <w:highlight w:val="none"/>
              </w:rPr>
              <w:t>商务条款</w:t>
            </w:r>
          </w:p>
        </w:tc>
        <w:tc>
          <w:tcPr>
            <w:tcW w:w="6646" w:type="dxa"/>
            <w:vAlign w:val="center"/>
          </w:tcPr>
          <w:p w14:paraId="73136536">
            <w:pPr>
              <w:pStyle w:val="22"/>
              <w:jc w:val="center"/>
              <w:rPr>
                <w:rFonts w:cs="Wingdings" w:asciiTheme="minorEastAsia" w:hAnsiTheme="minorEastAsia"/>
                <w:b/>
                <w:sz w:val="24"/>
              </w:rPr>
            </w:pPr>
            <w:r>
              <w:rPr>
                <w:rFonts w:hint="eastAsia" w:cs="Wingdings" w:asciiTheme="minorEastAsia" w:hAnsiTheme="minorEastAsia"/>
                <w:b/>
                <w:color w:val="auto"/>
                <w:sz w:val="24"/>
                <w:highlight w:val="none"/>
                <w:lang w:eastAsia="zh-CN"/>
              </w:rPr>
              <w:t>磋商文件</w:t>
            </w:r>
            <w:r>
              <w:rPr>
                <w:rFonts w:hint="eastAsia" w:cs="Wingdings" w:asciiTheme="minorEastAsia" w:hAnsiTheme="minorEastAsia"/>
                <w:b/>
                <w:color w:val="auto"/>
                <w:sz w:val="24"/>
                <w:highlight w:val="none"/>
              </w:rPr>
              <w:t>要求</w:t>
            </w:r>
          </w:p>
        </w:tc>
      </w:tr>
      <w:tr w14:paraId="7B9DE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6" w:hRule="atLeast"/>
          <w:jc w:val="center"/>
        </w:trPr>
        <w:tc>
          <w:tcPr>
            <w:tcW w:w="808" w:type="dxa"/>
            <w:vAlign w:val="center"/>
          </w:tcPr>
          <w:p w14:paraId="151E8ADE">
            <w:pPr>
              <w:jc w:val="center"/>
              <w:rPr>
                <w:rFonts w:asciiTheme="minorEastAsia" w:hAnsiTheme="minorEastAsia" w:eastAsiaTheme="minorEastAsia"/>
                <w:sz w:val="24"/>
              </w:rPr>
            </w:pPr>
            <w:r>
              <w:rPr>
                <w:rFonts w:asciiTheme="minorEastAsia" w:hAnsiTheme="minorEastAsia" w:eastAsiaTheme="minorEastAsia"/>
                <w:color w:val="auto"/>
                <w:sz w:val="24"/>
                <w:highlight w:val="none"/>
              </w:rPr>
              <w:t>1</w:t>
            </w:r>
          </w:p>
        </w:tc>
        <w:tc>
          <w:tcPr>
            <w:tcW w:w="2108" w:type="dxa"/>
            <w:vAlign w:val="center"/>
          </w:tcPr>
          <w:p w14:paraId="05793A89">
            <w:pPr>
              <w:jc w:val="center"/>
              <w:rPr>
                <w:rFonts w:ascii="宋体" w:hAnsi="宋体"/>
                <w:sz w:val="24"/>
              </w:rPr>
            </w:pPr>
            <w:r>
              <w:rPr>
                <w:rFonts w:asciiTheme="minorEastAsia" w:hAnsiTheme="minorEastAsia" w:eastAsiaTheme="minorEastAsia"/>
                <w:color w:val="auto"/>
                <w:sz w:val="24"/>
                <w:highlight w:val="none"/>
              </w:rPr>
              <w:t>付款方式</w:t>
            </w:r>
          </w:p>
        </w:tc>
        <w:tc>
          <w:tcPr>
            <w:tcW w:w="6646" w:type="dxa"/>
            <w:vAlign w:val="center"/>
          </w:tcPr>
          <w:p w14:paraId="4BD2A12B">
            <w:pPr>
              <w:pStyle w:val="49"/>
              <w:rPr>
                <w:rFonts w:hint="default"/>
                <w:lang w:val="en-US" w:eastAsia="zh-CN"/>
              </w:rPr>
            </w:pPr>
            <w:r>
              <w:rPr>
                <w:rFonts w:hint="eastAsia" w:asciiTheme="minorEastAsia" w:hAnsiTheme="minorEastAsia" w:eastAsiaTheme="minorEastAsia"/>
                <w:sz w:val="24"/>
                <w:lang w:val="en-US" w:eastAsia="zh-CN"/>
              </w:rPr>
              <w:t xml:space="preserve"> 完成本项目当年度所有服务内容并验收合格后一次性支付</w:t>
            </w:r>
          </w:p>
        </w:tc>
      </w:tr>
      <w:tr w14:paraId="6A60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atLeast"/>
          <w:jc w:val="center"/>
        </w:trPr>
        <w:tc>
          <w:tcPr>
            <w:tcW w:w="808" w:type="dxa"/>
            <w:vAlign w:val="center"/>
          </w:tcPr>
          <w:p w14:paraId="35B4FD05">
            <w:pPr>
              <w:jc w:val="center"/>
              <w:rPr>
                <w:rFonts w:asciiTheme="minorEastAsia" w:hAnsiTheme="minorEastAsia" w:eastAsiaTheme="minorEastAsia"/>
                <w:sz w:val="24"/>
              </w:rPr>
            </w:pPr>
            <w:r>
              <w:rPr>
                <w:rFonts w:hint="eastAsia" w:asciiTheme="minorEastAsia" w:hAnsiTheme="minorEastAsia" w:eastAsiaTheme="minorEastAsia"/>
                <w:color w:val="auto"/>
                <w:sz w:val="24"/>
                <w:highlight w:val="none"/>
              </w:rPr>
              <w:t>2</w:t>
            </w:r>
          </w:p>
        </w:tc>
        <w:tc>
          <w:tcPr>
            <w:tcW w:w="2108" w:type="dxa"/>
            <w:vAlign w:val="center"/>
          </w:tcPr>
          <w:p w14:paraId="3927B841">
            <w:pPr>
              <w:jc w:val="center"/>
              <w:rPr>
                <w:rFonts w:ascii="宋体" w:hAnsi="宋体"/>
                <w:sz w:val="24"/>
              </w:rPr>
            </w:pPr>
            <w:r>
              <w:rPr>
                <w:rFonts w:hint="eastAsia" w:ascii="宋体" w:hAnsi="宋体"/>
                <w:color w:val="auto"/>
                <w:sz w:val="24"/>
                <w:highlight w:val="none"/>
                <w:lang w:val="en-US" w:eastAsia="zh-CN"/>
              </w:rPr>
              <w:t>服务</w:t>
            </w:r>
            <w:r>
              <w:rPr>
                <w:rFonts w:hint="eastAsia" w:ascii="宋体" w:hAnsi="宋体"/>
                <w:color w:val="auto"/>
                <w:sz w:val="24"/>
                <w:highlight w:val="none"/>
              </w:rPr>
              <w:t>地点</w:t>
            </w:r>
          </w:p>
        </w:tc>
        <w:tc>
          <w:tcPr>
            <w:tcW w:w="6646" w:type="dxa"/>
            <w:vAlign w:val="center"/>
          </w:tcPr>
          <w:p w14:paraId="66C75729">
            <w:pPr>
              <w:jc w:val="center"/>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桐城师范高等专科学校内</w:t>
            </w:r>
          </w:p>
        </w:tc>
      </w:tr>
      <w:tr w14:paraId="49AAF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jc w:val="center"/>
        </w:trPr>
        <w:tc>
          <w:tcPr>
            <w:tcW w:w="808" w:type="dxa"/>
            <w:vAlign w:val="center"/>
          </w:tcPr>
          <w:p w14:paraId="319512A6">
            <w:pPr>
              <w:jc w:val="center"/>
              <w:rPr>
                <w:rFonts w:asciiTheme="minorEastAsia" w:hAnsiTheme="minorEastAsia" w:eastAsiaTheme="minorEastAsia"/>
                <w:sz w:val="24"/>
              </w:rPr>
            </w:pPr>
            <w:r>
              <w:rPr>
                <w:rFonts w:hint="eastAsia" w:asciiTheme="minorEastAsia" w:hAnsiTheme="minorEastAsia" w:eastAsiaTheme="minorEastAsia"/>
                <w:color w:val="auto"/>
                <w:sz w:val="24"/>
                <w:highlight w:val="none"/>
              </w:rPr>
              <w:t>3</w:t>
            </w:r>
          </w:p>
        </w:tc>
        <w:tc>
          <w:tcPr>
            <w:tcW w:w="2108" w:type="dxa"/>
            <w:vAlign w:val="center"/>
          </w:tcPr>
          <w:p w14:paraId="39223CE6">
            <w:pPr>
              <w:jc w:val="center"/>
              <w:rPr>
                <w:rFonts w:ascii="宋体" w:hAnsi="宋体"/>
                <w:sz w:val="24"/>
              </w:rPr>
            </w:pPr>
            <w:r>
              <w:rPr>
                <w:rFonts w:hint="eastAsia" w:ascii="宋体" w:hAnsi="宋体"/>
                <w:color w:val="auto"/>
                <w:sz w:val="24"/>
                <w:highlight w:val="none"/>
                <w:lang w:val="en-US" w:eastAsia="zh-CN"/>
              </w:rPr>
              <w:t>服务</w:t>
            </w:r>
            <w:r>
              <w:rPr>
                <w:rFonts w:hint="eastAsia" w:ascii="宋体" w:hAnsi="宋体"/>
                <w:color w:val="auto"/>
                <w:sz w:val="24"/>
                <w:highlight w:val="none"/>
              </w:rPr>
              <w:t>期限</w:t>
            </w:r>
          </w:p>
        </w:tc>
        <w:tc>
          <w:tcPr>
            <w:tcW w:w="6646" w:type="dxa"/>
            <w:vAlign w:val="center"/>
          </w:tcPr>
          <w:p w14:paraId="1D4D2E9F">
            <w:pPr>
              <w:jc w:val="center"/>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2年</w:t>
            </w:r>
          </w:p>
        </w:tc>
      </w:tr>
    </w:tbl>
    <w:p w14:paraId="5EE72C66">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 w:hAnsi="仿宋" w:eastAsia="仿宋"/>
          <w:color w:val="auto"/>
          <w:sz w:val="24"/>
          <w:szCs w:val="24"/>
          <w:highlight w:val="none"/>
          <w:lang w:eastAsia="zh-CN"/>
        </w:rPr>
      </w:pPr>
    </w:p>
    <w:p w14:paraId="5CD3C8E3">
      <w:pPr>
        <w:pStyle w:val="5"/>
        <w:keepNext/>
        <w:keepLines/>
        <w:pageBreakBefore w:val="0"/>
        <w:widowControl w:val="0"/>
        <w:numPr>
          <w:ilvl w:val="0"/>
          <w:numId w:val="0"/>
        </w:numPr>
        <w:tabs>
          <w:tab w:val="left" w:pos="2730"/>
        </w:tabs>
        <w:kinsoku/>
        <w:wordWrap/>
        <w:overflowPunct/>
        <w:topLinePunct w:val="0"/>
        <w:autoSpaceDE/>
        <w:autoSpaceDN/>
        <w:bidi w:val="0"/>
        <w:adjustRightInd w:val="0"/>
        <w:snapToGrid/>
        <w:spacing w:before="157" w:beforeLines="50" w:after="157" w:afterLines="50" w:line="240" w:lineRule="auto"/>
        <w:ind w:firstLine="472" w:firstLineChars="196"/>
        <w:textAlignment w:val="auto"/>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二、服务内容：</w:t>
      </w:r>
    </w:p>
    <w:p w14:paraId="3E88AB46">
      <w:pPr>
        <w:pStyle w:val="13"/>
        <w:autoSpaceDE/>
        <w:autoSpaceDN/>
        <w:jc w:val="left"/>
        <w:rPr>
          <w:rFonts w:hint="eastAsia" w:asciiTheme="minorEastAsia" w:hAnsiTheme="minorEastAsia" w:eastAsiaTheme="minorEastAsia" w:cstheme="minorEastAsia"/>
          <w:b w:val="0"/>
          <w:bCs/>
          <w:color w:val="auto"/>
          <w:kern w:val="0"/>
          <w:sz w:val="24"/>
          <w:szCs w:val="24"/>
          <w:highlight w:val="none"/>
          <w:lang w:val="en-US" w:eastAsia="zh-CN" w:bidi="ar-SA"/>
        </w:rPr>
      </w:pPr>
      <w:r>
        <w:rPr>
          <w:rFonts w:hint="eastAsia" w:asciiTheme="minorEastAsia" w:hAnsiTheme="minorEastAsia" w:eastAsiaTheme="minorEastAsia" w:cstheme="minorEastAsia"/>
          <w:b w:val="0"/>
          <w:bCs/>
          <w:color w:val="auto"/>
          <w:kern w:val="0"/>
          <w:sz w:val="24"/>
          <w:szCs w:val="24"/>
          <w:highlight w:val="none"/>
          <w:lang w:val="en-US" w:eastAsia="zh-CN" w:bidi="ar-SA"/>
        </w:rPr>
        <w:t>确保本校新校区校门口及学生宿舍信息化安全出入管理设备正常的工作及运转顺利进行，维保设备及系统清单如下：</w:t>
      </w:r>
    </w:p>
    <w:p w14:paraId="6CECD0A2">
      <w:pPr>
        <w:pStyle w:val="13"/>
        <w:autoSpaceDE/>
        <w:autoSpaceDN/>
        <w:ind w:firstLine="480" w:firstLineChars="200"/>
        <w:jc w:val="left"/>
        <w:rPr>
          <w:rFonts w:hint="eastAsia" w:asciiTheme="minorEastAsia" w:hAnsiTheme="minorEastAsia" w:eastAsiaTheme="minorEastAsia" w:cstheme="minorEastAsia"/>
          <w:b w:val="0"/>
          <w:bCs/>
          <w:color w:val="auto"/>
          <w:kern w:val="0"/>
          <w:sz w:val="24"/>
          <w:szCs w:val="24"/>
          <w:highlight w:val="none"/>
          <w:lang w:val="en-US" w:eastAsia="zh-CN" w:bidi="ar-SA"/>
        </w:rPr>
      </w:pPr>
      <w:r>
        <w:rPr>
          <w:rFonts w:hint="eastAsia" w:asciiTheme="minorEastAsia" w:hAnsiTheme="minorEastAsia" w:eastAsiaTheme="minorEastAsia" w:cstheme="minorEastAsia"/>
          <w:b w:val="0"/>
          <w:bCs/>
          <w:color w:val="auto"/>
          <w:kern w:val="0"/>
          <w:sz w:val="24"/>
          <w:szCs w:val="24"/>
          <w:highlight w:val="none"/>
          <w:lang w:val="en-US" w:eastAsia="zh-CN" w:bidi="ar-SA"/>
        </w:rPr>
        <w:t>1、校门口通行设备及系统维保</w:t>
      </w:r>
    </w:p>
    <w:tbl>
      <w:tblPr>
        <w:tblStyle w:val="41"/>
        <w:tblW w:w="5654" w:type="pct"/>
        <w:jc w:val="center"/>
        <w:tblLayout w:type="autofit"/>
        <w:tblCellMar>
          <w:top w:w="0" w:type="dxa"/>
          <w:left w:w="108" w:type="dxa"/>
          <w:bottom w:w="0" w:type="dxa"/>
          <w:right w:w="108" w:type="dxa"/>
        </w:tblCellMar>
      </w:tblPr>
      <w:tblGrid>
        <w:gridCol w:w="854"/>
        <w:gridCol w:w="3044"/>
        <w:gridCol w:w="3387"/>
        <w:gridCol w:w="1176"/>
        <w:gridCol w:w="1176"/>
      </w:tblGrid>
      <w:tr w14:paraId="300E9729">
        <w:trPr>
          <w:trHeight w:val="310" w:hRule="atLeast"/>
          <w:jc w:val="center"/>
        </w:trPr>
        <w:tc>
          <w:tcPr>
            <w:tcW w:w="443" w:type="pct"/>
            <w:tcBorders>
              <w:top w:val="single" w:color="auto" w:sz="4" w:space="0"/>
              <w:left w:val="single" w:color="auto" w:sz="4" w:space="0"/>
              <w:bottom w:val="single" w:color="auto" w:sz="4" w:space="0"/>
              <w:right w:val="single" w:color="auto" w:sz="4" w:space="0"/>
            </w:tcBorders>
            <w:noWrap w:val="0"/>
            <w:vAlign w:val="center"/>
          </w:tcPr>
          <w:p w14:paraId="7DF362B9">
            <w:pPr>
              <w:pStyle w:val="13"/>
              <w:ind w:left="0" w:leftChars="0" w:firstLine="0" w:firstLineChars="0"/>
              <w:jc w:val="center"/>
              <w:rPr>
                <w:rFonts w:hint="eastAsia"/>
                <w:b/>
                <w:bCs/>
                <w:sz w:val="24"/>
                <w:szCs w:val="32"/>
              </w:rPr>
            </w:pPr>
            <w:r>
              <w:rPr>
                <w:rFonts w:hint="eastAsia"/>
                <w:b/>
                <w:bCs/>
                <w:sz w:val="24"/>
                <w:szCs w:val="32"/>
              </w:rPr>
              <w:t>序号</w:t>
            </w:r>
          </w:p>
        </w:tc>
        <w:tc>
          <w:tcPr>
            <w:tcW w:w="1579" w:type="pct"/>
            <w:tcBorders>
              <w:top w:val="single" w:color="auto" w:sz="4" w:space="0"/>
              <w:left w:val="nil"/>
              <w:bottom w:val="single" w:color="auto" w:sz="4" w:space="0"/>
              <w:right w:val="single" w:color="auto" w:sz="4" w:space="0"/>
            </w:tcBorders>
            <w:noWrap w:val="0"/>
            <w:vAlign w:val="center"/>
          </w:tcPr>
          <w:p w14:paraId="03D31F77">
            <w:pPr>
              <w:pStyle w:val="13"/>
              <w:jc w:val="center"/>
              <w:rPr>
                <w:rFonts w:hint="eastAsia"/>
                <w:b/>
                <w:bCs/>
                <w:sz w:val="24"/>
                <w:szCs w:val="32"/>
              </w:rPr>
            </w:pPr>
            <w:r>
              <w:rPr>
                <w:rFonts w:hint="eastAsia"/>
                <w:b/>
                <w:bCs/>
                <w:sz w:val="24"/>
                <w:szCs w:val="32"/>
              </w:rPr>
              <w:t>货物名称</w:t>
            </w:r>
          </w:p>
        </w:tc>
        <w:tc>
          <w:tcPr>
            <w:tcW w:w="1757" w:type="pct"/>
            <w:tcBorders>
              <w:top w:val="single" w:color="auto" w:sz="4" w:space="0"/>
              <w:left w:val="nil"/>
              <w:bottom w:val="single" w:color="auto" w:sz="4" w:space="0"/>
              <w:right w:val="single" w:color="auto" w:sz="4" w:space="0"/>
            </w:tcBorders>
            <w:noWrap w:val="0"/>
            <w:vAlign w:val="center"/>
          </w:tcPr>
          <w:p w14:paraId="1B540359">
            <w:pPr>
              <w:pStyle w:val="13"/>
              <w:jc w:val="center"/>
              <w:rPr>
                <w:rFonts w:hint="eastAsia"/>
                <w:b/>
                <w:bCs/>
                <w:sz w:val="24"/>
                <w:szCs w:val="32"/>
              </w:rPr>
            </w:pPr>
            <w:r>
              <w:rPr>
                <w:rFonts w:hint="eastAsia"/>
                <w:b/>
                <w:bCs/>
                <w:sz w:val="24"/>
                <w:szCs w:val="32"/>
              </w:rPr>
              <w:t>品牌型号</w:t>
            </w:r>
          </w:p>
        </w:tc>
        <w:tc>
          <w:tcPr>
            <w:tcW w:w="610" w:type="pct"/>
            <w:tcBorders>
              <w:top w:val="single" w:color="auto" w:sz="4" w:space="0"/>
              <w:left w:val="nil"/>
              <w:bottom w:val="single" w:color="auto" w:sz="4" w:space="0"/>
              <w:right w:val="single" w:color="auto" w:sz="4" w:space="0"/>
            </w:tcBorders>
            <w:noWrap w:val="0"/>
            <w:vAlign w:val="center"/>
          </w:tcPr>
          <w:p w14:paraId="2485C5E8">
            <w:pPr>
              <w:pStyle w:val="13"/>
              <w:ind w:left="0" w:leftChars="0" w:firstLine="0" w:firstLineChars="0"/>
              <w:jc w:val="center"/>
              <w:rPr>
                <w:rFonts w:hint="eastAsia"/>
                <w:b/>
                <w:bCs/>
                <w:sz w:val="24"/>
                <w:szCs w:val="32"/>
              </w:rPr>
            </w:pPr>
            <w:r>
              <w:rPr>
                <w:rFonts w:hint="eastAsia"/>
                <w:b/>
                <w:bCs/>
                <w:sz w:val="24"/>
                <w:szCs w:val="32"/>
              </w:rPr>
              <w:t>单位</w:t>
            </w:r>
          </w:p>
        </w:tc>
        <w:tc>
          <w:tcPr>
            <w:tcW w:w="610" w:type="pct"/>
            <w:tcBorders>
              <w:top w:val="single" w:color="auto" w:sz="4" w:space="0"/>
              <w:left w:val="nil"/>
              <w:bottom w:val="single" w:color="auto" w:sz="4" w:space="0"/>
              <w:right w:val="single" w:color="auto" w:sz="4" w:space="0"/>
            </w:tcBorders>
            <w:noWrap w:val="0"/>
            <w:vAlign w:val="center"/>
          </w:tcPr>
          <w:p w14:paraId="02C38523">
            <w:pPr>
              <w:pStyle w:val="13"/>
              <w:ind w:left="0" w:leftChars="0" w:firstLine="0" w:firstLineChars="0"/>
              <w:jc w:val="center"/>
              <w:rPr>
                <w:rFonts w:hint="eastAsia"/>
                <w:b/>
                <w:bCs/>
                <w:sz w:val="24"/>
                <w:szCs w:val="32"/>
              </w:rPr>
            </w:pPr>
            <w:r>
              <w:rPr>
                <w:rFonts w:hint="eastAsia"/>
                <w:b/>
                <w:bCs/>
                <w:sz w:val="24"/>
                <w:szCs w:val="32"/>
              </w:rPr>
              <w:t>数量</w:t>
            </w:r>
          </w:p>
        </w:tc>
      </w:tr>
      <w:tr w14:paraId="4D972DE7">
        <w:tblPrEx>
          <w:tblCellMar>
            <w:top w:w="0" w:type="dxa"/>
            <w:left w:w="108" w:type="dxa"/>
            <w:bottom w:w="0" w:type="dxa"/>
            <w:right w:w="108" w:type="dxa"/>
          </w:tblCellMar>
        </w:tblPrEx>
        <w:trPr>
          <w:trHeight w:val="310" w:hRule="atLeast"/>
          <w:jc w:val="center"/>
        </w:trPr>
        <w:tc>
          <w:tcPr>
            <w:tcW w:w="443" w:type="pct"/>
            <w:tcBorders>
              <w:top w:val="nil"/>
              <w:left w:val="single" w:color="auto" w:sz="4" w:space="0"/>
              <w:bottom w:val="single" w:color="auto" w:sz="4" w:space="0"/>
              <w:right w:val="single" w:color="auto" w:sz="4" w:space="0"/>
            </w:tcBorders>
            <w:noWrap w:val="0"/>
            <w:vAlign w:val="center"/>
          </w:tcPr>
          <w:p w14:paraId="0CABD0C0">
            <w:pPr>
              <w:pStyle w:val="13"/>
              <w:ind w:left="0" w:leftChars="0" w:firstLine="0" w:firstLineChars="0"/>
              <w:jc w:val="center"/>
              <w:rPr>
                <w:rFonts w:hint="eastAsia"/>
                <w:sz w:val="24"/>
                <w:szCs w:val="32"/>
              </w:rPr>
            </w:pPr>
            <w:r>
              <w:rPr>
                <w:rFonts w:hint="eastAsia"/>
                <w:sz w:val="24"/>
                <w:szCs w:val="32"/>
              </w:rPr>
              <w:t>1</w:t>
            </w:r>
          </w:p>
        </w:tc>
        <w:tc>
          <w:tcPr>
            <w:tcW w:w="1579" w:type="pct"/>
            <w:tcBorders>
              <w:top w:val="single" w:color="auto" w:sz="4" w:space="0"/>
              <w:left w:val="single" w:color="auto" w:sz="4" w:space="0"/>
              <w:bottom w:val="single" w:color="auto" w:sz="4" w:space="0"/>
              <w:right w:val="single" w:color="auto" w:sz="4" w:space="0"/>
            </w:tcBorders>
            <w:noWrap w:val="0"/>
            <w:vAlign w:val="center"/>
          </w:tcPr>
          <w:p w14:paraId="2B05158A">
            <w:pPr>
              <w:pStyle w:val="13"/>
              <w:jc w:val="center"/>
              <w:rPr>
                <w:rFonts w:hint="eastAsia"/>
                <w:sz w:val="24"/>
                <w:szCs w:val="32"/>
              </w:rPr>
            </w:pPr>
            <w:r>
              <w:rPr>
                <w:rFonts w:hint="eastAsia"/>
                <w:sz w:val="24"/>
                <w:szCs w:val="32"/>
              </w:rPr>
              <w:t>人脸识别摆闸</w:t>
            </w:r>
          </w:p>
        </w:tc>
        <w:tc>
          <w:tcPr>
            <w:tcW w:w="1757" w:type="pct"/>
            <w:tcBorders>
              <w:top w:val="single" w:color="auto" w:sz="4" w:space="0"/>
              <w:left w:val="single" w:color="auto" w:sz="4" w:space="0"/>
              <w:bottom w:val="single" w:color="auto" w:sz="4" w:space="0"/>
              <w:right w:val="single" w:color="auto" w:sz="4" w:space="0"/>
            </w:tcBorders>
            <w:noWrap w:val="0"/>
            <w:vAlign w:val="center"/>
          </w:tcPr>
          <w:p w14:paraId="1E8D8D85">
            <w:pPr>
              <w:pStyle w:val="13"/>
              <w:jc w:val="center"/>
              <w:rPr>
                <w:rFonts w:hint="eastAsia"/>
                <w:sz w:val="24"/>
                <w:szCs w:val="32"/>
              </w:rPr>
            </w:pPr>
            <w:r>
              <w:rPr>
                <w:rFonts w:hint="eastAsia"/>
                <w:sz w:val="24"/>
                <w:szCs w:val="32"/>
              </w:rPr>
              <w:t>华颐HY-BZ001</w:t>
            </w:r>
          </w:p>
        </w:tc>
        <w:tc>
          <w:tcPr>
            <w:tcW w:w="610" w:type="pct"/>
            <w:tcBorders>
              <w:top w:val="single" w:color="auto" w:sz="4" w:space="0"/>
              <w:left w:val="single" w:color="auto" w:sz="4" w:space="0"/>
              <w:bottom w:val="single" w:color="auto" w:sz="4" w:space="0"/>
              <w:right w:val="single" w:color="auto" w:sz="4" w:space="0"/>
            </w:tcBorders>
            <w:noWrap w:val="0"/>
            <w:vAlign w:val="center"/>
          </w:tcPr>
          <w:p w14:paraId="4A728834">
            <w:pPr>
              <w:pStyle w:val="13"/>
              <w:ind w:left="0" w:leftChars="0" w:firstLine="0" w:firstLineChars="0"/>
              <w:jc w:val="center"/>
              <w:rPr>
                <w:rFonts w:hint="eastAsia"/>
                <w:sz w:val="24"/>
                <w:szCs w:val="32"/>
              </w:rPr>
            </w:pPr>
            <w:r>
              <w:rPr>
                <w:rFonts w:hint="eastAsia"/>
                <w:sz w:val="24"/>
                <w:szCs w:val="32"/>
              </w:rPr>
              <w:t>台</w:t>
            </w:r>
          </w:p>
        </w:tc>
        <w:tc>
          <w:tcPr>
            <w:tcW w:w="610" w:type="pct"/>
            <w:tcBorders>
              <w:top w:val="single" w:color="auto" w:sz="4" w:space="0"/>
              <w:left w:val="single" w:color="auto" w:sz="4" w:space="0"/>
              <w:bottom w:val="single" w:color="auto" w:sz="4" w:space="0"/>
              <w:right w:val="single" w:color="auto" w:sz="4" w:space="0"/>
            </w:tcBorders>
            <w:noWrap w:val="0"/>
            <w:vAlign w:val="center"/>
          </w:tcPr>
          <w:p w14:paraId="277D1D7E">
            <w:pPr>
              <w:pStyle w:val="13"/>
              <w:ind w:left="0" w:leftChars="0" w:firstLine="0" w:firstLineChars="0"/>
              <w:jc w:val="center"/>
              <w:rPr>
                <w:rFonts w:hint="eastAsia"/>
                <w:sz w:val="24"/>
                <w:szCs w:val="32"/>
              </w:rPr>
            </w:pPr>
            <w:r>
              <w:rPr>
                <w:rFonts w:hint="eastAsia"/>
                <w:sz w:val="24"/>
                <w:szCs w:val="32"/>
              </w:rPr>
              <w:t>11</w:t>
            </w:r>
          </w:p>
        </w:tc>
      </w:tr>
      <w:tr w14:paraId="77963DB6">
        <w:tblPrEx>
          <w:tblCellMar>
            <w:top w:w="0" w:type="dxa"/>
            <w:left w:w="108" w:type="dxa"/>
            <w:bottom w:w="0" w:type="dxa"/>
            <w:right w:w="108" w:type="dxa"/>
          </w:tblCellMar>
        </w:tblPrEx>
        <w:trPr>
          <w:trHeight w:val="310" w:hRule="atLeast"/>
          <w:jc w:val="center"/>
        </w:trPr>
        <w:tc>
          <w:tcPr>
            <w:tcW w:w="443" w:type="pct"/>
            <w:tcBorders>
              <w:top w:val="nil"/>
              <w:left w:val="single" w:color="auto" w:sz="4" w:space="0"/>
              <w:bottom w:val="single" w:color="auto" w:sz="4" w:space="0"/>
              <w:right w:val="single" w:color="auto" w:sz="4" w:space="0"/>
            </w:tcBorders>
            <w:noWrap w:val="0"/>
            <w:vAlign w:val="center"/>
          </w:tcPr>
          <w:p w14:paraId="456A533D">
            <w:pPr>
              <w:pStyle w:val="13"/>
              <w:ind w:left="0" w:leftChars="0" w:firstLine="0" w:firstLineChars="0"/>
              <w:jc w:val="center"/>
              <w:rPr>
                <w:rFonts w:hint="eastAsia"/>
                <w:sz w:val="24"/>
                <w:szCs w:val="32"/>
              </w:rPr>
            </w:pPr>
            <w:r>
              <w:rPr>
                <w:rFonts w:hint="eastAsia"/>
                <w:sz w:val="24"/>
                <w:szCs w:val="32"/>
              </w:rPr>
              <w:t>2</w:t>
            </w:r>
          </w:p>
        </w:tc>
        <w:tc>
          <w:tcPr>
            <w:tcW w:w="1579" w:type="pct"/>
            <w:tcBorders>
              <w:top w:val="single" w:color="auto" w:sz="4" w:space="0"/>
              <w:left w:val="single" w:color="auto" w:sz="4" w:space="0"/>
              <w:bottom w:val="single" w:color="auto" w:sz="4" w:space="0"/>
              <w:right w:val="single" w:color="auto" w:sz="4" w:space="0"/>
            </w:tcBorders>
            <w:noWrap w:val="0"/>
            <w:vAlign w:val="center"/>
          </w:tcPr>
          <w:p w14:paraId="762CDEC7">
            <w:pPr>
              <w:pStyle w:val="13"/>
              <w:jc w:val="center"/>
              <w:rPr>
                <w:rFonts w:hint="eastAsia"/>
                <w:sz w:val="24"/>
                <w:szCs w:val="32"/>
              </w:rPr>
            </w:pPr>
            <w:r>
              <w:rPr>
                <w:rFonts w:hint="eastAsia"/>
                <w:sz w:val="24"/>
                <w:szCs w:val="32"/>
              </w:rPr>
              <w:t>人脸识别一体机</w:t>
            </w:r>
          </w:p>
        </w:tc>
        <w:tc>
          <w:tcPr>
            <w:tcW w:w="1757" w:type="pct"/>
            <w:tcBorders>
              <w:top w:val="single" w:color="auto" w:sz="4" w:space="0"/>
              <w:left w:val="single" w:color="auto" w:sz="4" w:space="0"/>
              <w:bottom w:val="single" w:color="auto" w:sz="4" w:space="0"/>
              <w:right w:val="single" w:color="auto" w:sz="4" w:space="0"/>
            </w:tcBorders>
            <w:noWrap w:val="0"/>
            <w:vAlign w:val="center"/>
          </w:tcPr>
          <w:p w14:paraId="020A2DB7">
            <w:pPr>
              <w:pStyle w:val="13"/>
              <w:jc w:val="center"/>
              <w:rPr>
                <w:rFonts w:hint="eastAsia"/>
                <w:sz w:val="24"/>
                <w:szCs w:val="32"/>
              </w:rPr>
            </w:pPr>
            <w:r>
              <w:rPr>
                <w:rFonts w:hint="eastAsia"/>
                <w:sz w:val="24"/>
                <w:szCs w:val="32"/>
              </w:rPr>
              <w:t>旷视MegID-W2K-E</w:t>
            </w:r>
          </w:p>
        </w:tc>
        <w:tc>
          <w:tcPr>
            <w:tcW w:w="610" w:type="pct"/>
            <w:tcBorders>
              <w:top w:val="single" w:color="auto" w:sz="4" w:space="0"/>
              <w:left w:val="single" w:color="auto" w:sz="4" w:space="0"/>
              <w:bottom w:val="single" w:color="auto" w:sz="4" w:space="0"/>
              <w:right w:val="single" w:color="auto" w:sz="4" w:space="0"/>
            </w:tcBorders>
            <w:noWrap w:val="0"/>
            <w:vAlign w:val="center"/>
          </w:tcPr>
          <w:p w14:paraId="487C4979">
            <w:pPr>
              <w:pStyle w:val="13"/>
              <w:ind w:left="0" w:leftChars="0" w:firstLine="0" w:firstLineChars="0"/>
              <w:jc w:val="center"/>
              <w:rPr>
                <w:rFonts w:hint="eastAsia"/>
                <w:sz w:val="24"/>
                <w:szCs w:val="32"/>
              </w:rPr>
            </w:pPr>
            <w:r>
              <w:rPr>
                <w:rFonts w:hint="eastAsia"/>
                <w:sz w:val="24"/>
                <w:szCs w:val="32"/>
              </w:rPr>
              <w:t>台</w:t>
            </w:r>
          </w:p>
        </w:tc>
        <w:tc>
          <w:tcPr>
            <w:tcW w:w="610" w:type="pct"/>
            <w:tcBorders>
              <w:top w:val="single" w:color="auto" w:sz="4" w:space="0"/>
              <w:left w:val="single" w:color="auto" w:sz="4" w:space="0"/>
              <w:bottom w:val="single" w:color="auto" w:sz="4" w:space="0"/>
              <w:right w:val="single" w:color="auto" w:sz="4" w:space="0"/>
            </w:tcBorders>
            <w:noWrap w:val="0"/>
            <w:vAlign w:val="center"/>
          </w:tcPr>
          <w:p w14:paraId="5C9FF68D">
            <w:pPr>
              <w:pStyle w:val="13"/>
              <w:ind w:left="0" w:leftChars="0" w:firstLine="0" w:firstLineChars="0"/>
              <w:jc w:val="center"/>
              <w:rPr>
                <w:rFonts w:hint="eastAsia"/>
                <w:sz w:val="24"/>
                <w:szCs w:val="32"/>
              </w:rPr>
            </w:pPr>
            <w:r>
              <w:rPr>
                <w:rFonts w:hint="eastAsia"/>
                <w:sz w:val="24"/>
                <w:szCs w:val="32"/>
              </w:rPr>
              <w:t>4</w:t>
            </w:r>
          </w:p>
        </w:tc>
      </w:tr>
      <w:tr w14:paraId="42EA81CE">
        <w:tblPrEx>
          <w:tblCellMar>
            <w:top w:w="0" w:type="dxa"/>
            <w:left w:w="108" w:type="dxa"/>
            <w:bottom w:w="0" w:type="dxa"/>
            <w:right w:w="108" w:type="dxa"/>
          </w:tblCellMar>
        </w:tblPrEx>
        <w:trPr>
          <w:trHeight w:val="310" w:hRule="atLeast"/>
          <w:jc w:val="center"/>
        </w:trPr>
        <w:tc>
          <w:tcPr>
            <w:tcW w:w="443" w:type="pct"/>
            <w:tcBorders>
              <w:top w:val="nil"/>
              <w:left w:val="single" w:color="auto" w:sz="4" w:space="0"/>
              <w:bottom w:val="single" w:color="auto" w:sz="4" w:space="0"/>
              <w:right w:val="single" w:color="auto" w:sz="4" w:space="0"/>
            </w:tcBorders>
            <w:noWrap w:val="0"/>
            <w:vAlign w:val="center"/>
          </w:tcPr>
          <w:p w14:paraId="3871432E">
            <w:pPr>
              <w:pStyle w:val="13"/>
              <w:ind w:left="0" w:leftChars="0" w:firstLine="0" w:firstLineChars="0"/>
              <w:jc w:val="center"/>
              <w:rPr>
                <w:rFonts w:hint="eastAsia"/>
                <w:sz w:val="24"/>
                <w:szCs w:val="32"/>
              </w:rPr>
            </w:pPr>
            <w:r>
              <w:rPr>
                <w:rFonts w:hint="eastAsia"/>
                <w:sz w:val="24"/>
                <w:szCs w:val="32"/>
              </w:rPr>
              <w:t>3</w:t>
            </w:r>
          </w:p>
        </w:tc>
        <w:tc>
          <w:tcPr>
            <w:tcW w:w="1579" w:type="pct"/>
            <w:tcBorders>
              <w:top w:val="single" w:color="auto" w:sz="4" w:space="0"/>
              <w:left w:val="single" w:color="auto" w:sz="4" w:space="0"/>
              <w:bottom w:val="single" w:color="auto" w:sz="4" w:space="0"/>
              <w:right w:val="single" w:color="auto" w:sz="4" w:space="0"/>
            </w:tcBorders>
            <w:noWrap w:val="0"/>
            <w:vAlign w:val="center"/>
          </w:tcPr>
          <w:p w14:paraId="0E2BC01F">
            <w:pPr>
              <w:pStyle w:val="13"/>
              <w:jc w:val="center"/>
              <w:rPr>
                <w:rFonts w:hint="eastAsia"/>
                <w:sz w:val="24"/>
                <w:szCs w:val="32"/>
              </w:rPr>
            </w:pPr>
            <w:r>
              <w:rPr>
                <w:rFonts w:hint="eastAsia"/>
                <w:sz w:val="24"/>
                <w:szCs w:val="32"/>
              </w:rPr>
              <w:t>人脸识别终端</w:t>
            </w:r>
          </w:p>
        </w:tc>
        <w:tc>
          <w:tcPr>
            <w:tcW w:w="1757" w:type="pct"/>
            <w:tcBorders>
              <w:top w:val="single" w:color="auto" w:sz="4" w:space="0"/>
              <w:left w:val="single" w:color="auto" w:sz="4" w:space="0"/>
              <w:bottom w:val="single" w:color="auto" w:sz="4" w:space="0"/>
              <w:right w:val="single" w:color="auto" w:sz="4" w:space="0"/>
            </w:tcBorders>
            <w:noWrap w:val="0"/>
            <w:vAlign w:val="center"/>
          </w:tcPr>
          <w:p w14:paraId="47C065A3">
            <w:pPr>
              <w:pStyle w:val="13"/>
              <w:jc w:val="center"/>
              <w:rPr>
                <w:rFonts w:hint="eastAsia"/>
                <w:sz w:val="24"/>
                <w:szCs w:val="32"/>
              </w:rPr>
            </w:pPr>
            <w:r>
              <w:rPr>
                <w:rFonts w:hint="eastAsia"/>
                <w:sz w:val="24"/>
                <w:szCs w:val="32"/>
              </w:rPr>
              <w:t>旷视MegEye-W4K-E7</w:t>
            </w:r>
          </w:p>
        </w:tc>
        <w:tc>
          <w:tcPr>
            <w:tcW w:w="610" w:type="pct"/>
            <w:tcBorders>
              <w:top w:val="single" w:color="auto" w:sz="4" w:space="0"/>
              <w:left w:val="single" w:color="auto" w:sz="4" w:space="0"/>
              <w:bottom w:val="single" w:color="auto" w:sz="4" w:space="0"/>
              <w:right w:val="single" w:color="auto" w:sz="4" w:space="0"/>
            </w:tcBorders>
            <w:noWrap w:val="0"/>
            <w:vAlign w:val="center"/>
          </w:tcPr>
          <w:p w14:paraId="7880EBE1">
            <w:pPr>
              <w:pStyle w:val="13"/>
              <w:ind w:left="0" w:leftChars="0" w:firstLine="0" w:firstLineChars="0"/>
              <w:jc w:val="center"/>
              <w:rPr>
                <w:rFonts w:hint="eastAsia"/>
                <w:sz w:val="24"/>
                <w:szCs w:val="32"/>
              </w:rPr>
            </w:pPr>
            <w:r>
              <w:rPr>
                <w:rFonts w:hint="eastAsia"/>
                <w:sz w:val="24"/>
                <w:szCs w:val="32"/>
              </w:rPr>
              <w:t>台</w:t>
            </w:r>
          </w:p>
        </w:tc>
        <w:tc>
          <w:tcPr>
            <w:tcW w:w="610" w:type="pct"/>
            <w:tcBorders>
              <w:top w:val="single" w:color="auto" w:sz="4" w:space="0"/>
              <w:left w:val="single" w:color="auto" w:sz="4" w:space="0"/>
              <w:bottom w:val="single" w:color="auto" w:sz="4" w:space="0"/>
              <w:right w:val="single" w:color="auto" w:sz="4" w:space="0"/>
            </w:tcBorders>
            <w:noWrap w:val="0"/>
            <w:vAlign w:val="center"/>
          </w:tcPr>
          <w:p w14:paraId="716E0802">
            <w:pPr>
              <w:pStyle w:val="13"/>
              <w:ind w:left="0" w:leftChars="0" w:firstLine="0" w:firstLineChars="0"/>
              <w:jc w:val="center"/>
              <w:rPr>
                <w:rFonts w:hint="eastAsia"/>
                <w:sz w:val="24"/>
                <w:szCs w:val="32"/>
              </w:rPr>
            </w:pPr>
            <w:r>
              <w:rPr>
                <w:rFonts w:hint="eastAsia"/>
                <w:sz w:val="24"/>
                <w:szCs w:val="32"/>
              </w:rPr>
              <w:t>4</w:t>
            </w:r>
          </w:p>
        </w:tc>
      </w:tr>
      <w:tr w14:paraId="5F58A473">
        <w:tblPrEx>
          <w:tblCellMar>
            <w:top w:w="0" w:type="dxa"/>
            <w:left w:w="108" w:type="dxa"/>
            <w:bottom w:w="0" w:type="dxa"/>
            <w:right w:w="108" w:type="dxa"/>
          </w:tblCellMar>
        </w:tblPrEx>
        <w:trPr>
          <w:trHeight w:val="310" w:hRule="atLeast"/>
          <w:jc w:val="center"/>
        </w:trPr>
        <w:tc>
          <w:tcPr>
            <w:tcW w:w="443" w:type="pct"/>
            <w:tcBorders>
              <w:top w:val="nil"/>
              <w:left w:val="single" w:color="auto" w:sz="4" w:space="0"/>
              <w:bottom w:val="single" w:color="auto" w:sz="4" w:space="0"/>
              <w:right w:val="single" w:color="auto" w:sz="4" w:space="0"/>
            </w:tcBorders>
            <w:noWrap w:val="0"/>
            <w:vAlign w:val="center"/>
          </w:tcPr>
          <w:p w14:paraId="1A5D6DFC">
            <w:pPr>
              <w:pStyle w:val="13"/>
              <w:ind w:left="0" w:leftChars="0" w:firstLine="0" w:firstLineChars="0"/>
              <w:jc w:val="center"/>
              <w:rPr>
                <w:rFonts w:hint="eastAsia"/>
                <w:sz w:val="24"/>
                <w:szCs w:val="32"/>
              </w:rPr>
            </w:pPr>
            <w:r>
              <w:rPr>
                <w:rFonts w:hint="eastAsia"/>
                <w:sz w:val="24"/>
                <w:szCs w:val="32"/>
              </w:rPr>
              <w:t>4</w:t>
            </w:r>
          </w:p>
        </w:tc>
        <w:tc>
          <w:tcPr>
            <w:tcW w:w="1579" w:type="pct"/>
            <w:tcBorders>
              <w:top w:val="single" w:color="auto" w:sz="4" w:space="0"/>
              <w:left w:val="single" w:color="auto" w:sz="4" w:space="0"/>
              <w:bottom w:val="single" w:color="auto" w:sz="4" w:space="0"/>
              <w:right w:val="single" w:color="auto" w:sz="4" w:space="0"/>
            </w:tcBorders>
            <w:noWrap w:val="0"/>
            <w:vAlign w:val="center"/>
          </w:tcPr>
          <w:p w14:paraId="0979F573">
            <w:pPr>
              <w:pStyle w:val="13"/>
              <w:jc w:val="center"/>
              <w:rPr>
                <w:rFonts w:hint="eastAsia"/>
                <w:sz w:val="24"/>
                <w:szCs w:val="32"/>
              </w:rPr>
            </w:pPr>
            <w:r>
              <w:rPr>
                <w:rFonts w:hint="eastAsia"/>
                <w:sz w:val="24"/>
                <w:szCs w:val="32"/>
              </w:rPr>
              <w:t>出入管理系统</w:t>
            </w:r>
          </w:p>
        </w:tc>
        <w:tc>
          <w:tcPr>
            <w:tcW w:w="1757" w:type="pct"/>
            <w:tcBorders>
              <w:top w:val="single" w:color="auto" w:sz="4" w:space="0"/>
              <w:left w:val="single" w:color="auto" w:sz="4" w:space="0"/>
              <w:bottom w:val="single" w:color="auto" w:sz="4" w:space="0"/>
              <w:right w:val="single" w:color="auto" w:sz="4" w:space="0"/>
            </w:tcBorders>
            <w:noWrap w:val="0"/>
            <w:vAlign w:val="center"/>
          </w:tcPr>
          <w:p w14:paraId="03E515D3">
            <w:pPr>
              <w:pStyle w:val="13"/>
              <w:jc w:val="center"/>
              <w:rPr>
                <w:rFonts w:hint="eastAsia"/>
                <w:sz w:val="24"/>
                <w:szCs w:val="32"/>
              </w:rPr>
            </w:pPr>
            <w:r>
              <w:rPr>
                <w:rFonts w:hint="eastAsia"/>
                <w:sz w:val="24"/>
                <w:szCs w:val="32"/>
              </w:rPr>
              <w:t>华颐V1.0</w:t>
            </w:r>
          </w:p>
        </w:tc>
        <w:tc>
          <w:tcPr>
            <w:tcW w:w="610" w:type="pct"/>
            <w:tcBorders>
              <w:top w:val="single" w:color="auto" w:sz="4" w:space="0"/>
              <w:left w:val="single" w:color="auto" w:sz="4" w:space="0"/>
              <w:bottom w:val="single" w:color="auto" w:sz="4" w:space="0"/>
              <w:right w:val="single" w:color="auto" w:sz="4" w:space="0"/>
            </w:tcBorders>
            <w:noWrap w:val="0"/>
            <w:vAlign w:val="center"/>
          </w:tcPr>
          <w:p w14:paraId="05076F20">
            <w:pPr>
              <w:pStyle w:val="13"/>
              <w:ind w:left="0" w:leftChars="0" w:firstLine="0" w:firstLineChars="0"/>
              <w:jc w:val="center"/>
              <w:rPr>
                <w:rFonts w:hint="eastAsia"/>
                <w:sz w:val="24"/>
                <w:szCs w:val="32"/>
              </w:rPr>
            </w:pPr>
            <w:r>
              <w:rPr>
                <w:rFonts w:hint="eastAsia"/>
                <w:sz w:val="24"/>
                <w:szCs w:val="32"/>
              </w:rPr>
              <w:t>套</w:t>
            </w:r>
          </w:p>
        </w:tc>
        <w:tc>
          <w:tcPr>
            <w:tcW w:w="610" w:type="pct"/>
            <w:tcBorders>
              <w:top w:val="single" w:color="auto" w:sz="4" w:space="0"/>
              <w:left w:val="single" w:color="auto" w:sz="4" w:space="0"/>
              <w:bottom w:val="single" w:color="auto" w:sz="4" w:space="0"/>
              <w:right w:val="single" w:color="auto" w:sz="4" w:space="0"/>
            </w:tcBorders>
            <w:noWrap w:val="0"/>
            <w:vAlign w:val="center"/>
          </w:tcPr>
          <w:p w14:paraId="1FCA360C">
            <w:pPr>
              <w:pStyle w:val="13"/>
              <w:ind w:left="0" w:leftChars="0" w:firstLine="0" w:firstLineChars="0"/>
              <w:jc w:val="center"/>
              <w:rPr>
                <w:rFonts w:hint="eastAsia"/>
                <w:sz w:val="24"/>
                <w:szCs w:val="32"/>
              </w:rPr>
            </w:pPr>
            <w:r>
              <w:rPr>
                <w:rFonts w:hint="eastAsia"/>
                <w:sz w:val="24"/>
                <w:szCs w:val="32"/>
              </w:rPr>
              <w:t>1</w:t>
            </w:r>
          </w:p>
        </w:tc>
      </w:tr>
      <w:tr w14:paraId="64286F2B">
        <w:tblPrEx>
          <w:tblCellMar>
            <w:top w:w="0" w:type="dxa"/>
            <w:left w:w="108" w:type="dxa"/>
            <w:bottom w:w="0" w:type="dxa"/>
            <w:right w:w="108" w:type="dxa"/>
          </w:tblCellMar>
        </w:tblPrEx>
        <w:trPr>
          <w:trHeight w:val="310" w:hRule="atLeast"/>
          <w:jc w:val="center"/>
        </w:trPr>
        <w:tc>
          <w:tcPr>
            <w:tcW w:w="443" w:type="pct"/>
            <w:tcBorders>
              <w:top w:val="single" w:color="auto" w:sz="4" w:space="0"/>
              <w:left w:val="single" w:color="auto" w:sz="4" w:space="0"/>
              <w:bottom w:val="single" w:color="auto" w:sz="4" w:space="0"/>
              <w:right w:val="single" w:color="auto" w:sz="4" w:space="0"/>
            </w:tcBorders>
            <w:noWrap w:val="0"/>
            <w:vAlign w:val="center"/>
          </w:tcPr>
          <w:p w14:paraId="1FC7EBA0">
            <w:pPr>
              <w:pStyle w:val="13"/>
              <w:ind w:left="0" w:leftChars="0" w:firstLine="0" w:firstLineChars="0"/>
              <w:jc w:val="center"/>
              <w:rPr>
                <w:rFonts w:hint="eastAsia"/>
                <w:sz w:val="24"/>
                <w:szCs w:val="32"/>
              </w:rPr>
            </w:pPr>
            <w:r>
              <w:rPr>
                <w:rFonts w:hint="eastAsia"/>
                <w:sz w:val="24"/>
                <w:szCs w:val="32"/>
              </w:rPr>
              <w:t>5</w:t>
            </w:r>
          </w:p>
        </w:tc>
        <w:tc>
          <w:tcPr>
            <w:tcW w:w="1579" w:type="pct"/>
            <w:tcBorders>
              <w:top w:val="single" w:color="auto" w:sz="4" w:space="0"/>
              <w:left w:val="single" w:color="auto" w:sz="4" w:space="0"/>
              <w:bottom w:val="single" w:color="auto" w:sz="4" w:space="0"/>
              <w:right w:val="single" w:color="auto" w:sz="4" w:space="0"/>
            </w:tcBorders>
            <w:noWrap w:val="0"/>
            <w:vAlign w:val="center"/>
          </w:tcPr>
          <w:p w14:paraId="17AD14C1">
            <w:pPr>
              <w:pStyle w:val="13"/>
              <w:jc w:val="center"/>
              <w:rPr>
                <w:rFonts w:hint="eastAsia"/>
                <w:sz w:val="24"/>
                <w:szCs w:val="32"/>
              </w:rPr>
            </w:pPr>
            <w:r>
              <w:rPr>
                <w:rFonts w:hint="eastAsia"/>
                <w:sz w:val="24"/>
                <w:szCs w:val="32"/>
              </w:rPr>
              <w:t>服务器</w:t>
            </w:r>
          </w:p>
        </w:tc>
        <w:tc>
          <w:tcPr>
            <w:tcW w:w="1757" w:type="pct"/>
            <w:tcBorders>
              <w:top w:val="single" w:color="auto" w:sz="4" w:space="0"/>
              <w:left w:val="single" w:color="auto" w:sz="4" w:space="0"/>
              <w:bottom w:val="single" w:color="auto" w:sz="4" w:space="0"/>
              <w:right w:val="single" w:color="auto" w:sz="4" w:space="0"/>
            </w:tcBorders>
            <w:noWrap w:val="0"/>
            <w:vAlign w:val="center"/>
          </w:tcPr>
          <w:p w14:paraId="69FCA4FF">
            <w:pPr>
              <w:pStyle w:val="13"/>
              <w:jc w:val="center"/>
              <w:rPr>
                <w:rFonts w:hint="eastAsia"/>
                <w:sz w:val="24"/>
                <w:szCs w:val="32"/>
              </w:rPr>
            </w:pPr>
            <w:r>
              <w:rPr>
                <w:rFonts w:hint="eastAsia"/>
                <w:sz w:val="24"/>
                <w:szCs w:val="32"/>
              </w:rPr>
              <w:t>戴尔Power Edge R740</w:t>
            </w:r>
          </w:p>
        </w:tc>
        <w:tc>
          <w:tcPr>
            <w:tcW w:w="610" w:type="pct"/>
            <w:tcBorders>
              <w:top w:val="single" w:color="auto" w:sz="4" w:space="0"/>
              <w:left w:val="single" w:color="auto" w:sz="4" w:space="0"/>
              <w:bottom w:val="single" w:color="auto" w:sz="4" w:space="0"/>
              <w:right w:val="single" w:color="auto" w:sz="4" w:space="0"/>
            </w:tcBorders>
            <w:noWrap w:val="0"/>
            <w:vAlign w:val="center"/>
          </w:tcPr>
          <w:p w14:paraId="477F1E32">
            <w:pPr>
              <w:pStyle w:val="13"/>
              <w:ind w:left="0" w:leftChars="0" w:firstLine="0" w:firstLineChars="0"/>
              <w:jc w:val="center"/>
              <w:rPr>
                <w:rFonts w:hint="eastAsia"/>
                <w:sz w:val="24"/>
                <w:szCs w:val="32"/>
              </w:rPr>
            </w:pPr>
            <w:r>
              <w:rPr>
                <w:rFonts w:hint="eastAsia"/>
                <w:sz w:val="24"/>
                <w:szCs w:val="32"/>
              </w:rPr>
              <w:t>台</w:t>
            </w:r>
          </w:p>
        </w:tc>
        <w:tc>
          <w:tcPr>
            <w:tcW w:w="610" w:type="pct"/>
            <w:tcBorders>
              <w:top w:val="single" w:color="auto" w:sz="4" w:space="0"/>
              <w:left w:val="single" w:color="auto" w:sz="4" w:space="0"/>
              <w:bottom w:val="single" w:color="auto" w:sz="4" w:space="0"/>
              <w:right w:val="single" w:color="auto" w:sz="4" w:space="0"/>
            </w:tcBorders>
            <w:noWrap w:val="0"/>
            <w:vAlign w:val="center"/>
          </w:tcPr>
          <w:p w14:paraId="49BF7691">
            <w:pPr>
              <w:pStyle w:val="13"/>
              <w:ind w:left="0" w:leftChars="0" w:firstLine="0" w:firstLineChars="0"/>
              <w:jc w:val="center"/>
              <w:rPr>
                <w:rFonts w:hint="eastAsia"/>
                <w:sz w:val="24"/>
                <w:szCs w:val="32"/>
              </w:rPr>
            </w:pPr>
            <w:r>
              <w:rPr>
                <w:rFonts w:hint="eastAsia"/>
                <w:sz w:val="24"/>
                <w:szCs w:val="32"/>
              </w:rPr>
              <w:t>1</w:t>
            </w:r>
          </w:p>
        </w:tc>
      </w:tr>
      <w:tr w14:paraId="192C4CD8">
        <w:tblPrEx>
          <w:tblCellMar>
            <w:top w:w="0" w:type="dxa"/>
            <w:left w:w="108" w:type="dxa"/>
            <w:bottom w:w="0" w:type="dxa"/>
            <w:right w:w="108" w:type="dxa"/>
          </w:tblCellMar>
        </w:tblPrEx>
        <w:trPr>
          <w:trHeight w:val="319" w:hRule="atLeast"/>
          <w:jc w:val="center"/>
        </w:trPr>
        <w:tc>
          <w:tcPr>
            <w:tcW w:w="443" w:type="pct"/>
            <w:tcBorders>
              <w:top w:val="single" w:color="auto" w:sz="4" w:space="0"/>
              <w:left w:val="single" w:color="auto" w:sz="4" w:space="0"/>
              <w:bottom w:val="single" w:color="auto" w:sz="4" w:space="0"/>
              <w:right w:val="single" w:color="auto" w:sz="4" w:space="0"/>
            </w:tcBorders>
            <w:noWrap w:val="0"/>
            <w:vAlign w:val="center"/>
          </w:tcPr>
          <w:p w14:paraId="0B23330E">
            <w:pPr>
              <w:pStyle w:val="13"/>
              <w:ind w:left="0" w:leftChars="0" w:firstLine="0" w:firstLineChars="0"/>
              <w:jc w:val="center"/>
              <w:rPr>
                <w:rFonts w:hint="eastAsia"/>
                <w:sz w:val="24"/>
                <w:szCs w:val="32"/>
              </w:rPr>
            </w:pPr>
            <w:r>
              <w:rPr>
                <w:rFonts w:hint="eastAsia"/>
                <w:sz w:val="24"/>
                <w:szCs w:val="32"/>
              </w:rPr>
              <w:t>6</w:t>
            </w:r>
          </w:p>
        </w:tc>
        <w:tc>
          <w:tcPr>
            <w:tcW w:w="1579" w:type="pct"/>
            <w:tcBorders>
              <w:top w:val="single" w:color="auto" w:sz="4" w:space="0"/>
              <w:left w:val="single" w:color="auto" w:sz="4" w:space="0"/>
              <w:bottom w:val="single" w:color="auto" w:sz="4" w:space="0"/>
              <w:right w:val="single" w:color="auto" w:sz="4" w:space="0"/>
            </w:tcBorders>
            <w:noWrap w:val="0"/>
            <w:vAlign w:val="center"/>
          </w:tcPr>
          <w:p w14:paraId="2C6F43F7">
            <w:pPr>
              <w:pStyle w:val="13"/>
              <w:jc w:val="center"/>
              <w:rPr>
                <w:rFonts w:hint="eastAsia"/>
                <w:sz w:val="24"/>
                <w:szCs w:val="32"/>
              </w:rPr>
            </w:pPr>
            <w:r>
              <w:rPr>
                <w:rFonts w:hint="eastAsia"/>
                <w:sz w:val="24"/>
                <w:szCs w:val="32"/>
              </w:rPr>
              <w:t>交换机</w:t>
            </w:r>
          </w:p>
        </w:tc>
        <w:tc>
          <w:tcPr>
            <w:tcW w:w="1757" w:type="pct"/>
            <w:tcBorders>
              <w:top w:val="single" w:color="auto" w:sz="4" w:space="0"/>
              <w:left w:val="single" w:color="auto" w:sz="4" w:space="0"/>
              <w:bottom w:val="single" w:color="auto" w:sz="4" w:space="0"/>
              <w:right w:val="single" w:color="auto" w:sz="4" w:space="0"/>
            </w:tcBorders>
            <w:noWrap w:val="0"/>
            <w:vAlign w:val="center"/>
          </w:tcPr>
          <w:p w14:paraId="4B53A73E">
            <w:pPr>
              <w:pStyle w:val="13"/>
              <w:jc w:val="center"/>
              <w:rPr>
                <w:rFonts w:hint="eastAsia"/>
                <w:sz w:val="24"/>
                <w:szCs w:val="32"/>
              </w:rPr>
            </w:pPr>
            <w:r>
              <w:rPr>
                <w:rFonts w:hint="eastAsia"/>
                <w:sz w:val="24"/>
                <w:szCs w:val="32"/>
              </w:rPr>
              <w:t>华三Magic S2G</w:t>
            </w:r>
          </w:p>
        </w:tc>
        <w:tc>
          <w:tcPr>
            <w:tcW w:w="610" w:type="pct"/>
            <w:tcBorders>
              <w:top w:val="single" w:color="auto" w:sz="4" w:space="0"/>
              <w:left w:val="single" w:color="auto" w:sz="4" w:space="0"/>
              <w:bottom w:val="single" w:color="auto" w:sz="4" w:space="0"/>
              <w:right w:val="single" w:color="auto" w:sz="4" w:space="0"/>
            </w:tcBorders>
            <w:noWrap w:val="0"/>
            <w:vAlign w:val="center"/>
          </w:tcPr>
          <w:p w14:paraId="4F1747E7">
            <w:pPr>
              <w:pStyle w:val="13"/>
              <w:ind w:left="0" w:leftChars="0" w:firstLine="0" w:firstLineChars="0"/>
              <w:jc w:val="center"/>
              <w:rPr>
                <w:rFonts w:hint="eastAsia"/>
                <w:sz w:val="24"/>
                <w:szCs w:val="32"/>
              </w:rPr>
            </w:pPr>
            <w:r>
              <w:rPr>
                <w:rFonts w:hint="eastAsia"/>
                <w:sz w:val="24"/>
                <w:szCs w:val="32"/>
              </w:rPr>
              <w:t>台</w:t>
            </w:r>
          </w:p>
        </w:tc>
        <w:tc>
          <w:tcPr>
            <w:tcW w:w="610" w:type="pct"/>
            <w:tcBorders>
              <w:top w:val="single" w:color="auto" w:sz="4" w:space="0"/>
              <w:left w:val="single" w:color="auto" w:sz="4" w:space="0"/>
              <w:bottom w:val="single" w:color="auto" w:sz="4" w:space="0"/>
              <w:right w:val="single" w:color="auto" w:sz="4" w:space="0"/>
            </w:tcBorders>
            <w:noWrap w:val="0"/>
            <w:vAlign w:val="center"/>
          </w:tcPr>
          <w:p w14:paraId="72526CC4">
            <w:pPr>
              <w:pStyle w:val="13"/>
              <w:ind w:left="0" w:leftChars="0" w:firstLine="0" w:firstLineChars="0"/>
              <w:jc w:val="center"/>
              <w:rPr>
                <w:rFonts w:hint="eastAsia"/>
                <w:sz w:val="24"/>
                <w:szCs w:val="32"/>
              </w:rPr>
            </w:pPr>
            <w:r>
              <w:rPr>
                <w:rFonts w:hint="eastAsia"/>
                <w:sz w:val="24"/>
                <w:szCs w:val="32"/>
              </w:rPr>
              <w:t>2</w:t>
            </w:r>
          </w:p>
        </w:tc>
      </w:tr>
    </w:tbl>
    <w:p w14:paraId="35E3C658">
      <w:pPr>
        <w:pStyle w:val="13"/>
        <w:autoSpaceDE/>
        <w:autoSpaceDN/>
        <w:jc w:val="left"/>
        <w:rPr>
          <w:rFonts w:hint="eastAsia" w:asciiTheme="minorEastAsia" w:hAnsiTheme="minorEastAsia" w:eastAsiaTheme="minorEastAsia" w:cstheme="minorEastAsia"/>
          <w:b w:val="0"/>
          <w:bCs/>
          <w:color w:val="auto"/>
          <w:kern w:val="0"/>
          <w:sz w:val="24"/>
          <w:szCs w:val="24"/>
          <w:highlight w:val="none"/>
          <w:lang w:val="en-US" w:eastAsia="zh-CN" w:bidi="ar-SA"/>
        </w:rPr>
      </w:pPr>
    </w:p>
    <w:p w14:paraId="7ED56A75">
      <w:pPr>
        <w:pStyle w:val="13"/>
        <w:autoSpaceDE/>
        <w:autoSpaceDN/>
        <w:jc w:val="left"/>
        <w:rPr>
          <w:rFonts w:hint="eastAsia" w:asciiTheme="minorEastAsia" w:hAnsiTheme="minorEastAsia" w:eastAsiaTheme="minorEastAsia" w:cstheme="minorEastAsia"/>
          <w:b w:val="0"/>
          <w:bCs/>
          <w:color w:val="auto"/>
          <w:kern w:val="0"/>
          <w:sz w:val="24"/>
          <w:szCs w:val="24"/>
          <w:highlight w:val="none"/>
          <w:lang w:val="en-US" w:eastAsia="zh-CN" w:bidi="ar-SA"/>
        </w:rPr>
      </w:pPr>
      <w:r>
        <w:rPr>
          <w:rFonts w:hint="eastAsia" w:asciiTheme="minorEastAsia" w:hAnsiTheme="minorEastAsia" w:eastAsiaTheme="minorEastAsia" w:cstheme="minorEastAsia"/>
          <w:b w:val="0"/>
          <w:bCs/>
          <w:color w:val="auto"/>
          <w:kern w:val="0"/>
          <w:sz w:val="24"/>
          <w:szCs w:val="24"/>
          <w:highlight w:val="none"/>
          <w:lang w:val="en-US" w:eastAsia="zh-CN" w:bidi="ar-SA"/>
        </w:rPr>
        <w:t>2、学生宿舍通行设备及系统维保</w:t>
      </w:r>
    </w:p>
    <w:tbl>
      <w:tblPr>
        <w:tblStyle w:val="41"/>
        <w:tblW w:w="5736" w:type="pct"/>
        <w:jc w:val="center"/>
        <w:tblLayout w:type="autofit"/>
        <w:tblCellMar>
          <w:top w:w="0" w:type="dxa"/>
          <w:left w:w="108" w:type="dxa"/>
          <w:bottom w:w="0" w:type="dxa"/>
          <w:right w:w="108" w:type="dxa"/>
        </w:tblCellMar>
      </w:tblPr>
      <w:tblGrid>
        <w:gridCol w:w="1009"/>
        <w:gridCol w:w="3051"/>
        <w:gridCol w:w="3403"/>
        <w:gridCol w:w="1156"/>
        <w:gridCol w:w="1157"/>
      </w:tblGrid>
      <w:tr w14:paraId="1D1E59CD">
        <w:tblPrEx>
          <w:tblCellMar>
            <w:top w:w="0" w:type="dxa"/>
            <w:left w:w="108" w:type="dxa"/>
            <w:bottom w:w="0" w:type="dxa"/>
            <w:right w:w="108" w:type="dxa"/>
          </w:tblCellMar>
        </w:tblPrEx>
        <w:trPr>
          <w:trHeight w:val="266"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66278C88">
            <w:pPr>
              <w:pStyle w:val="13"/>
              <w:ind w:left="0" w:leftChars="0" w:firstLine="0" w:firstLineChars="0"/>
              <w:jc w:val="both"/>
              <w:rPr>
                <w:rFonts w:hint="eastAsia"/>
                <w:b/>
                <w:bCs/>
                <w:sz w:val="24"/>
                <w:szCs w:val="24"/>
              </w:rPr>
            </w:pPr>
            <w:r>
              <w:rPr>
                <w:rFonts w:hint="eastAsia"/>
                <w:b/>
                <w:bCs/>
                <w:sz w:val="24"/>
                <w:szCs w:val="24"/>
              </w:rPr>
              <w:t>序号</w:t>
            </w:r>
          </w:p>
        </w:tc>
        <w:tc>
          <w:tcPr>
            <w:tcW w:w="1560" w:type="pct"/>
            <w:tcBorders>
              <w:top w:val="single" w:color="auto" w:sz="4" w:space="0"/>
              <w:left w:val="nil"/>
              <w:bottom w:val="single" w:color="auto" w:sz="4" w:space="0"/>
              <w:right w:val="single" w:color="auto" w:sz="4" w:space="0"/>
            </w:tcBorders>
            <w:noWrap w:val="0"/>
            <w:vAlign w:val="center"/>
          </w:tcPr>
          <w:p w14:paraId="4FC4FBEF">
            <w:pPr>
              <w:pStyle w:val="13"/>
              <w:jc w:val="center"/>
              <w:rPr>
                <w:rFonts w:hint="eastAsia"/>
                <w:b/>
                <w:bCs/>
                <w:sz w:val="24"/>
                <w:szCs w:val="24"/>
              </w:rPr>
            </w:pPr>
            <w:r>
              <w:rPr>
                <w:rFonts w:hint="eastAsia"/>
                <w:b/>
                <w:bCs/>
                <w:sz w:val="24"/>
                <w:szCs w:val="24"/>
              </w:rPr>
              <w:t>货物名称</w:t>
            </w:r>
          </w:p>
        </w:tc>
        <w:tc>
          <w:tcPr>
            <w:tcW w:w="1740" w:type="pct"/>
            <w:tcBorders>
              <w:top w:val="single" w:color="auto" w:sz="4" w:space="0"/>
              <w:left w:val="nil"/>
              <w:bottom w:val="single" w:color="auto" w:sz="4" w:space="0"/>
              <w:right w:val="single" w:color="auto" w:sz="4" w:space="0"/>
            </w:tcBorders>
            <w:noWrap w:val="0"/>
            <w:vAlign w:val="center"/>
          </w:tcPr>
          <w:p w14:paraId="1BF44F9F">
            <w:pPr>
              <w:pStyle w:val="13"/>
              <w:jc w:val="center"/>
              <w:rPr>
                <w:rFonts w:hint="eastAsia"/>
                <w:b/>
                <w:bCs/>
                <w:sz w:val="24"/>
                <w:szCs w:val="24"/>
              </w:rPr>
            </w:pPr>
            <w:r>
              <w:rPr>
                <w:rFonts w:hint="eastAsia"/>
                <w:b/>
                <w:bCs/>
                <w:sz w:val="24"/>
                <w:szCs w:val="24"/>
              </w:rPr>
              <w:t>品牌型号</w:t>
            </w:r>
          </w:p>
        </w:tc>
        <w:tc>
          <w:tcPr>
            <w:tcW w:w="591" w:type="pct"/>
            <w:tcBorders>
              <w:top w:val="single" w:color="auto" w:sz="4" w:space="0"/>
              <w:left w:val="nil"/>
              <w:bottom w:val="single" w:color="auto" w:sz="4" w:space="0"/>
              <w:right w:val="single" w:color="auto" w:sz="4" w:space="0"/>
            </w:tcBorders>
            <w:noWrap w:val="0"/>
            <w:vAlign w:val="center"/>
          </w:tcPr>
          <w:p w14:paraId="44D43C5D">
            <w:pPr>
              <w:pStyle w:val="13"/>
              <w:ind w:left="0" w:leftChars="0" w:firstLine="0" w:firstLineChars="0"/>
              <w:jc w:val="both"/>
              <w:rPr>
                <w:rFonts w:hint="eastAsia"/>
                <w:b/>
                <w:bCs/>
                <w:sz w:val="24"/>
                <w:szCs w:val="24"/>
              </w:rPr>
            </w:pPr>
            <w:r>
              <w:rPr>
                <w:rFonts w:hint="eastAsia"/>
                <w:b/>
                <w:bCs/>
                <w:sz w:val="24"/>
                <w:szCs w:val="24"/>
              </w:rPr>
              <w:t>单位</w:t>
            </w:r>
          </w:p>
        </w:tc>
        <w:tc>
          <w:tcPr>
            <w:tcW w:w="591" w:type="pct"/>
            <w:tcBorders>
              <w:top w:val="single" w:color="auto" w:sz="4" w:space="0"/>
              <w:left w:val="nil"/>
              <w:bottom w:val="single" w:color="auto" w:sz="4" w:space="0"/>
              <w:right w:val="single" w:color="auto" w:sz="4" w:space="0"/>
            </w:tcBorders>
            <w:noWrap w:val="0"/>
            <w:vAlign w:val="center"/>
          </w:tcPr>
          <w:p w14:paraId="65D93494">
            <w:pPr>
              <w:pStyle w:val="13"/>
              <w:ind w:left="0" w:leftChars="0" w:firstLine="0" w:firstLineChars="0"/>
              <w:jc w:val="center"/>
              <w:rPr>
                <w:rFonts w:hint="eastAsia"/>
                <w:b/>
                <w:bCs/>
                <w:sz w:val="24"/>
                <w:szCs w:val="24"/>
              </w:rPr>
            </w:pPr>
            <w:r>
              <w:rPr>
                <w:rFonts w:hint="eastAsia"/>
                <w:b/>
                <w:bCs/>
                <w:sz w:val="24"/>
                <w:szCs w:val="24"/>
              </w:rPr>
              <w:t>数量</w:t>
            </w:r>
          </w:p>
        </w:tc>
      </w:tr>
      <w:tr w14:paraId="562A153C">
        <w:tblPrEx>
          <w:tblCellMar>
            <w:top w:w="0" w:type="dxa"/>
            <w:left w:w="108" w:type="dxa"/>
            <w:bottom w:w="0" w:type="dxa"/>
            <w:right w:w="108" w:type="dxa"/>
          </w:tblCellMar>
        </w:tblPrEx>
        <w:trPr>
          <w:trHeight w:val="391"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405F5CD3">
            <w:pPr>
              <w:pStyle w:val="13"/>
              <w:ind w:left="0" w:leftChars="0" w:firstLine="0" w:firstLineChars="0"/>
              <w:jc w:val="center"/>
              <w:rPr>
                <w:rFonts w:hint="eastAsia"/>
                <w:sz w:val="24"/>
                <w:szCs w:val="24"/>
              </w:rPr>
            </w:pPr>
            <w:r>
              <w:rPr>
                <w:rFonts w:hint="eastAsia"/>
                <w:sz w:val="24"/>
                <w:szCs w:val="24"/>
              </w:rPr>
              <w:t>1</w:t>
            </w:r>
          </w:p>
        </w:tc>
        <w:tc>
          <w:tcPr>
            <w:tcW w:w="1560" w:type="pct"/>
            <w:tcBorders>
              <w:top w:val="single" w:color="auto" w:sz="4" w:space="0"/>
              <w:left w:val="single" w:color="auto" w:sz="4" w:space="0"/>
              <w:bottom w:val="single" w:color="auto" w:sz="4" w:space="0"/>
              <w:right w:val="single" w:color="auto" w:sz="4" w:space="0"/>
            </w:tcBorders>
            <w:noWrap w:val="0"/>
            <w:vAlign w:val="center"/>
          </w:tcPr>
          <w:p w14:paraId="314AE76A">
            <w:pPr>
              <w:snapToGrid w:val="0"/>
              <w:spacing w:line="24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智能翼闸</w:t>
            </w:r>
          </w:p>
        </w:tc>
        <w:tc>
          <w:tcPr>
            <w:tcW w:w="1740" w:type="pct"/>
            <w:tcBorders>
              <w:top w:val="single" w:color="auto" w:sz="4" w:space="0"/>
              <w:left w:val="single" w:color="auto" w:sz="4" w:space="0"/>
              <w:bottom w:val="single" w:color="auto" w:sz="4" w:space="0"/>
              <w:right w:val="single" w:color="auto" w:sz="4" w:space="0"/>
            </w:tcBorders>
            <w:noWrap w:val="0"/>
            <w:vAlign w:val="center"/>
          </w:tcPr>
          <w:p w14:paraId="573B150B">
            <w:pPr>
              <w:pStyle w:val="13"/>
              <w:jc w:val="center"/>
              <w:rPr>
                <w:rFonts w:hint="eastAsia"/>
                <w:sz w:val="24"/>
                <w:szCs w:val="24"/>
              </w:rPr>
            </w:pPr>
            <w:r>
              <w:rPr>
                <w:rFonts w:hint="eastAsia"/>
                <w:sz w:val="24"/>
                <w:szCs w:val="24"/>
              </w:rPr>
              <w:t>华颐HY-Y035</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181586AD">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台</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03BE9F0D">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33</w:t>
            </w:r>
          </w:p>
        </w:tc>
      </w:tr>
      <w:tr w14:paraId="2F35FDBE">
        <w:tblPrEx>
          <w:tblCellMar>
            <w:top w:w="0" w:type="dxa"/>
            <w:left w:w="108" w:type="dxa"/>
            <w:bottom w:w="0" w:type="dxa"/>
            <w:right w:w="108" w:type="dxa"/>
          </w:tblCellMar>
        </w:tblPrEx>
        <w:trPr>
          <w:trHeight w:val="391"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0C084D0F">
            <w:pPr>
              <w:pStyle w:val="13"/>
              <w:ind w:left="0" w:leftChars="0" w:firstLine="0" w:firstLineChars="0"/>
              <w:jc w:val="center"/>
              <w:rPr>
                <w:rFonts w:hint="eastAsia"/>
                <w:sz w:val="24"/>
                <w:szCs w:val="24"/>
              </w:rPr>
            </w:pPr>
            <w:r>
              <w:rPr>
                <w:rFonts w:hint="eastAsia"/>
                <w:sz w:val="24"/>
                <w:szCs w:val="24"/>
              </w:rPr>
              <w:t>2</w:t>
            </w:r>
          </w:p>
        </w:tc>
        <w:tc>
          <w:tcPr>
            <w:tcW w:w="1560" w:type="pct"/>
            <w:tcBorders>
              <w:top w:val="single" w:color="auto" w:sz="4" w:space="0"/>
              <w:left w:val="single" w:color="auto" w:sz="4" w:space="0"/>
              <w:bottom w:val="single" w:color="auto" w:sz="4" w:space="0"/>
              <w:right w:val="single" w:color="auto" w:sz="4" w:space="0"/>
            </w:tcBorders>
            <w:noWrap w:val="0"/>
            <w:vAlign w:val="center"/>
          </w:tcPr>
          <w:p w14:paraId="70AC2543">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宿管人脸识别组件</w:t>
            </w:r>
          </w:p>
        </w:tc>
        <w:tc>
          <w:tcPr>
            <w:tcW w:w="1740" w:type="pct"/>
            <w:tcBorders>
              <w:top w:val="single" w:color="auto" w:sz="4" w:space="0"/>
              <w:left w:val="single" w:color="auto" w:sz="4" w:space="0"/>
              <w:bottom w:val="single" w:color="auto" w:sz="4" w:space="0"/>
              <w:right w:val="single" w:color="auto" w:sz="4" w:space="0"/>
            </w:tcBorders>
            <w:noWrap w:val="0"/>
            <w:vAlign w:val="center"/>
          </w:tcPr>
          <w:p w14:paraId="68ED88DA">
            <w:pPr>
              <w:pStyle w:val="13"/>
              <w:jc w:val="center"/>
              <w:rPr>
                <w:rFonts w:hint="eastAsia"/>
                <w:sz w:val="24"/>
                <w:szCs w:val="24"/>
              </w:rPr>
            </w:pPr>
            <w:r>
              <w:rPr>
                <w:rFonts w:hint="eastAsia"/>
                <w:sz w:val="24"/>
                <w:szCs w:val="24"/>
              </w:rPr>
              <w:t>旷视MegEye-W5K-I8</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698D5591">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台</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2334EA77">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44</w:t>
            </w:r>
          </w:p>
        </w:tc>
      </w:tr>
      <w:tr w14:paraId="1B4304B8">
        <w:tblPrEx>
          <w:tblCellMar>
            <w:top w:w="0" w:type="dxa"/>
            <w:left w:w="108" w:type="dxa"/>
            <w:bottom w:w="0" w:type="dxa"/>
            <w:right w:w="108" w:type="dxa"/>
          </w:tblCellMar>
        </w:tblPrEx>
        <w:trPr>
          <w:trHeight w:val="391"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6E829913">
            <w:pPr>
              <w:pStyle w:val="13"/>
              <w:ind w:left="0" w:leftChars="0" w:firstLine="0" w:firstLineChars="0"/>
              <w:jc w:val="center"/>
              <w:rPr>
                <w:rFonts w:hint="eastAsia"/>
                <w:sz w:val="24"/>
                <w:szCs w:val="24"/>
              </w:rPr>
            </w:pPr>
            <w:r>
              <w:rPr>
                <w:rFonts w:hint="eastAsia"/>
                <w:sz w:val="24"/>
                <w:szCs w:val="24"/>
              </w:rPr>
              <w:t>3</w:t>
            </w:r>
          </w:p>
        </w:tc>
        <w:tc>
          <w:tcPr>
            <w:tcW w:w="1560" w:type="pct"/>
            <w:tcBorders>
              <w:top w:val="single" w:color="auto" w:sz="4" w:space="0"/>
              <w:left w:val="single" w:color="auto" w:sz="4" w:space="0"/>
              <w:bottom w:val="single" w:color="auto" w:sz="4" w:space="0"/>
              <w:right w:val="single" w:color="auto" w:sz="4" w:space="0"/>
            </w:tcBorders>
            <w:noWrap w:val="0"/>
            <w:vAlign w:val="center"/>
          </w:tcPr>
          <w:p w14:paraId="09C022E3">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人脸自助采集终端</w:t>
            </w:r>
          </w:p>
        </w:tc>
        <w:tc>
          <w:tcPr>
            <w:tcW w:w="1740" w:type="pct"/>
            <w:tcBorders>
              <w:top w:val="single" w:color="auto" w:sz="4" w:space="0"/>
              <w:left w:val="single" w:color="auto" w:sz="4" w:space="0"/>
              <w:bottom w:val="single" w:color="auto" w:sz="4" w:space="0"/>
              <w:right w:val="single" w:color="auto" w:sz="4" w:space="0"/>
            </w:tcBorders>
            <w:noWrap w:val="0"/>
            <w:vAlign w:val="center"/>
          </w:tcPr>
          <w:p w14:paraId="2345ECFC">
            <w:pPr>
              <w:pStyle w:val="13"/>
              <w:jc w:val="center"/>
              <w:rPr>
                <w:rFonts w:hint="eastAsia"/>
                <w:sz w:val="24"/>
                <w:szCs w:val="24"/>
              </w:rPr>
            </w:pPr>
            <w:r>
              <w:rPr>
                <w:rFonts w:hint="eastAsia"/>
                <w:sz w:val="24"/>
                <w:szCs w:val="24"/>
              </w:rPr>
              <w:t>华颐TS-FVT-01</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63D14541">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台</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6E4A618B">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1</w:t>
            </w:r>
          </w:p>
        </w:tc>
      </w:tr>
      <w:tr w14:paraId="406C49AA">
        <w:tblPrEx>
          <w:tblCellMar>
            <w:top w:w="0" w:type="dxa"/>
            <w:left w:w="108" w:type="dxa"/>
            <w:bottom w:w="0" w:type="dxa"/>
            <w:right w:w="108" w:type="dxa"/>
          </w:tblCellMar>
        </w:tblPrEx>
        <w:trPr>
          <w:trHeight w:val="515"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7CA47536">
            <w:pPr>
              <w:pStyle w:val="13"/>
              <w:ind w:left="0" w:leftChars="0" w:firstLine="0" w:firstLineChars="0"/>
              <w:jc w:val="center"/>
              <w:rPr>
                <w:rFonts w:hint="eastAsia"/>
                <w:sz w:val="24"/>
                <w:szCs w:val="24"/>
              </w:rPr>
            </w:pPr>
            <w:r>
              <w:rPr>
                <w:rFonts w:hint="eastAsia"/>
                <w:sz w:val="24"/>
                <w:szCs w:val="24"/>
              </w:rPr>
              <w:t>4</w:t>
            </w:r>
          </w:p>
        </w:tc>
        <w:tc>
          <w:tcPr>
            <w:tcW w:w="1560" w:type="pct"/>
            <w:tcBorders>
              <w:top w:val="single" w:color="auto" w:sz="4" w:space="0"/>
              <w:left w:val="single" w:color="auto" w:sz="4" w:space="0"/>
              <w:bottom w:val="single" w:color="auto" w:sz="4" w:space="0"/>
              <w:right w:val="single" w:color="auto" w:sz="4" w:space="0"/>
            </w:tcBorders>
            <w:noWrap w:val="0"/>
            <w:vAlign w:val="center"/>
          </w:tcPr>
          <w:p w14:paraId="0E35197B">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信息发布屏</w:t>
            </w:r>
          </w:p>
        </w:tc>
        <w:tc>
          <w:tcPr>
            <w:tcW w:w="1740" w:type="pct"/>
            <w:tcBorders>
              <w:top w:val="single" w:color="auto" w:sz="4" w:space="0"/>
              <w:left w:val="single" w:color="auto" w:sz="4" w:space="0"/>
              <w:bottom w:val="single" w:color="auto" w:sz="4" w:space="0"/>
              <w:right w:val="single" w:color="auto" w:sz="4" w:space="0"/>
            </w:tcBorders>
            <w:noWrap w:val="0"/>
            <w:vAlign w:val="center"/>
          </w:tcPr>
          <w:p w14:paraId="600F729D">
            <w:pPr>
              <w:pStyle w:val="13"/>
              <w:jc w:val="center"/>
              <w:rPr>
                <w:rFonts w:hint="eastAsia"/>
                <w:sz w:val="24"/>
                <w:szCs w:val="24"/>
              </w:rPr>
            </w:pPr>
            <w:r>
              <w:rPr>
                <w:rFonts w:hint="eastAsia"/>
                <w:sz w:val="24"/>
                <w:szCs w:val="24"/>
              </w:rPr>
              <w:t>海康威视DS-D6065FL-B/S</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4928CA51">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台</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374E8274">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6</w:t>
            </w:r>
          </w:p>
        </w:tc>
      </w:tr>
      <w:tr w14:paraId="178341C6">
        <w:tblPrEx>
          <w:tblCellMar>
            <w:top w:w="0" w:type="dxa"/>
            <w:left w:w="108" w:type="dxa"/>
            <w:bottom w:w="0" w:type="dxa"/>
            <w:right w:w="108" w:type="dxa"/>
          </w:tblCellMar>
        </w:tblPrEx>
        <w:trPr>
          <w:trHeight w:val="391"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421772BE">
            <w:pPr>
              <w:pStyle w:val="13"/>
              <w:ind w:left="0" w:leftChars="0" w:firstLine="0" w:firstLineChars="0"/>
              <w:jc w:val="center"/>
              <w:rPr>
                <w:rFonts w:hint="eastAsia"/>
                <w:sz w:val="24"/>
                <w:szCs w:val="24"/>
              </w:rPr>
            </w:pPr>
            <w:r>
              <w:rPr>
                <w:rFonts w:hint="eastAsia"/>
                <w:sz w:val="24"/>
                <w:szCs w:val="24"/>
              </w:rPr>
              <w:t>5</w:t>
            </w:r>
          </w:p>
        </w:tc>
        <w:tc>
          <w:tcPr>
            <w:tcW w:w="1560" w:type="pct"/>
            <w:tcBorders>
              <w:top w:val="single" w:color="auto" w:sz="4" w:space="0"/>
              <w:left w:val="single" w:color="auto" w:sz="4" w:space="0"/>
              <w:bottom w:val="single" w:color="auto" w:sz="4" w:space="0"/>
              <w:right w:val="single" w:color="auto" w:sz="4" w:space="0"/>
            </w:tcBorders>
            <w:noWrap w:val="0"/>
            <w:vAlign w:val="center"/>
          </w:tcPr>
          <w:p w14:paraId="519E5DFB">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信息发布盒</w:t>
            </w:r>
          </w:p>
        </w:tc>
        <w:tc>
          <w:tcPr>
            <w:tcW w:w="1740" w:type="pct"/>
            <w:tcBorders>
              <w:top w:val="single" w:color="auto" w:sz="4" w:space="0"/>
              <w:left w:val="single" w:color="auto" w:sz="4" w:space="0"/>
              <w:bottom w:val="single" w:color="auto" w:sz="4" w:space="0"/>
              <w:right w:val="single" w:color="auto" w:sz="4" w:space="0"/>
            </w:tcBorders>
            <w:noWrap w:val="0"/>
            <w:vAlign w:val="center"/>
          </w:tcPr>
          <w:p w14:paraId="0CFA1AFC">
            <w:pPr>
              <w:pStyle w:val="13"/>
              <w:jc w:val="center"/>
              <w:rPr>
                <w:rFonts w:hint="eastAsia"/>
                <w:sz w:val="24"/>
                <w:szCs w:val="24"/>
              </w:rPr>
            </w:pPr>
            <w:r>
              <w:rPr>
                <w:rFonts w:hint="eastAsia"/>
                <w:sz w:val="24"/>
                <w:szCs w:val="24"/>
              </w:rPr>
              <w:t>海康威视DS-D60C-B</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09C854DE">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台</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21844302">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6</w:t>
            </w:r>
          </w:p>
        </w:tc>
      </w:tr>
      <w:tr w14:paraId="742713A6">
        <w:tblPrEx>
          <w:tblCellMar>
            <w:top w:w="0" w:type="dxa"/>
            <w:left w:w="108" w:type="dxa"/>
            <w:bottom w:w="0" w:type="dxa"/>
            <w:right w:w="108" w:type="dxa"/>
          </w:tblCellMar>
        </w:tblPrEx>
        <w:trPr>
          <w:trHeight w:val="391"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7F69713A">
            <w:pPr>
              <w:pStyle w:val="13"/>
              <w:ind w:left="0" w:leftChars="0" w:firstLine="0" w:firstLineChars="0"/>
              <w:jc w:val="center"/>
              <w:rPr>
                <w:rFonts w:hint="eastAsia"/>
                <w:sz w:val="24"/>
                <w:szCs w:val="24"/>
              </w:rPr>
            </w:pPr>
            <w:r>
              <w:rPr>
                <w:rFonts w:hint="eastAsia"/>
                <w:sz w:val="24"/>
                <w:szCs w:val="24"/>
              </w:rPr>
              <w:t>6</w:t>
            </w:r>
          </w:p>
        </w:tc>
        <w:tc>
          <w:tcPr>
            <w:tcW w:w="1560" w:type="pct"/>
            <w:tcBorders>
              <w:top w:val="single" w:color="auto" w:sz="4" w:space="0"/>
              <w:left w:val="single" w:color="auto" w:sz="4" w:space="0"/>
              <w:bottom w:val="single" w:color="auto" w:sz="4" w:space="0"/>
              <w:right w:val="single" w:color="auto" w:sz="4" w:space="0"/>
            </w:tcBorders>
            <w:noWrap w:val="0"/>
            <w:vAlign w:val="center"/>
          </w:tcPr>
          <w:p w14:paraId="3C370860">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应急通道</w:t>
            </w:r>
          </w:p>
        </w:tc>
        <w:tc>
          <w:tcPr>
            <w:tcW w:w="1740" w:type="pct"/>
            <w:tcBorders>
              <w:top w:val="single" w:color="auto" w:sz="4" w:space="0"/>
              <w:left w:val="single" w:color="auto" w:sz="4" w:space="0"/>
              <w:bottom w:val="single" w:color="auto" w:sz="4" w:space="0"/>
              <w:right w:val="single" w:color="auto" w:sz="4" w:space="0"/>
            </w:tcBorders>
            <w:noWrap w:val="0"/>
            <w:vAlign w:val="center"/>
          </w:tcPr>
          <w:p w14:paraId="7041C4E3">
            <w:pPr>
              <w:pStyle w:val="13"/>
              <w:jc w:val="center"/>
              <w:rPr>
                <w:rFonts w:hint="eastAsia"/>
                <w:sz w:val="24"/>
                <w:szCs w:val="24"/>
              </w:rPr>
            </w:pPr>
            <w:r>
              <w:rPr>
                <w:rFonts w:hint="eastAsia"/>
                <w:sz w:val="24"/>
                <w:szCs w:val="24"/>
              </w:rPr>
              <w:t>佳信定制</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75C1A9F5">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个</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2F420D0B">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11</w:t>
            </w:r>
          </w:p>
        </w:tc>
      </w:tr>
      <w:tr w14:paraId="4A96059A">
        <w:tblPrEx>
          <w:tblCellMar>
            <w:top w:w="0" w:type="dxa"/>
            <w:left w:w="108" w:type="dxa"/>
            <w:bottom w:w="0" w:type="dxa"/>
            <w:right w:w="108" w:type="dxa"/>
          </w:tblCellMar>
        </w:tblPrEx>
        <w:trPr>
          <w:trHeight w:val="520"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51175B8B">
            <w:pPr>
              <w:pStyle w:val="13"/>
              <w:ind w:left="0" w:leftChars="0" w:firstLine="0" w:firstLineChars="0"/>
              <w:jc w:val="center"/>
              <w:rPr>
                <w:rFonts w:hint="eastAsia"/>
                <w:sz w:val="24"/>
                <w:szCs w:val="24"/>
              </w:rPr>
            </w:pPr>
            <w:r>
              <w:rPr>
                <w:rFonts w:hint="eastAsia"/>
                <w:sz w:val="24"/>
                <w:szCs w:val="24"/>
              </w:rPr>
              <w:t>7</w:t>
            </w:r>
          </w:p>
        </w:tc>
        <w:tc>
          <w:tcPr>
            <w:tcW w:w="1560" w:type="pct"/>
            <w:tcBorders>
              <w:top w:val="single" w:color="auto" w:sz="4" w:space="0"/>
              <w:left w:val="single" w:color="auto" w:sz="4" w:space="0"/>
              <w:bottom w:val="single" w:color="auto" w:sz="4" w:space="0"/>
              <w:right w:val="single" w:color="auto" w:sz="4" w:space="0"/>
            </w:tcBorders>
            <w:noWrap w:val="0"/>
            <w:vAlign w:val="center"/>
          </w:tcPr>
          <w:p w14:paraId="30DB7AA2">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智能人脸抓拍摄像机</w:t>
            </w:r>
          </w:p>
        </w:tc>
        <w:tc>
          <w:tcPr>
            <w:tcW w:w="1740" w:type="pct"/>
            <w:tcBorders>
              <w:top w:val="single" w:color="auto" w:sz="4" w:space="0"/>
              <w:left w:val="single" w:color="auto" w:sz="4" w:space="0"/>
              <w:bottom w:val="single" w:color="auto" w:sz="4" w:space="0"/>
              <w:right w:val="single" w:color="auto" w:sz="4" w:space="0"/>
            </w:tcBorders>
            <w:noWrap w:val="0"/>
            <w:vAlign w:val="center"/>
          </w:tcPr>
          <w:p w14:paraId="677A3554">
            <w:pPr>
              <w:pStyle w:val="13"/>
              <w:jc w:val="center"/>
              <w:rPr>
                <w:rFonts w:hint="eastAsia"/>
                <w:sz w:val="24"/>
                <w:szCs w:val="24"/>
              </w:rPr>
            </w:pPr>
            <w:r>
              <w:rPr>
                <w:rFonts w:hint="eastAsia"/>
                <w:sz w:val="24"/>
                <w:szCs w:val="24"/>
              </w:rPr>
              <w:t>海康威视DS-2CD7A4XYZUV-ABCDEF</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616AE8B4">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台</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03088AD5">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22</w:t>
            </w:r>
          </w:p>
        </w:tc>
      </w:tr>
      <w:tr w14:paraId="2B48E310">
        <w:tblPrEx>
          <w:tblCellMar>
            <w:top w:w="0" w:type="dxa"/>
            <w:left w:w="108" w:type="dxa"/>
            <w:bottom w:w="0" w:type="dxa"/>
            <w:right w:w="108" w:type="dxa"/>
          </w:tblCellMar>
        </w:tblPrEx>
        <w:trPr>
          <w:trHeight w:val="391"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3198EF11">
            <w:pPr>
              <w:pStyle w:val="13"/>
              <w:ind w:left="0" w:leftChars="0" w:firstLine="0" w:firstLineChars="0"/>
              <w:jc w:val="center"/>
              <w:rPr>
                <w:rFonts w:hint="eastAsia"/>
                <w:sz w:val="24"/>
                <w:szCs w:val="24"/>
              </w:rPr>
            </w:pPr>
            <w:r>
              <w:rPr>
                <w:rFonts w:hint="eastAsia"/>
                <w:sz w:val="24"/>
                <w:szCs w:val="24"/>
              </w:rPr>
              <w:t>8</w:t>
            </w:r>
          </w:p>
        </w:tc>
        <w:tc>
          <w:tcPr>
            <w:tcW w:w="1560" w:type="pct"/>
            <w:tcBorders>
              <w:top w:val="single" w:color="auto" w:sz="4" w:space="0"/>
              <w:left w:val="single" w:color="auto" w:sz="4" w:space="0"/>
              <w:bottom w:val="single" w:color="auto" w:sz="4" w:space="0"/>
              <w:right w:val="single" w:color="auto" w:sz="4" w:space="0"/>
            </w:tcBorders>
            <w:noWrap w:val="0"/>
            <w:vAlign w:val="center"/>
          </w:tcPr>
          <w:p w14:paraId="0343FAD1">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宿舍管理平台</w:t>
            </w:r>
          </w:p>
        </w:tc>
        <w:tc>
          <w:tcPr>
            <w:tcW w:w="1740" w:type="pct"/>
            <w:tcBorders>
              <w:top w:val="single" w:color="auto" w:sz="4" w:space="0"/>
              <w:left w:val="single" w:color="auto" w:sz="4" w:space="0"/>
              <w:bottom w:val="single" w:color="auto" w:sz="4" w:space="0"/>
              <w:right w:val="single" w:color="auto" w:sz="4" w:space="0"/>
            </w:tcBorders>
            <w:noWrap w:val="0"/>
            <w:vAlign w:val="center"/>
          </w:tcPr>
          <w:p w14:paraId="4996F783">
            <w:pPr>
              <w:pStyle w:val="13"/>
              <w:jc w:val="center"/>
              <w:rPr>
                <w:rFonts w:hint="eastAsia"/>
                <w:sz w:val="24"/>
                <w:szCs w:val="24"/>
              </w:rPr>
            </w:pPr>
            <w:r>
              <w:rPr>
                <w:rFonts w:hint="eastAsia"/>
                <w:sz w:val="24"/>
                <w:szCs w:val="24"/>
              </w:rPr>
              <w:t>华颐V1.0</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76054478">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套</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50EBD341">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1</w:t>
            </w:r>
          </w:p>
        </w:tc>
      </w:tr>
      <w:tr w14:paraId="31CC18AB">
        <w:tblPrEx>
          <w:tblCellMar>
            <w:top w:w="0" w:type="dxa"/>
            <w:left w:w="108" w:type="dxa"/>
            <w:bottom w:w="0" w:type="dxa"/>
            <w:right w:w="108" w:type="dxa"/>
          </w:tblCellMar>
        </w:tblPrEx>
        <w:trPr>
          <w:trHeight w:val="515"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60BAC201">
            <w:pPr>
              <w:pStyle w:val="13"/>
              <w:ind w:left="0" w:leftChars="0" w:firstLine="0" w:firstLineChars="0"/>
              <w:jc w:val="center"/>
              <w:rPr>
                <w:rFonts w:hint="eastAsia"/>
                <w:sz w:val="24"/>
                <w:szCs w:val="24"/>
              </w:rPr>
            </w:pPr>
            <w:r>
              <w:rPr>
                <w:rFonts w:hint="eastAsia"/>
                <w:sz w:val="24"/>
                <w:szCs w:val="24"/>
              </w:rPr>
              <w:t>9</w:t>
            </w:r>
          </w:p>
        </w:tc>
        <w:tc>
          <w:tcPr>
            <w:tcW w:w="1560" w:type="pct"/>
            <w:tcBorders>
              <w:top w:val="single" w:color="auto" w:sz="4" w:space="0"/>
              <w:left w:val="single" w:color="auto" w:sz="4" w:space="0"/>
              <w:bottom w:val="single" w:color="auto" w:sz="4" w:space="0"/>
              <w:right w:val="single" w:color="auto" w:sz="4" w:space="0"/>
            </w:tcBorders>
            <w:noWrap w:val="0"/>
            <w:vAlign w:val="center"/>
          </w:tcPr>
          <w:p w14:paraId="32D0F7E4">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平台服务器</w:t>
            </w:r>
          </w:p>
        </w:tc>
        <w:tc>
          <w:tcPr>
            <w:tcW w:w="1740" w:type="pct"/>
            <w:tcBorders>
              <w:top w:val="single" w:color="auto" w:sz="4" w:space="0"/>
              <w:left w:val="single" w:color="auto" w:sz="4" w:space="0"/>
              <w:bottom w:val="single" w:color="auto" w:sz="4" w:space="0"/>
              <w:right w:val="single" w:color="auto" w:sz="4" w:space="0"/>
            </w:tcBorders>
            <w:noWrap w:val="0"/>
            <w:vAlign w:val="center"/>
          </w:tcPr>
          <w:p w14:paraId="2754733E">
            <w:pPr>
              <w:pStyle w:val="13"/>
              <w:jc w:val="center"/>
              <w:rPr>
                <w:rFonts w:hint="eastAsia"/>
                <w:sz w:val="24"/>
                <w:szCs w:val="24"/>
              </w:rPr>
            </w:pPr>
            <w:r>
              <w:rPr>
                <w:rFonts w:hint="eastAsia"/>
                <w:sz w:val="24"/>
                <w:szCs w:val="24"/>
              </w:rPr>
              <w:t>联想ThinkServer SR588</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5EA81E38">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台</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09DBA051">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1</w:t>
            </w:r>
          </w:p>
        </w:tc>
      </w:tr>
      <w:tr w14:paraId="6CE7BD52">
        <w:tblPrEx>
          <w:tblCellMar>
            <w:top w:w="0" w:type="dxa"/>
            <w:left w:w="108" w:type="dxa"/>
            <w:bottom w:w="0" w:type="dxa"/>
            <w:right w:w="108" w:type="dxa"/>
          </w:tblCellMar>
        </w:tblPrEx>
        <w:trPr>
          <w:trHeight w:val="391"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560AFEA4">
            <w:pPr>
              <w:pStyle w:val="13"/>
              <w:ind w:left="0" w:leftChars="0" w:firstLine="0" w:firstLineChars="0"/>
              <w:jc w:val="center"/>
              <w:rPr>
                <w:rFonts w:hint="eastAsia"/>
                <w:sz w:val="24"/>
                <w:szCs w:val="24"/>
              </w:rPr>
            </w:pPr>
            <w:r>
              <w:rPr>
                <w:rFonts w:hint="eastAsia"/>
                <w:sz w:val="24"/>
                <w:szCs w:val="24"/>
              </w:rPr>
              <w:t>10</w:t>
            </w:r>
          </w:p>
        </w:tc>
        <w:tc>
          <w:tcPr>
            <w:tcW w:w="1560" w:type="pct"/>
            <w:tcBorders>
              <w:top w:val="single" w:color="auto" w:sz="4" w:space="0"/>
              <w:left w:val="single" w:color="auto" w:sz="4" w:space="0"/>
              <w:bottom w:val="single" w:color="auto" w:sz="4" w:space="0"/>
              <w:right w:val="single" w:color="auto" w:sz="4" w:space="0"/>
            </w:tcBorders>
            <w:noWrap w:val="0"/>
            <w:vAlign w:val="center"/>
          </w:tcPr>
          <w:p w14:paraId="25D50112">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第三方业务系统对接</w:t>
            </w:r>
          </w:p>
        </w:tc>
        <w:tc>
          <w:tcPr>
            <w:tcW w:w="1740" w:type="pct"/>
            <w:tcBorders>
              <w:top w:val="single" w:color="auto" w:sz="4" w:space="0"/>
              <w:left w:val="single" w:color="auto" w:sz="4" w:space="0"/>
              <w:bottom w:val="single" w:color="auto" w:sz="4" w:space="0"/>
              <w:right w:val="single" w:color="auto" w:sz="4" w:space="0"/>
            </w:tcBorders>
            <w:noWrap w:val="0"/>
            <w:vAlign w:val="center"/>
          </w:tcPr>
          <w:p w14:paraId="2CD11BC3">
            <w:pPr>
              <w:pStyle w:val="13"/>
              <w:jc w:val="center"/>
              <w:rPr>
                <w:rFonts w:hint="eastAsia"/>
                <w:sz w:val="24"/>
                <w:szCs w:val="24"/>
              </w:rPr>
            </w:pPr>
            <w:r>
              <w:rPr>
                <w:rFonts w:hint="eastAsia"/>
                <w:sz w:val="24"/>
                <w:szCs w:val="24"/>
              </w:rPr>
              <w:t>华颐定制</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71D26257">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套</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2B5F89B0">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1</w:t>
            </w:r>
          </w:p>
        </w:tc>
      </w:tr>
      <w:tr w14:paraId="20C8B15C">
        <w:tblPrEx>
          <w:tblCellMar>
            <w:top w:w="0" w:type="dxa"/>
            <w:left w:w="108" w:type="dxa"/>
            <w:bottom w:w="0" w:type="dxa"/>
            <w:right w:w="108" w:type="dxa"/>
          </w:tblCellMar>
        </w:tblPrEx>
        <w:trPr>
          <w:trHeight w:val="515"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357C0F1C">
            <w:pPr>
              <w:pStyle w:val="13"/>
              <w:ind w:left="0" w:leftChars="0" w:firstLine="0" w:firstLineChars="0"/>
              <w:jc w:val="center"/>
              <w:rPr>
                <w:rFonts w:hint="eastAsia"/>
                <w:sz w:val="24"/>
                <w:szCs w:val="24"/>
              </w:rPr>
            </w:pPr>
            <w:r>
              <w:rPr>
                <w:rFonts w:hint="eastAsia"/>
                <w:sz w:val="24"/>
                <w:szCs w:val="24"/>
              </w:rPr>
              <w:t>11</w:t>
            </w:r>
          </w:p>
        </w:tc>
        <w:tc>
          <w:tcPr>
            <w:tcW w:w="1560" w:type="pct"/>
            <w:tcBorders>
              <w:top w:val="single" w:color="auto" w:sz="4" w:space="0"/>
              <w:left w:val="single" w:color="auto" w:sz="4" w:space="0"/>
              <w:bottom w:val="single" w:color="auto" w:sz="4" w:space="0"/>
              <w:right w:val="single" w:color="auto" w:sz="4" w:space="0"/>
            </w:tcBorders>
            <w:noWrap w:val="0"/>
            <w:vAlign w:val="center"/>
          </w:tcPr>
          <w:p w14:paraId="56B18369">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平台对接中间件服务器</w:t>
            </w:r>
          </w:p>
        </w:tc>
        <w:tc>
          <w:tcPr>
            <w:tcW w:w="1740" w:type="pct"/>
            <w:tcBorders>
              <w:top w:val="single" w:color="auto" w:sz="4" w:space="0"/>
              <w:left w:val="single" w:color="auto" w:sz="4" w:space="0"/>
              <w:bottom w:val="single" w:color="auto" w:sz="4" w:space="0"/>
              <w:right w:val="single" w:color="auto" w:sz="4" w:space="0"/>
            </w:tcBorders>
            <w:noWrap w:val="0"/>
            <w:vAlign w:val="center"/>
          </w:tcPr>
          <w:p w14:paraId="7863E630">
            <w:pPr>
              <w:pStyle w:val="13"/>
              <w:jc w:val="center"/>
              <w:rPr>
                <w:rFonts w:hint="eastAsia"/>
                <w:sz w:val="24"/>
                <w:szCs w:val="24"/>
              </w:rPr>
            </w:pPr>
            <w:r>
              <w:rPr>
                <w:rFonts w:hint="eastAsia"/>
                <w:sz w:val="24"/>
                <w:szCs w:val="24"/>
              </w:rPr>
              <w:t>联想ThinkServer SR588</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1BB0ECA3">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台</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766A7211">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1</w:t>
            </w:r>
          </w:p>
        </w:tc>
      </w:tr>
      <w:tr w14:paraId="567E2619">
        <w:tblPrEx>
          <w:tblCellMar>
            <w:top w:w="0" w:type="dxa"/>
            <w:left w:w="108" w:type="dxa"/>
            <w:bottom w:w="0" w:type="dxa"/>
            <w:right w:w="108" w:type="dxa"/>
          </w:tblCellMar>
        </w:tblPrEx>
        <w:trPr>
          <w:trHeight w:val="520"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44A8BC79">
            <w:pPr>
              <w:pStyle w:val="13"/>
              <w:ind w:left="0" w:leftChars="0" w:firstLine="0" w:firstLineChars="0"/>
              <w:jc w:val="center"/>
              <w:rPr>
                <w:rFonts w:hint="eastAsia"/>
                <w:sz w:val="24"/>
                <w:szCs w:val="24"/>
              </w:rPr>
            </w:pPr>
            <w:r>
              <w:rPr>
                <w:rFonts w:hint="eastAsia"/>
                <w:sz w:val="24"/>
                <w:szCs w:val="24"/>
              </w:rPr>
              <w:t>12</w:t>
            </w:r>
          </w:p>
        </w:tc>
        <w:tc>
          <w:tcPr>
            <w:tcW w:w="1560" w:type="pct"/>
            <w:tcBorders>
              <w:top w:val="single" w:color="auto" w:sz="4" w:space="0"/>
              <w:left w:val="single" w:color="auto" w:sz="4" w:space="0"/>
              <w:bottom w:val="single" w:color="auto" w:sz="4" w:space="0"/>
              <w:right w:val="single" w:color="auto" w:sz="4" w:space="0"/>
            </w:tcBorders>
            <w:noWrap w:val="0"/>
            <w:vAlign w:val="center"/>
          </w:tcPr>
          <w:p w14:paraId="192E29F7">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硬盘录像机</w:t>
            </w:r>
          </w:p>
        </w:tc>
        <w:tc>
          <w:tcPr>
            <w:tcW w:w="1740" w:type="pct"/>
            <w:tcBorders>
              <w:top w:val="single" w:color="auto" w:sz="4" w:space="0"/>
              <w:left w:val="single" w:color="auto" w:sz="4" w:space="0"/>
              <w:bottom w:val="single" w:color="auto" w:sz="4" w:space="0"/>
              <w:right w:val="single" w:color="auto" w:sz="4" w:space="0"/>
            </w:tcBorders>
            <w:noWrap w:val="0"/>
            <w:vAlign w:val="center"/>
          </w:tcPr>
          <w:p w14:paraId="7F93F7F9">
            <w:pPr>
              <w:pStyle w:val="13"/>
              <w:jc w:val="center"/>
              <w:rPr>
                <w:rFonts w:hint="eastAsia"/>
                <w:sz w:val="24"/>
                <w:szCs w:val="24"/>
              </w:rPr>
            </w:pPr>
            <w:r>
              <w:rPr>
                <w:rFonts w:hint="eastAsia"/>
                <w:sz w:val="24"/>
                <w:szCs w:val="24"/>
              </w:rPr>
              <w:t>海康威视iDS-9664NX-I16/X</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2D0216AD">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台</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6AF308D9">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2</w:t>
            </w:r>
          </w:p>
        </w:tc>
      </w:tr>
      <w:tr w14:paraId="31444C73">
        <w:tblPrEx>
          <w:tblCellMar>
            <w:top w:w="0" w:type="dxa"/>
            <w:left w:w="108" w:type="dxa"/>
            <w:bottom w:w="0" w:type="dxa"/>
            <w:right w:w="108" w:type="dxa"/>
          </w:tblCellMar>
        </w:tblPrEx>
        <w:trPr>
          <w:trHeight w:val="391"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224781C5">
            <w:pPr>
              <w:pStyle w:val="13"/>
              <w:ind w:left="0" w:leftChars="0" w:firstLine="0" w:firstLineChars="0"/>
              <w:jc w:val="center"/>
              <w:rPr>
                <w:rFonts w:hint="eastAsia"/>
                <w:sz w:val="24"/>
                <w:szCs w:val="24"/>
              </w:rPr>
            </w:pPr>
            <w:r>
              <w:rPr>
                <w:rFonts w:hint="eastAsia"/>
                <w:sz w:val="24"/>
                <w:szCs w:val="24"/>
              </w:rPr>
              <w:t>13</w:t>
            </w:r>
          </w:p>
        </w:tc>
        <w:tc>
          <w:tcPr>
            <w:tcW w:w="1560" w:type="pct"/>
            <w:tcBorders>
              <w:top w:val="single" w:color="auto" w:sz="4" w:space="0"/>
              <w:left w:val="single" w:color="auto" w:sz="4" w:space="0"/>
              <w:bottom w:val="single" w:color="auto" w:sz="4" w:space="0"/>
              <w:right w:val="single" w:color="auto" w:sz="4" w:space="0"/>
            </w:tcBorders>
            <w:noWrap w:val="0"/>
            <w:vAlign w:val="center"/>
          </w:tcPr>
          <w:p w14:paraId="669E872E">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交换机</w:t>
            </w:r>
          </w:p>
        </w:tc>
        <w:tc>
          <w:tcPr>
            <w:tcW w:w="1740" w:type="pct"/>
            <w:tcBorders>
              <w:top w:val="single" w:color="auto" w:sz="4" w:space="0"/>
              <w:left w:val="single" w:color="auto" w:sz="4" w:space="0"/>
              <w:bottom w:val="single" w:color="auto" w:sz="4" w:space="0"/>
              <w:right w:val="single" w:color="auto" w:sz="4" w:space="0"/>
            </w:tcBorders>
            <w:noWrap w:val="0"/>
            <w:vAlign w:val="center"/>
          </w:tcPr>
          <w:p w14:paraId="60AB88D7">
            <w:pPr>
              <w:pStyle w:val="13"/>
              <w:jc w:val="center"/>
              <w:rPr>
                <w:rFonts w:hint="eastAsia"/>
                <w:sz w:val="24"/>
                <w:szCs w:val="24"/>
              </w:rPr>
            </w:pPr>
            <w:r>
              <w:rPr>
                <w:rFonts w:hint="eastAsia"/>
                <w:sz w:val="24"/>
                <w:szCs w:val="24"/>
              </w:rPr>
              <w:t>华三Magic S2G</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340B86A8">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个</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2FD8F65D">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6</w:t>
            </w:r>
          </w:p>
        </w:tc>
      </w:tr>
      <w:tr w14:paraId="3D35347E">
        <w:tblPrEx>
          <w:tblCellMar>
            <w:top w:w="0" w:type="dxa"/>
            <w:left w:w="108" w:type="dxa"/>
            <w:bottom w:w="0" w:type="dxa"/>
            <w:right w:w="108" w:type="dxa"/>
          </w:tblCellMar>
        </w:tblPrEx>
        <w:trPr>
          <w:trHeight w:val="515"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7F369347">
            <w:pPr>
              <w:pStyle w:val="13"/>
              <w:ind w:left="0" w:leftChars="0" w:firstLine="0" w:firstLineChars="0"/>
              <w:jc w:val="center"/>
              <w:rPr>
                <w:rFonts w:hint="eastAsia"/>
                <w:sz w:val="24"/>
                <w:szCs w:val="24"/>
              </w:rPr>
            </w:pPr>
            <w:r>
              <w:rPr>
                <w:rFonts w:hint="eastAsia"/>
                <w:sz w:val="24"/>
                <w:szCs w:val="24"/>
              </w:rPr>
              <w:t>14</w:t>
            </w:r>
          </w:p>
        </w:tc>
        <w:tc>
          <w:tcPr>
            <w:tcW w:w="1560" w:type="pct"/>
            <w:tcBorders>
              <w:top w:val="single" w:color="auto" w:sz="4" w:space="0"/>
              <w:left w:val="single" w:color="auto" w:sz="4" w:space="0"/>
              <w:bottom w:val="single" w:color="auto" w:sz="4" w:space="0"/>
              <w:right w:val="single" w:color="auto" w:sz="4" w:space="0"/>
            </w:tcBorders>
            <w:noWrap w:val="0"/>
            <w:vAlign w:val="center"/>
          </w:tcPr>
          <w:p w14:paraId="382192ED">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管理电脑</w:t>
            </w:r>
          </w:p>
        </w:tc>
        <w:tc>
          <w:tcPr>
            <w:tcW w:w="1740" w:type="pct"/>
            <w:tcBorders>
              <w:top w:val="single" w:color="auto" w:sz="4" w:space="0"/>
              <w:left w:val="single" w:color="auto" w:sz="4" w:space="0"/>
              <w:bottom w:val="single" w:color="auto" w:sz="4" w:space="0"/>
              <w:right w:val="single" w:color="auto" w:sz="4" w:space="0"/>
            </w:tcBorders>
            <w:noWrap w:val="0"/>
            <w:vAlign w:val="center"/>
          </w:tcPr>
          <w:p w14:paraId="6EDE7A66">
            <w:pPr>
              <w:pStyle w:val="13"/>
              <w:jc w:val="center"/>
              <w:rPr>
                <w:rFonts w:hint="eastAsia"/>
                <w:sz w:val="24"/>
                <w:szCs w:val="24"/>
              </w:rPr>
            </w:pPr>
            <w:r>
              <w:rPr>
                <w:rFonts w:hint="eastAsia"/>
                <w:sz w:val="24"/>
                <w:szCs w:val="24"/>
              </w:rPr>
              <w:t>戴尔Vostro 3881-R14N8R</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69E60446">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台</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747CA0EA">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2</w:t>
            </w:r>
          </w:p>
        </w:tc>
      </w:tr>
      <w:tr w14:paraId="43672DF5">
        <w:tblPrEx>
          <w:tblCellMar>
            <w:top w:w="0" w:type="dxa"/>
            <w:left w:w="108" w:type="dxa"/>
            <w:bottom w:w="0" w:type="dxa"/>
            <w:right w:w="108" w:type="dxa"/>
          </w:tblCellMar>
        </w:tblPrEx>
        <w:trPr>
          <w:trHeight w:val="532"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3BD9A311">
            <w:pPr>
              <w:pStyle w:val="13"/>
              <w:ind w:left="0" w:leftChars="0" w:firstLine="0" w:firstLineChars="0"/>
              <w:jc w:val="center"/>
              <w:rPr>
                <w:rFonts w:hint="eastAsia"/>
                <w:sz w:val="24"/>
                <w:szCs w:val="24"/>
              </w:rPr>
            </w:pPr>
            <w:r>
              <w:rPr>
                <w:rFonts w:hint="eastAsia"/>
                <w:sz w:val="24"/>
                <w:szCs w:val="24"/>
              </w:rPr>
              <w:t>15</w:t>
            </w:r>
          </w:p>
        </w:tc>
        <w:tc>
          <w:tcPr>
            <w:tcW w:w="1560" w:type="pct"/>
            <w:tcBorders>
              <w:top w:val="single" w:color="auto" w:sz="4" w:space="0"/>
              <w:left w:val="single" w:color="auto" w:sz="4" w:space="0"/>
              <w:bottom w:val="single" w:color="auto" w:sz="4" w:space="0"/>
              <w:right w:val="single" w:color="auto" w:sz="4" w:space="0"/>
            </w:tcBorders>
            <w:noWrap w:val="0"/>
            <w:vAlign w:val="center"/>
          </w:tcPr>
          <w:p w14:paraId="0DB3382C">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总控室显示大屏</w:t>
            </w:r>
          </w:p>
        </w:tc>
        <w:tc>
          <w:tcPr>
            <w:tcW w:w="1740" w:type="pct"/>
            <w:tcBorders>
              <w:top w:val="single" w:color="auto" w:sz="4" w:space="0"/>
              <w:left w:val="single" w:color="auto" w:sz="4" w:space="0"/>
              <w:bottom w:val="single" w:color="auto" w:sz="4" w:space="0"/>
              <w:right w:val="single" w:color="auto" w:sz="4" w:space="0"/>
            </w:tcBorders>
            <w:noWrap w:val="0"/>
            <w:vAlign w:val="center"/>
          </w:tcPr>
          <w:p w14:paraId="17CAE006">
            <w:pPr>
              <w:pStyle w:val="13"/>
              <w:jc w:val="center"/>
              <w:rPr>
                <w:rFonts w:hint="eastAsia"/>
                <w:sz w:val="24"/>
                <w:szCs w:val="24"/>
              </w:rPr>
            </w:pPr>
            <w:r>
              <w:rPr>
                <w:rFonts w:hint="eastAsia"/>
                <w:sz w:val="24"/>
                <w:szCs w:val="24"/>
              </w:rPr>
              <w:t>海康威视DS-D5055UL-B</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7B1A4331">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套</w:t>
            </w:r>
          </w:p>
        </w:tc>
        <w:tc>
          <w:tcPr>
            <w:tcW w:w="591" w:type="pct"/>
            <w:tcBorders>
              <w:top w:val="single" w:color="auto" w:sz="4" w:space="0"/>
              <w:left w:val="single" w:color="auto" w:sz="4" w:space="0"/>
              <w:bottom w:val="single" w:color="auto" w:sz="4" w:space="0"/>
              <w:right w:val="single" w:color="auto" w:sz="4" w:space="0"/>
            </w:tcBorders>
            <w:noWrap w:val="0"/>
            <w:vAlign w:val="center"/>
          </w:tcPr>
          <w:p w14:paraId="13ADCE4D">
            <w:pPr>
              <w:snapToGrid w:val="0"/>
              <w:spacing w:line="360" w:lineRule="auto"/>
              <w:jc w:val="center"/>
              <w:rPr>
                <w:rFonts w:hint="eastAsia" w:ascii="宋体" w:hAnsi="宋体" w:eastAsia="宋体" w:cs="宋体"/>
                <w:color w:val="000000"/>
                <w:sz w:val="24"/>
                <w:szCs w:val="24"/>
              </w:rPr>
            </w:pPr>
            <w:r>
              <w:rPr>
                <w:rFonts w:hint="eastAsia" w:ascii="宋体" w:hAnsi="宋体" w:eastAsia="宋体"/>
                <w:color w:val="000000"/>
                <w:sz w:val="24"/>
                <w:szCs w:val="24"/>
              </w:rPr>
              <w:t>1</w:t>
            </w:r>
          </w:p>
        </w:tc>
      </w:tr>
    </w:tbl>
    <w:p w14:paraId="6B592CAC">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 </w:t>
      </w:r>
    </w:p>
    <w:p w14:paraId="701C9C32">
      <w:pPr>
        <w:pStyle w:val="5"/>
        <w:keepNext/>
        <w:keepLines/>
        <w:pageBreakBefore w:val="0"/>
        <w:widowControl w:val="0"/>
        <w:numPr>
          <w:ilvl w:val="0"/>
          <w:numId w:val="0"/>
        </w:numPr>
        <w:tabs>
          <w:tab w:val="left" w:pos="2730"/>
        </w:tabs>
        <w:kinsoku/>
        <w:wordWrap/>
        <w:overflowPunct/>
        <w:topLinePunct w:val="0"/>
        <w:autoSpaceDE/>
        <w:autoSpaceDN/>
        <w:bidi w:val="0"/>
        <w:adjustRightInd w:val="0"/>
        <w:snapToGrid/>
        <w:spacing w:before="157" w:beforeLines="50" w:after="157" w:afterLines="50" w:line="240" w:lineRule="auto"/>
        <w:ind w:firstLine="472" w:firstLineChars="196"/>
        <w:textAlignment w:val="auto"/>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三、服务要求</w:t>
      </w:r>
    </w:p>
    <w:p w14:paraId="1A4D6242">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1、服务响应及故障处理时间</w:t>
      </w:r>
    </w:p>
    <w:p w14:paraId="0A2781AC">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确保校门口及学生宿舍闸机通道系统（含人脸识别）全天稳定运行，保障师生正常通行和有关管理工作有序开展。供应商需建立7×24小时全天候服务响应机制，设立专属服务热线、微信或企业微信等多渠道报障方式，确保报障信息快速接收、精准记录。接到用户报障或服务需求后，需在30分钟内响应，明确告知用户处理流程、预计到场时间及联系人信息，不得出现拖延、推诿情况。如需现场处理的，服务人员需在接到报障后2小时内抵达现场开展故障排查及处置工作，不得无故延迟到场；若因特殊情况（如极端天气、交通管制等）无法按时到场，需提前1小时主动与用户沟通，说明原因并协商确定新的到场时间，同时提供临时应急解决方案，最大限度降低系统故障对校园管理的影响。现场处置过程中，供应商需高效排查故障原因，一般故障需在到场后8小时内完成修复，恢复系统正常运行；复杂故障（如核心硬件损坏、系统崩溃等）需在到场后24小时内完成修复，若24小时内无法彻底解决，需立即提供同等性能的临时替代设备或应急方案，确保系统基本功能正常，直至故障完全修复。此外，供应商需建立服务跟踪机制，故障修复后24小时内进行电话回访，确认系统运行正常，了解用户满意度，及时处理后续衍生问题。若未能按照上述约定及时提供服务的，采购人有权行使相应处罚权，如超过三次，将视为未能完全履行相关义务，合同终止，项目重新招标。</w:t>
      </w:r>
    </w:p>
    <w:p w14:paraId="2329AE46">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2、硬件设备维保服务</w:t>
      </w:r>
    </w:p>
    <w:p w14:paraId="4CE6A608">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本次维保涵盖本项目所有硬件设备，供应商需对所有硬件设备提供全面、专业的维保服务，整体保障硬件设备正常运行、性能稳定。供应商需建立硬件设备定期巡检机制，每月开展1次全面巡检，巡检内容包括设备运行状态检查、线路连接检查、设备清洁、部件损耗检测、性能调试等，及时发现设备潜在故障及安全隐患，提前进行处置，避免故障扩大。巡检完成后，需出具详细的巡检报告，明确设备运行状况、发现的问题及处理措施、后续维护建议，经学校相关负责人（学生处、安全管理处）确认后留存归档。</w:t>
      </w:r>
    </w:p>
    <w:p w14:paraId="7187F62A">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针对硬件设备出现的故障，供应商需提供免费维修服务，维修过程中所需的零部件（如闸机机芯、识别模块、电源、接口等）需选用与原设备品牌、规格一致或兼容且质量合格的产品，确保维修后设备性能与原设备一致，零部件更换需提前告知学校，经同意后再进行更换。对于无法维修或维修后无法达到正常使用标准的设备，供应商需提供详细的设备报废评估报告，提出合理的更换建议，协助学校完成设备更换相关事宜。此外，供应商需对所有硬件设备提供日常维护指导，定期对学校管理人员进行硬件设备日常操作、简单故障排查、日常保养等知识培训，提升管理人员的操作能力，减少因操作不当导致的设备故障。</w:t>
      </w:r>
    </w:p>
    <w:p w14:paraId="5316CDED">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3、软件系统维保服务</w:t>
      </w:r>
    </w:p>
    <w:p w14:paraId="6D098025">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软件系统维保范围包括校门口出入管理系统、学生宿舍管理平台以及第三方对接开发平台系统等，供应商需提供全面的软件系统维保服务，保障软件系统稳定运行、功能正常，满足学校公寓管理及师生使用需求。供应商需建立软件系统7×24小时运行监控机制，实时监测软件系统的运行状态，及时发现软件卡顿、崩溃、功能异常等问题，第一时间进行排查和修复，确保软件系统不间断运行。针对软件系统出现的各类故障，如登录异常、人脸识别失败、数据查询错误、功能无法正常使用等，供应商需按照规定的响应时间及故障处理时间要求，快速开展故障排查和修复工作，确保故障及时解决，不影响师生正常使用和公寓管理工作。</w:t>
      </w:r>
    </w:p>
    <w:p w14:paraId="71E08D9E">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中标供应商需提供软件系统日常维护服务，包括系统参数调试、功能优化、垃圾数据清理、系统日志整理分析等，定期对软件系统进行性能优化，提升系统运行速度和稳定性，避免因系统冗余、参数异常导致的故障。同时，供应商需根据学校通行管理工作的实际需求，对软件系统的现有功能进行合理优化调整，提供个性化的技术支持，解决软件使用过程中出现的各类疑问和问题。此外，供应商需建立软件系统使用培训机制，定期对学校管理人员进行软件系统操作、功能应用、故障排查等培训（每年至少2次），确保管理人员能够熟练掌握软件系统的使用方法，提高管理效率。同时，供应商需安排专人负责对接软件系统相关事宜，及时响应学校的各类软件使用需求，提供专业的技术咨询和指导服务。</w:t>
      </w:r>
    </w:p>
    <w:p w14:paraId="1C4D1504">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4、软件系统升级服务</w:t>
      </w:r>
    </w:p>
    <w:p w14:paraId="7DE3990C">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供应商需提供软件系统全周期升级服务，有关升级服务的全部费用及安全责任，由供应商承担。供应商确保软件系统始终保持最新稳定版本，功能满足学校通行管理的不断需求，同时保障升级过程安全、顺畅，不影响系统正常运行和师生使用。软件系统升级需遵循可追溯、可回滚、可验证、低影响四大原则，符合ISO/IEC 20000信息技术服务管理规范与GB/T 44496-2024软件升级通用技术要求，所有升级操作需留存完整日志，包括版本号、校验值、操作人、时间、结果、异常处理等，满足合规审计与问题追溯需求。供应商需定期关注软件系统厂商发布的升级补丁、版本更新信息，及时对软件系统进行升级，升级内容包括安全补丁更新、功能优化升级、漏洞修复升级等，确保软件系统的安全性、稳定性和功能性。</w:t>
      </w:r>
    </w:p>
    <w:p w14:paraId="672A9AEB">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供应商需提供目前已开发的第三方接口维护，包括学校一卡通系统对接、学籍系统对接、教务系统对接等，确保数据交互平台数据归集、数据清洗、数据比对、数据校验、数据分发、任务调度、接口管理和权限管理的交换体系运行正常。根据学校业务周期的不同，提前设置同步规则和同步频率，定时排查各数据同步运行情况，及时处理异常失败数据，包括在双方系统升级时，更新接口。</w:t>
      </w:r>
    </w:p>
    <w:p w14:paraId="730337ED">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软件系统升级前，供应商需对升级需求进行评估，明确升级目标、版本范围、功能变更、修复内容及影响范围，编制《升级可行性报告》和详细的升级方案，明确升级时间、升级步骤、回滚方案、应急措施及责任人，提前3个工作日书面告知学校，经学校同意后，选择非高峰时段（如夜间、周末）进行升级，避免影响师生正常通行和有关管理工作。升级过程中，供应商需安排专业技术人员全程值守，实时监控升级进度，及时处理升级过程中出现的各类异常问题，确保升级顺利完成。升级完成后，供应商需对软件系统进行全面测试，验证系统功能、性能、兼容性是否正常，数据是否完整无误，确保升级后系统运行稳定、功能正常。同时，中标供应商需提供升级后的技术支持和操作培训，指导学校管理人员熟悉升级后的软件功能和操作方法，及时解决升级后出现的各类问题。若升级过程中出现故障或升级后系统无法正常运行，供应商需立即启动回滚方案，恢复系统至升级前状态，并在规定时间内排查解决问题，重新组织升级。</w:t>
      </w:r>
    </w:p>
    <w:p w14:paraId="12BAC482">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5、系统数据库维护</w:t>
      </w:r>
    </w:p>
    <w:p w14:paraId="114A647B">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系统数据库维护涵盖本项目所有软件系统配套的数据库，包括人脸特征库、系统管理数据、通行记录数据、用户信息数据等，供应商需提供专业的数据库维护服务，保障数据库安全、稳定运行，确保数据完整、准确、可追溯，防止数据丢失、泄露、损坏等情况发生。供应商需建立数据库定期备份机制，每日进行1次增量备份，每周进行1次全量备份，每月进行1次备份验证，备份数据需存储在安全可靠的存储设备中，实行异地备份，确保备份数据可正常恢复。备份完成后，需详细记录备份情况，包括备份时间、备份内容、备份位置等信息，建立备份档案，定期对备份数据进行检查，确保备份数据的完整性和可用性。</w:t>
      </w:r>
    </w:p>
    <w:p w14:paraId="54DB7079">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供应商需定期对数据库进行维护优化，包括数据库索引优化、查询语句优化、数据碎片清理、存储空间整理等，提升数据库运行速度和效率，避免因数据库卡顿、拥堵导致软件系统运行异常。同时，供应商需对数据库进行实时监控，及时发现数据库运行过程中出现的异常情况，如数据错误、数据库崩溃、存储空间不足等，第一时间进行排查和处理，确保数据库正常运行。针对数据库数据，供应商需提供数据整理、数据恢复、数据查询等服务，根据学校需求，协助学校进行数据统计、分析和导出，为学校通行管理工作提供数据支持。此外，供应商需严格遵守数据安全管理规定，建立数据安全防护机制，严禁泄露、篡改、滥用数据库中的各类数据，尤其是师生个人信息、人脸特征等敏感数据，确保数据安全。若发生数据丢失、泄露等情况，供应商需承担相应责任，并及时采取补救措施，减少损失。</w:t>
      </w:r>
    </w:p>
    <w:p w14:paraId="4AF77126">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6、人员隐私数据管理保密</w:t>
      </w:r>
    </w:p>
    <w:p w14:paraId="16F7727C">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本项目维保服务涉及本校学生、管理人员等相关人员的人脸图像、身份信息等核心隐私数据，供应商须严格遵守《中华人民共和国民法典》《中华人民共和国网络安全法》《中华人民共和国个人信息保护法》等相关法律法规及采购人相关管理规定，建立完善的隐私数据安全管理体系，全面保障人员隐私数据的保密性、完整性和可用性。</w:t>
      </w:r>
    </w:p>
    <w:p w14:paraId="6BE5FF81">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供应商在维保服务过程中，仅可在采购人授权范围内获取、使用相关隐私数据，严禁超出授权范围采集、存储、传输、泄露、篡改、出售或非法提供给任何第三方。针对人脸识别等涉及隐私数据的设备和系统，供应商须采取加密存储、访问权限管控、操作日志留存等安全技术措施，对数据进行分级分类管理，防止数据泄露、丢失或被非法访问。</w:t>
      </w:r>
    </w:p>
    <w:p w14:paraId="05E5F1B3">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供应商应建立隐私数据保密管理制度，明确保密责任，对参与本项目的所有工作人员进行保密培训和考核，签订保密协议，明确保密义务及违约责任。保密义务不因本项目维保服务期限届满而终止，在服务终止后，供应商须按照采购人要求，及时删除或销毁所有获取的隐私数据及相关备份，不得留存任何副本；如需留存用于后续技术支持，须提前书面征得采购人同意，并持续履行保密义务。若发生隐私数据泄露、滥用等情况，供应商须第一时间向采购人报告，并采取有效措施挽回损失，同时承担由此给采购人造成的全部经济损失和法律责任。</w:t>
      </w:r>
    </w:p>
    <w:p w14:paraId="4F8C87AE">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7、系统功能调整优化</w:t>
      </w:r>
    </w:p>
    <w:p w14:paraId="5FEB8B0C">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供应商须结合采购人学校管理工作的实际需求，以及校园管理模式、政策要求的变化，为采购人提供灵活、高效的系统功能调整优化服务，确保闸机通道系统始终适配采购人的业务管理需求。</w:t>
      </w:r>
    </w:p>
    <w:p w14:paraId="700B2228">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针对系统平台软件的维保服务，供应商须建立常态化需求对接机制，定期与采购人沟通，了解业务需求变化情况，及时响应功能调整优化请求。调整优化内容包括但不限于：系统操作界面优化、用户权限调整、数据统计分析维度优化、业务流程适配、新增简易功能模块（如访客管理优化、通行记录查询优化等）、与学校现有管理系统的数据对接优化等。</w:t>
      </w:r>
    </w:p>
    <w:p w14:paraId="574D7B66">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系统功能调整优化须遵循安全、稳定、高效的原则，供应商在实施调整前，须向采购人提交详细的调整方案，明确调整内容、实施步骤、所需时间、风险防控措施及测试方案，经采购人书面确认后方可实施。调整过程中，须做好数据备份和系统测试工作，避免影响系统正常运行和数据安全；调整完成后，须组织采购人相关人员进行验收，确保调整后的功能满足需求、运行稳定，同时提供详细的操作说明和技术文档。对于采购人提出的合理功能调整优化需求，供应商须在约定时间内完成，不得无故拖延或拒绝。</w:t>
      </w:r>
    </w:p>
    <w:p w14:paraId="375971E3">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8、系统功能模块优化升级</w:t>
      </w:r>
    </w:p>
    <w:p w14:paraId="48A60666">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可以视图化方式实时统计、展示学生宿舍楼总览信息，内容包括房间总数、入住房间、入住人数、空余房间、剩余床位数、空余房间号等，并实时展示学生床位列表与在寝数据,内容包括学生个人在寝、未归、请假、实习等状态，可实现相关数据字段的导入导出等功能。</w:t>
      </w:r>
    </w:p>
    <w:p w14:paraId="592BFF26">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9、线上报修服务</w:t>
      </w:r>
    </w:p>
    <w:p w14:paraId="25A560F6">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供应商须搭建完善的线上报修服务，为采购人提供高效、便捷、透明的报修服务。供应商须安排专人负责线上报修服务的日常运维，确保系统24小时稳定运行，无卡顿、崩溃等情况；及时处理系统使用过程中出现的问题，为采购人管理人员和维修人员提供必要的操作指导。同时，建立报修响应机制，对于线上提交的报修申请，供应商须在30分钟内完成派单，确保维修工作及时启动，全程可追溯、可监督。</w:t>
      </w:r>
    </w:p>
    <w:p w14:paraId="391D25D9">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10、定期巡检</w:t>
      </w:r>
    </w:p>
    <w:p w14:paraId="6A89411D">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供应商须建立常态化定期巡检机制，对本项目涉及的所有设备和系统进行全面、细致的巡检，及时发现设备隐患、系统漏洞，提前进行维护和处理，降低故障发生率，延长设备使用寿命，保障系统长期稳定运行。</w:t>
      </w:r>
    </w:p>
    <w:p w14:paraId="066469A1">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巡检周期及内容：每月开展1次常规巡检，每季度开展1次全面巡检，每年开展1次专项巡检（针对核心设备和系统进行深度检测），包括寒暑假。常规巡检内容包括：各类闸机（单机芯、双机芯）的运行状态、开关门灵敏度、机械部件磨损情况；人脸识别设备的识别准确率、摄像头清晰度、网络连接情况；服务器、交换机等配套设备的运行状态、温度、网络连接稳定性；管理电脑、显示设备的运行状态、软件版本更新情况；管理平台系统的运行稳定性、数据同步情况、日志记录情况；护栏门的完好情况、防护措施落实情况等。全面巡检在常规巡检基础上，增加设备内部清洁、线路检查、软件漏洞扫描、系统性能优化、数据备份检测等内容；专项巡检重点针对核心设备（如服务器、系统管理平台等）进行深度检测、性能测试和隐患排查，确保核心设备无重大安全隐患。</w:t>
      </w:r>
    </w:p>
    <w:p w14:paraId="4E1A06F2">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巡检要求：供应商须制定详细的巡检计划，明确巡检时间、巡检人员、巡检内容、巡检标准及责任分工，每次巡检前提前通知采购人相关负责人，配合采购人开展巡检工作。巡检过程中，须做好详细的巡检记录，记录设备运行状态、发现的问题、处理措施及处理结果，巡检完成后，须向采购人提交巡检报告，由双方签字确认。对于巡检中发现的一般隐患，须当场整改；对于无法当场整改的重大隐患，须立即向采购人报告，提交隐患整改方案，明确整改措施、整改时间及责任人，经采购人确认后及时组织整改，整改完成后须进行复检，确保隐患彻底消除。同时，供应商须根据巡检情况，定期分析设备运行规律和故障高发点，提出针对性的维护建议，协助采购人优化设备管理工作。若未能按照上述约定及时提供服务的，采购人有权行使相应处罚权，如超过三次，将视为未能完全履行相关义务，合同终止，项目重新招标。</w:t>
      </w:r>
    </w:p>
    <w:p w14:paraId="71BF1A34">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11、备品备件</w:t>
      </w:r>
    </w:p>
    <w:p w14:paraId="0DBD8117">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供应商须建立完善的备品备件管理制度，配备充足的备品备件，确保在设备故障、部件损坏时能够及时更换，保障维修工作顺利开展，缩短故障处置时间，避免因备品备件短缺导致系统长时间无法运行。备品备件的质量、规格须与本项目现有设备完全匹配，符合国家相关标准和设备厂家要求，确保更换后能够正常使用，且使用寿命不低于原有部件。</w:t>
      </w:r>
    </w:p>
    <w:p w14:paraId="23EF41F4">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备品备件储备要求：供应商须根据本项目设备清单，结合设备运行规律、易损部件特点，储备必要的备品备件，包括但不限于：闸机机芯、人脸识别面板机摄像头、传感器、电源适配器、网络模块、交换机端口、显示终端屏幕、高清线、保险丝等易损部件，以及核心设备的关键备件。备品备件的储备数量须满足应急维修和日常维护需求，其中核心易损部件的储备数量不低于对应设备数量的5%，关键备件须至少储备1套。供应商须建立备品备件台账，详细记录备品备件的名称、规格、型号、数量、采购时间、存放地点、领用情况等信息，定期对备品备件进行检查、维护和更新，确保备品备件处于良好状态，避免因存放不当、过期等导致无法使用。</w:t>
      </w:r>
    </w:p>
    <w:p w14:paraId="5EBFDA0D">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备品备件使用及补充：在维修过程中，如需使用备品备件，供应商须提前向采购人说明备品备件的名称、规格、用途及使用数量，经采购人确认后方可使用。使用后的废旧部件，须交由采购人统一处理，供应商不得擅自丢弃或带走。备品备件使用后，供应商须在15日内及时补充，确保备品备件储备量恢复至规定标准。若因特殊情况，部分备品备件无法及时补充，供应商须提前书面告知采购人，说明原因及预计补充时间，并采取临时替代措施，确保不影响维修工作和系统运行。此外，供应商须提供备品备件的质量保证，对所提供的备品备件实行不少于1年的质量保修，在保修期限内，若备品备件出现质量问题，供应商须免费更换。</w:t>
      </w:r>
    </w:p>
    <w:p w14:paraId="36A71E4F">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12、其他</w:t>
      </w:r>
    </w:p>
    <w:p w14:paraId="0130E6CE">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12.1系统改造和升级</w:t>
      </w:r>
    </w:p>
    <w:p w14:paraId="13D6C7BD">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如遇系统软件平台升级、设备迁移、业务部门规整等工作，中标人必须配合采购人和第三方进行工作。</w:t>
      </w:r>
    </w:p>
    <w:p w14:paraId="2C233D6F">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12.2业务技能培训</w:t>
      </w:r>
    </w:p>
    <w:p w14:paraId="64B4876B">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对采购人提出的培训要求，中标人将根据采购人的实际需求，积极配合采购人的工作，定期组织相关培训，完成一本维护保养常见问题的操作手册。</w:t>
      </w:r>
    </w:p>
    <w:p w14:paraId="3C699B8A">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★12.3技术服务支持</w:t>
      </w:r>
    </w:p>
    <w:p w14:paraId="75E42CA4">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投标人须承诺，基于本维保服务项目中的校门口出入管理系统、学生宿舍管理平台、第三方对接开发平台系统等软件系统产品，能够与学校现有设备（名称、型号详见维保需求）无缝对接并提供相应技术支持服务。投标人须在投标文件中提供承诺函文件并加盖公章，投标人须对其真实性负责。（如存在虚假承诺或承诺后无法实际履行义务的，采购人有权取消其中标资格，并追究其相应的责任后果）</w:t>
      </w:r>
    </w:p>
    <w:p w14:paraId="2F8EBCAC">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12.4供应商的提供的拟派本项目服务团队，在服务前需提供包含但不限于姓名、身份证、联系方式等，形成备忘录以供学校备案。服务期内，人员不可随意调换，若因不可抗力因素确需调换的，因提前5个日历天内，以书面形式递交报告至采购人，采购人同意后方可调换，调换的人员水平、职业资格等级等不得低于拟派本项目团队成员。</w:t>
      </w:r>
    </w:p>
    <w:p w14:paraId="19B86E64">
      <w:pPr>
        <w:pStyle w:val="49"/>
        <w:numPr>
          <w:ilvl w:val="0"/>
          <w:numId w:val="0"/>
        </w:numPr>
        <w:rPr>
          <w:rFonts w:hint="default"/>
          <w:lang w:val="en-US" w:eastAsia="zh-CN"/>
        </w:rPr>
      </w:pPr>
    </w:p>
    <w:p w14:paraId="0DAFB8FE">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textAlignment w:val="auto"/>
        <w:rPr>
          <w:rFonts w:hint="eastAsia" w:ascii="Arial" w:hAnsi="Arial"/>
          <w:color w:val="auto"/>
          <w:kern w:val="2"/>
          <w:sz w:val="32"/>
          <w:szCs w:val="32"/>
          <w:highlight w:val="none"/>
          <w:lang w:val="en-US" w:eastAsia="zh-CN"/>
        </w:rPr>
      </w:pPr>
      <w:r>
        <w:rPr>
          <w:rFonts w:hint="eastAsia" w:ascii="宋体" w:hAnsi="宋体" w:eastAsia="宋体" w:cs="宋体"/>
          <w:color w:val="FF0000"/>
          <w:kern w:val="2"/>
          <w:sz w:val="22"/>
          <w:szCs w:val="22"/>
          <w:lang w:val="en-US" w:eastAsia="zh-CN" w:bidi="ar-SA"/>
        </w:rPr>
        <w:t xml:space="preserve">   </w:t>
      </w:r>
    </w:p>
    <w:p w14:paraId="0A659059">
      <w:pPr>
        <w:pStyle w:val="14"/>
        <w:rPr>
          <w:rFonts w:hint="eastAsia" w:ascii="Arial" w:hAnsi="Arial"/>
          <w:color w:val="auto"/>
          <w:kern w:val="2"/>
          <w:sz w:val="32"/>
          <w:szCs w:val="32"/>
          <w:highlight w:val="none"/>
          <w:lang w:val="en-US" w:eastAsia="zh-CN"/>
        </w:rPr>
      </w:pPr>
    </w:p>
    <w:p w14:paraId="66B07C57">
      <w:pPr>
        <w:pStyle w:val="14"/>
        <w:ind w:left="0" w:leftChars="0" w:firstLine="0" w:firstLineChars="0"/>
        <w:rPr>
          <w:rFonts w:hint="eastAsia" w:ascii="Arial" w:hAnsi="Arial"/>
          <w:color w:val="auto"/>
          <w:kern w:val="2"/>
          <w:sz w:val="32"/>
          <w:szCs w:val="32"/>
          <w:highlight w:val="none"/>
          <w:lang w:val="en-US" w:eastAsia="zh-CN"/>
        </w:rPr>
      </w:pPr>
    </w:p>
    <w:p w14:paraId="21087EDD">
      <w:pPr>
        <w:rPr>
          <w:rFonts w:hint="eastAsia" w:ascii="Arial" w:hAnsi="Arial"/>
          <w:color w:val="auto"/>
          <w:kern w:val="2"/>
          <w:sz w:val="32"/>
          <w:szCs w:val="32"/>
          <w:highlight w:val="none"/>
          <w:lang w:val="en-US" w:eastAsia="zh-CN"/>
        </w:rPr>
      </w:pPr>
    </w:p>
    <w:p w14:paraId="25A3D5CF">
      <w:pPr>
        <w:rPr>
          <w:rFonts w:hint="eastAsia" w:ascii="Arial" w:hAnsi="Arial"/>
          <w:color w:val="auto"/>
          <w:kern w:val="2"/>
          <w:sz w:val="32"/>
          <w:szCs w:val="32"/>
          <w:highlight w:val="none"/>
          <w:lang w:val="en-US" w:eastAsia="zh-CN"/>
        </w:rPr>
      </w:pPr>
    </w:p>
    <w:p w14:paraId="01F6DFA5">
      <w:pPr>
        <w:rPr>
          <w:rFonts w:hint="eastAsia" w:ascii="Arial" w:hAnsi="Arial"/>
          <w:color w:val="auto"/>
          <w:kern w:val="2"/>
          <w:sz w:val="32"/>
          <w:szCs w:val="32"/>
          <w:highlight w:val="none"/>
          <w:lang w:val="en-US" w:eastAsia="zh-CN"/>
        </w:rPr>
      </w:pPr>
    </w:p>
    <w:p w14:paraId="02AEC6B9">
      <w:pPr>
        <w:rPr>
          <w:rFonts w:hint="eastAsia" w:ascii="Arial" w:hAnsi="Arial"/>
          <w:color w:val="auto"/>
          <w:kern w:val="2"/>
          <w:sz w:val="32"/>
          <w:szCs w:val="32"/>
          <w:highlight w:val="none"/>
          <w:lang w:val="en-US" w:eastAsia="zh-CN"/>
        </w:rPr>
      </w:pPr>
    </w:p>
    <w:p w14:paraId="73403C8D">
      <w:pPr>
        <w:rPr>
          <w:rFonts w:hint="eastAsia" w:ascii="Arial" w:hAnsi="Arial"/>
          <w:color w:val="auto"/>
          <w:kern w:val="2"/>
          <w:sz w:val="32"/>
          <w:szCs w:val="32"/>
          <w:highlight w:val="none"/>
          <w:lang w:val="en-US" w:eastAsia="zh-CN"/>
        </w:rPr>
      </w:pPr>
    </w:p>
    <w:p w14:paraId="240AD916">
      <w:pPr>
        <w:rPr>
          <w:rFonts w:hint="eastAsia" w:ascii="Arial" w:hAnsi="Arial"/>
          <w:color w:val="auto"/>
          <w:kern w:val="2"/>
          <w:sz w:val="32"/>
          <w:szCs w:val="32"/>
          <w:highlight w:val="none"/>
          <w:lang w:val="en-US" w:eastAsia="zh-CN"/>
        </w:rPr>
      </w:pPr>
    </w:p>
    <w:p w14:paraId="225A7D8C">
      <w:pPr>
        <w:rPr>
          <w:rFonts w:hint="eastAsia" w:ascii="Arial" w:hAnsi="Arial"/>
          <w:color w:val="auto"/>
          <w:kern w:val="2"/>
          <w:sz w:val="32"/>
          <w:szCs w:val="32"/>
          <w:highlight w:val="none"/>
          <w:lang w:val="en-US" w:eastAsia="zh-CN"/>
        </w:rPr>
      </w:pPr>
    </w:p>
    <w:p w14:paraId="5DE98C2E">
      <w:pPr>
        <w:rPr>
          <w:rFonts w:hint="eastAsia" w:ascii="Arial" w:hAnsi="Arial"/>
          <w:color w:val="auto"/>
          <w:kern w:val="2"/>
          <w:sz w:val="32"/>
          <w:szCs w:val="32"/>
          <w:highlight w:val="none"/>
          <w:lang w:val="en-US" w:eastAsia="zh-CN"/>
        </w:rPr>
      </w:pPr>
    </w:p>
    <w:p w14:paraId="3B97AA2B">
      <w:pPr>
        <w:rPr>
          <w:rFonts w:hint="eastAsia" w:ascii="Arial" w:hAnsi="Arial"/>
          <w:color w:val="auto"/>
          <w:kern w:val="2"/>
          <w:sz w:val="32"/>
          <w:szCs w:val="32"/>
          <w:highlight w:val="none"/>
          <w:lang w:val="en-US" w:eastAsia="zh-CN"/>
        </w:rPr>
      </w:pPr>
    </w:p>
    <w:p w14:paraId="08DDB913">
      <w:pPr>
        <w:rPr>
          <w:rFonts w:hint="eastAsia" w:ascii="Arial" w:hAnsi="Arial"/>
          <w:color w:val="auto"/>
          <w:kern w:val="2"/>
          <w:sz w:val="32"/>
          <w:szCs w:val="32"/>
          <w:highlight w:val="none"/>
          <w:lang w:val="en-US" w:eastAsia="zh-CN"/>
        </w:rPr>
      </w:pPr>
    </w:p>
    <w:p w14:paraId="29F9C5B2">
      <w:pPr>
        <w:rPr>
          <w:rFonts w:hint="eastAsia" w:ascii="Arial" w:hAnsi="Arial"/>
          <w:color w:val="auto"/>
          <w:kern w:val="2"/>
          <w:sz w:val="32"/>
          <w:szCs w:val="32"/>
          <w:highlight w:val="none"/>
          <w:lang w:val="en-US" w:eastAsia="zh-CN"/>
        </w:rPr>
      </w:pPr>
    </w:p>
    <w:p w14:paraId="340F95AA">
      <w:pPr>
        <w:rPr>
          <w:rFonts w:hint="eastAsia" w:ascii="Arial" w:hAnsi="Arial"/>
          <w:color w:val="auto"/>
          <w:kern w:val="2"/>
          <w:sz w:val="32"/>
          <w:szCs w:val="32"/>
          <w:highlight w:val="none"/>
          <w:lang w:val="en-US" w:eastAsia="zh-CN"/>
        </w:rPr>
      </w:pPr>
    </w:p>
    <w:p w14:paraId="58F86E94">
      <w:pPr>
        <w:rPr>
          <w:rFonts w:hint="eastAsia" w:ascii="Arial" w:hAnsi="Arial"/>
          <w:color w:val="auto"/>
          <w:kern w:val="2"/>
          <w:sz w:val="32"/>
          <w:szCs w:val="32"/>
          <w:highlight w:val="none"/>
          <w:lang w:val="en-US" w:eastAsia="zh-CN"/>
        </w:rPr>
      </w:pPr>
    </w:p>
    <w:p w14:paraId="28D4ED91">
      <w:pPr>
        <w:pStyle w:val="3"/>
        <w:pageBreakBefore w:val="0"/>
        <w:numPr>
          <w:ilvl w:val="0"/>
          <w:numId w:val="0"/>
        </w:numPr>
        <w:kinsoku/>
        <w:overflowPunct/>
        <w:topLinePunct w:val="0"/>
        <w:autoSpaceDE/>
        <w:autoSpaceDN/>
        <w:bidi w:val="0"/>
        <w:spacing w:beforeAutospacing="0" w:after="0" w:afterAutospacing="0" w:line="500" w:lineRule="exact"/>
        <w:ind w:left="0" w:leftChars="0" w:right="0" w:firstLine="640" w:firstLineChars="200"/>
        <w:jc w:val="center"/>
        <w:rPr>
          <w:rFonts w:hint="eastAsia" w:ascii="Arial" w:hAnsi="Arial"/>
          <w:color w:val="auto"/>
          <w:kern w:val="2"/>
          <w:sz w:val="32"/>
          <w:szCs w:val="32"/>
          <w:highlight w:val="none"/>
          <w:lang w:val="en-US" w:eastAsia="zh-CN"/>
        </w:rPr>
      </w:pPr>
      <w:r>
        <w:rPr>
          <w:rFonts w:hint="eastAsia" w:ascii="Arial" w:hAnsi="Arial"/>
          <w:color w:val="auto"/>
          <w:kern w:val="2"/>
          <w:sz w:val="32"/>
          <w:szCs w:val="32"/>
          <w:highlight w:val="none"/>
          <w:lang w:val="en-US" w:eastAsia="zh-CN"/>
        </w:rPr>
        <w:t>第四章 评</w:t>
      </w:r>
      <w:r>
        <w:rPr>
          <w:rFonts w:hint="eastAsia" w:ascii="Arial" w:hAnsi="Arial"/>
          <w:strike w:val="0"/>
          <w:dstrike w:val="0"/>
          <w:color w:val="auto"/>
          <w:kern w:val="2"/>
          <w:sz w:val="32"/>
          <w:szCs w:val="32"/>
          <w:highlight w:val="none"/>
          <w:lang w:val="en-US" w:eastAsia="zh-CN"/>
        </w:rPr>
        <w:t>审方</w:t>
      </w:r>
      <w:r>
        <w:rPr>
          <w:rFonts w:hint="eastAsia" w:ascii="Arial" w:hAnsi="Arial"/>
          <w:color w:val="auto"/>
          <w:kern w:val="2"/>
          <w:sz w:val="32"/>
          <w:szCs w:val="32"/>
          <w:highlight w:val="none"/>
          <w:lang w:val="en-US" w:eastAsia="zh-CN"/>
        </w:rPr>
        <w:t>法与标准</w:t>
      </w:r>
      <w:bookmarkEnd w:id="48"/>
    </w:p>
    <w:p w14:paraId="5A12204F">
      <w:pPr>
        <w:numPr>
          <w:ilvl w:val="0"/>
          <w:numId w:val="0"/>
        </w:numPr>
        <w:spacing w:line="360" w:lineRule="auto"/>
        <w:ind w:left="420" w:leftChars="0"/>
        <w:rPr>
          <w:rFonts w:hint="eastAsia" w:ascii="宋体" w:hAnsi="宋体"/>
          <w:b/>
          <w:color w:val="auto"/>
          <w:sz w:val="24"/>
          <w:szCs w:val="24"/>
          <w:highlight w:val="none"/>
          <w:lang w:val="en-US" w:eastAsia="zh-CN"/>
        </w:rPr>
      </w:pPr>
      <w:r>
        <w:rPr>
          <w:rFonts w:hint="eastAsia" w:ascii="宋体" w:hAnsi="宋体"/>
          <w:b/>
          <w:color w:val="auto"/>
          <w:sz w:val="24"/>
          <w:szCs w:val="24"/>
          <w:highlight w:val="none"/>
          <w:lang w:val="en-US" w:eastAsia="zh-CN"/>
        </w:rPr>
        <w:t xml:space="preserve">一、总则 </w:t>
      </w:r>
    </w:p>
    <w:p w14:paraId="35054D2A">
      <w:pPr>
        <w:widowControl/>
        <w:numPr>
          <w:ilvl w:val="0"/>
          <w:numId w:val="0"/>
        </w:numPr>
        <w:spacing w:line="360" w:lineRule="auto"/>
        <w:ind w:firstLine="420" w:firstLineChars="200"/>
        <w:jc w:val="left"/>
        <w:rPr>
          <w:rFonts w:hint="eastAsia"/>
          <w:color w:val="auto"/>
          <w:highlight w:val="none"/>
          <w:lang w:val="en-US" w:eastAsia="zh-CN"/>
        </w:rPr>
      </w:pPr>
      <w:r>
        <w:rPr>
          <w:rFonts w:hint="eastAsia"/>
          <w:color w:val="auto"/>
          <w:highlight w:val="none"/>
          <w:lang w:val="en-US" w:eastAsia="zh-CN"/>
        </w:rPr>
        <w:t>本项目将按照磋商文件第二章 供应商须知的相关要求及本章的规定评</w:t>
      </w:r>
      <w:r>
        <w:rPr>
          <w:rFonts w:hint="eastAsia"/>
          <w:strike w:val="0"/>
          <w:dstrike w:val="0"/>
          <w:color w:val="auto"/>
          <w:highlight w:val="none"/>
          <w:lang w:val="en-US" w:eastAsia="zh-CN"/>
        </w:rPr>
        <w:t>审</w:t>
      </w:r>
      <w:r>
        <w:rPr>
          <w:rFonts w:hint="eastAsia"/>
          <w:color w:val="auto"/>
          <w:highlight w:val="none"/>
          <w:lang w:val="en-US" w:eastAsia="zh-CN"/>
        </w:rPr>
        <w:t>。</w:t>
      </w:r>
    </w:p>
    <w:p w14:paraId="3224582E">
      <w:pPr>
        <w:numPr>
          <w:ilvl w:val="0"/>
          <w:numId w:val="1"/>
        </w:numPr>
        <w:spacing w:line="360" w:lineRule="auto"/>
        <w:ind w:left="420" w:leftChars="0"/>
        <w:rPr>
          <w:rFonts w:hint="eastAsia" w:ascii="宋体" w:hAnsi="宋体"/>
          <w:b/>
          <w:color w:val="auto"/>
          <w:sz w:val="24"/>
          <w:szCs w:val="24"/>
          <w:highlight w:val="none"/>
          <w:lang w:val="en-US" w:eastAsia="zh-CN"/>
        </w:rPr>
      </w:pPr>
      <w:r>
        <w:rPr>
          <w:rFonts w:hint="eastAsia" w:ascii="宋体" w:hAnsi="宋体"/>
          <w:b/>
          <w:color w:val="auto"/>
          <w:sz w:val="24"/>
          <w:szCs w:val="24"/>
          <w:highlight w:val="none"/>
          <w:lang w:val="en-US" w:eastAsia="zh-CN"/>
        </w:rPr>
        <w:t>评审方法：</w:t>
      </w:r>
    </w:p>
    <w:p w14:paraId="37AF9AB9">
      <w:pPr>
        <w:numPr>
          <w:ilvl w:val="0"/>
          <w:numId w:val="0"/>
        </w:numPr>
        <w:spacing w:line="360" w:lineRule="auto"/>
        <w:ind w:firstLine="420" w:firstLineChars="200"/>
        <w:rPr>
          <w:rFonts w:hint="default"/>
          <w:color w:val="auto"/>
          <w:sz w:val="21"/>
          <w:szCs w:val="21"/>
          <w:highlight w:val="none"/>
          <w:lang w:val="en-US" w:eastAsia="zh-CN"/>
        </w:rPr>
      </w:pPr>
      <w:r>
        <w:rPr>
          <w:rFonts w:hint="eastAsia"/>
          <w:color w:val="auto"/>
          <w:sz w:val="21"/>
          <w:szCs w:val="21"/>
          <w:highlight w:val="none"/>
          <w:lang w:val="en-US" w:eastAsia="zh-CN"/>
        </w:rPr>
        <w:t>磋商</w:t>
      </w:r>
      <w:r>
        <w:rPr>
          <w:rFonts w:hint="default"/>
          <w:color w:val="auto"/>
          <w:sz w:val="21"/>
          <w:szCs w:val="21"/>
          <w:highlight w:val="none"/>
          <w:lang w:val="en-US" w:eastAsia="zh-CN"/>
        </w:rPr>
        <w:t>小组对供应商的响应文件进行初审，以确定其是否满足</w:t>
      </w:r>
      <w:r>
        <w:rPr>
          <w:rFonts w:hint="eastAsia"/>
          <w:color w:val="auto"/>
          <w:sz w:val="21"/>
          <w:szCs w:val="21"/>
          <w:highlight w:val="none"/>
          <w:lang w:val="en-US" w:eastAsia="zh-CN"/>
        </w:rPr>
        <w:t>磋商</w:t>
      </w:r>
      <w:r>
        <w:rPr>
          <w:rFonts w:hint="default"/>
          <w:color w:val="auto"/>
          <w:sz w:val="21"/>
          <w:szCs w:val="21"/>
          <w:highlight w:val="none"/>
          <w:lang w:val="en-US" w:eastAsia="zh-CN"/>
        </w:rPr>
        <w:t>文件的实质性要求。</w:t>
      </w:r>
    </w:p>
    <w:p w14:paraId="20C01C30">
      <w:pPr>
        <w:numPr>
          <w:ilvl w:val="0"/>
          <w:numId w:val="0"/>
        </w:numPr>
        <w:spacing w:line="360" w:lineRule="auto"/>
        <w:rPr>
          <w:rFonts w:hint="default"/>
          <w:color w:val="auto"/>
          <w:sz w:val="21"/>
          <w:szCs w:val="21"/>
          <w:highlight w:val="none"/>
          <w:lang w:val="en-US"/>
        </w:rPr>
      </w:pPr>
      <w:r>
        <w:rPr>
          <w:rFonts w:hint="default"/>
          <w:color w:val="auto"/>
          <w:sz w:val="21"/>
          <w:szCs w:val="21"/>
          <w:highlight w:val="none"/>
          <w:lang w:val="en-US" w:eastAsia="zh-CN"/>
        </w:rPr>
        <w:t>初审表如下</w:t>
      </w:r>
      <w:r>
        <w:rPr>
          <w:rFonts w:hint="eastAsia"/>
          <w:color w:val="auto"/>
          <w:sz w:val="21"/>
          <w:szCs w:val="21"/>
          <w:highlight w:val="none"/>
          <w:lang w:val="en-US" w:eastAsia="zh-CN"/>
        </w:rPr>
        <w:t>：</w:t>
      </w:r>
    </w:p>
    <w:tbl>
      <w:tblPr>
        <w:tblStyle w:val="41"/>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912"/>
        <w:gridCol w:w="4763"/>
        <w:gridCol w:w="1943"/>
      </w:tblGrid>
      <w:tr w14:paraId="7B9A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86" w:type="dxa"/>
            <w:gridSpan w:val="4"/>
            <w:tcBorders>
              <w:bottom w:val="single" w:color="auto" w:sz="4" w:space="0"/>
            </w:tcBorders>
            <w:vAlign w:val="center"/>
          </w:tcPr>
          <w:p w14:paraId="1EE22967">
            <w:pPr>
              <w:adjustRightInd w:val="0"/>
              <w:snapToGrid w:val="0"/>
              <w:spacing w:line="360" w:lineRule="auto"/>
              <w:ind w:right="-10"/>
              <w:jc w:val="center"/>
              <w:rPr>
                <w:rFonts w:hint="eastAsia" w:ascii="宋体" w:hAnsi="宋体" w:eastAsia="宋体" w:cs="宋体"/>
                <w:color w:val="auto"/>
                <w:sz w:val="21"/>
                <w:szCs w:val="21"/>
                <w:highlight w:val="none"/>
                <w:lang w:eastAsia="zh-CN"/>
              </w:rPr>
            </w:pPr>
            <w:r>
              <w:rPr>
                <w:rFonts w:hint="eastAsia" w:ascii="宋体" w:hAnsi="宋体" w:cs="宋体"/>
                <w:b/>
                <w:color w:val="auto"/>
                <w:sz w:val="21"/>
                <w:szCs w:val="21"/>
                <w:highlight w:val="none"/>
                <w:lang w:val="en-US" w:eastAsia="zh-CN"/>
              </w:rPr>
              <w:t>初审表</w:t>
            </w:r>
          </w:p>
        </w:tc>
      </w:tr>
      <w:tr w14:paraId="17090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tcBorders>
              <w:bottom w:val="single" w:color="auto" w:sz="4" w:space="0"/>
            </w:tcBorders>
            <w:vAlign w:val="center"/>
          </w:tcPr>
          <w:p w14:paraId="59EFF6B4">
            <w:pPr>
              <w:adjustRightInd w:val="0"/>
              <w:snapToGrid w:val="0"/>
              <w:spacing w:line="360" w:lineRule="auto"/>
              <w:ind w:right="-10"/>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序号</w:t>
            </w:r>
          </w:p>
        </w:tc>
        <w:tc>
          <w:tcPr>
            <w:tcW w:w="1912" w:type="dxa"/>
            <w:tcBorders>
              <w:bottom w:val="single" w:color="auto" w:sz="4" w:space="0"/>
            </w:tcBorders>
            <w:vAlign w:val="center"/>
          </w:tcPr>
          <w:p w14:paraId="2604D046">
            <w:pPr>
              <w:pStyle w:val="133"/>
              <w:pBdr>
                <w:bottom w:val="none" w:color="auto" w:sz="0" w:space="0"/>
              </w:pBdr>
              <w:tabs>
                <w:tab w:val="clear" w:pos="4153"/>
                <w:tab w:val="clear" w:pos="8306"/>
              </w:tabs>
              <w:snapToGrid w:val="0"/>
              <w:spacing w:line="360" w:lineRule="auto"/>
              <w:ind w:right="-10"/>
              <w:jc w:val="center"/>
              <w:textAlignment w:val="auto"/>
              <w:rPr>
                <w:rFonts w:ascii="宋体" w:hAnsi="宋体" w:cs="宋体"/>
                <w:b/>
                <w:bCs/>
                <w:color w:val="auto"/>
                <w:kern w:val="2"/>
                <w:sz w:val="21"/>
                <w:szCs w:val="21"/>
                <w:highlight w:val="none"/>
              </w:rPr>
            </w:pPr>
            <w:r>
              <w:rPr>
                <w:rFonts w:hint="eastAsia" w:ascii="宋体" w:hAnsi="宋体" w:cs="宋体"/>
                <w:b/>
                <w:bCs/>
                <w:color w:val="auto"/>
                <w:kern w:val="2"/>
                <w:sz w:val="21"/>
                <w:szCs w:val="21"/>
                <w:highlight w:val="none"/>
                <w:lang w:val="en-US" w:eastAsia="zh-CN"/>
              </w:rPr>
              <w:t>审查</w:t>
            </w:r>
            <w:r>
              <w:rPr>
                <w:rFonts w:hint="eastAsia" w:ascii="宋体" w:hAnsi="宋体" w:cs="宋体"/>
                <w:b/>
                <w:bCs/>
                <w:color w:val="auto"/>
                <w:kern w:val="2"/>
                <w:sz w:val="21"/>
                <w:szCs w:val="21"/>
                <w:highlight w:val="none"/>
              </w:rPr>
              <w:t>指标</w:t>
            </w:r>
          </w:p>
        </w:tc>
        <w:tc>
          <w:tcPr>
            <w:tcW w:w="4763" w:type="dxa"/>
            <w:tcBorders>
              <w:bottom w:val="single" w:color="auto" w:sz="4" w:space="0"/>
            </w:tcBorders>
            <w:vAlign w:val="center"/>
          </w:tcPr>
          <w:p w14:paraId="2AF914D1">
            <w:pPr>
              <w:adjustRightInd w:val="0"/>
              <w:snapToGrid w:val="0"/>
              <w:spacing w:line="360" w:lineRule="auto"/>
              <w:ind w:right="-10"/>
              <w:jc w:val="center"/>
              <w:rPr>
                <w:rFonts w:ascii="宋体" w:hAnsi="宋体" w:cs="宋体"/>
                <w:b/>
                <w:bCs/>
                <w:color w:val="auto"/>
                <w:sz w:val="21"/>
                <w:szCs w:val="21"/>
                <w:highlight w:val="none"/>
              </w:rPr>
            </w:pPr>
            <w:r>
              <w:rPr>
                <w:rFonts w:hint="eastAsia" w:ascii="宋体" w:hAnsi="宋体" w:cs="宋体"/>
                <w:b/>
                <w:bCs/>
                <w:color w:val="auto"/>
                <w:sz w:val="21"/>
                <w:szCs w:val="21"/>
                <w:highlight w:val="none"/>
                <w:lang w:val="en-US" w:eastAsia="zh-CN"/>
              </w:rPr>
              <w:t>审查</w:t>
            </w:r>
            <w:r>
              <w:rPr>
                <w:rFonts w:hint="eastAsia" w:ascii="宋体" w:hAnsi="宋体" w:cs="宋体"/>
                <w:b/>
                <w:bCs/>
                <w:color w:val="auto"/>
                <w:sz w:val="21"/>
                <w:szCs w:val="21"/>
                <w:highlight w:val="none"/>
              </w:rPr>
              <w:t>标准</w:t>
            </w:r>
          </w:p>
        </w:tc>
        <w:tc>
          <w:tcPr>
            <w:tcW w:w="1943" w:type="dxa"/>
            <w:tcBorders>
              <w:bottom w:val="single" w:color="auto" w:sz="4" w:space="0"/>
            </w:tcBorders>
            <w:vAlign w:val="center"/>
          </w:tcPr>
          <w:p w14:paraId="223E4E91">
            <w:pPr>
              <w:adjustRightInd w:val="0"/>
              <w:snapToGrid w:val="0"/>
              <w:spacing w:line="360" w:lineRule="auto"/>
              <w:ind w:right="-10"/>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格式要求</w:t>
            </w:r>
          </w:p>
        </w:tc>
      </w:tr>
      <w:tr w14:paraId="3598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668" w:type="dxa"/>
            <w:vAlign w:val="center"/>
          </w:tcPr>
          <w:p w14:paraId="284B7FFB">
            <w:pPr>
              <w:adjustRightInd w:val="0"/>
              <w:snapToGrid w:val="0"/>
              <w:spacing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912" w:type="dxa"/>
            <w:vAlign w:val="center"/>
          </w:tcPr>
          <w:p w14:paraId="2CA9A6B2">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营业执照等</w:t>
            </w:r>
          </w:p>
          <w:p w14:paraId="1FDD76E0">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证明文件</w:t>
            </w:r>
          </w:p>
        </w:tc>
        <w:tc>
          <w:tcPr>
            <w:tcW w:w="4763" w:type="dxa"/>
            <w:tcBorders>
              <w:bottom w:val="single" w:color="auto" w:sz="4" w:space="0"/>
            </w:tcBorders>
            <w:vAlign w:val="center"/>
          </w:tcPr>
          <w:p w14:paraId="054729C8">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为企业（包括合伙企业）的，应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供有效的营业执照；</w:t>
            </w:r>
          </w:p>
          <w:p w14:paraId="76B2CB9E">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为事业单位的，应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供有效的事业单位法人证书；</w:t>
            </w:r>
          </w:p>
          <w:p w14:paraId="054359BF">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是非企业机构的，应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供有效的执业许可证</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登记证书等证明文件；</w:t>
            </w:r>
          </w:p>
          <w:p w14:paraId="23D005CB">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是个体工商户的，应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供有效的个体工商户营业执照；</w:t>
            </w:r>
          </w:p>
          <w:p w14:paraId="56B3597D">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是自然人的，应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供有效的自然人身份证明。</w:t>
            </w:r>
          </w:p>
        </w:tc>
        <w:tc>
          <w:tcPr>
            <w:tcW w:w="1943" w:type="dxa"/>
            <w:vAlign w:val="center"/>
          </w:tcPr>
          <w:p w14:paraId="3920FDCB">
            <w:pP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lang w:val="en-US" w:eastAsia="zh-CN"/>
              </w:rPr>
              <w:t>材料</w:t>
            </w:r>
            <w:r>
              <w:rPr>
                <w:rFonts w:hint="eastAsia" w:ascii="宋体" w:hAnsi="宋体" w:eastAsia="宋体" w:cs="宋体"/>
                <w:color w:val="auto"/>
                <w:sz w:val="21"/>
                <w:szCs w:val="21"/>
                <w:highlight w:val="none"/>
                <w:lang w:eastAsia="zh-CN"/>
              </w:rPr>
              <w:t>扫描件</w:t>
            </w:r>
            <w:r>
              <w:rPr>
                <w:rFonts w:hint="eastAsia" w:ascii="宋体" w:hAnsi="宋体" w:eastAsia="宋体" w:cs="宋体"/>
                <w:color w:val="auto"/>
                <w:sz w:val="21"/>
                <w:szCs w:val="21"/>
                <w:highlight w:val="none"/>
                <w:lang w:val="en-US" w:eastAsia="zh-CN"/>
              </w:rPr>
              <w:t>或电子证照</w:t>
            </w:r>
            <w:r>
              <w:rPr>
                <w:rFonts w:hint="eastAsia" w:ascii="宋体" w:hAnsi="宋体" w:eastAsia="宋体" w:cs="宋体"/>
                <w:color w:val="auto"/>
                <w:sz w:val="21"/>
                <w:szCs w:val="21"/>
                <w:highlight w:val="none"/>
                <w:lang w:eastAsia="zh-CN"/>
              </w:rPr>
              <w:t>，应完整的体现出</w:t>
            </w:r>
            <w:r>
              <w:rPr>
                <w:rFonts w:hint="eastAsia" w:ascii="宋体" w:hAnsi="宋体" w:eastAsia="宋体" w:cs="宋体"/>
                <w:color w:val="auto"/>
                <w:sz w:val="21"/>
                <w:szCs w:val="21"/>
                <w:highlight w:val="none"/>
                <w:lang w:val="en-US" w:eastAsia="zh-CN"/>
              </w:rPr>
              <w:t>材料或电子证照</w:t>
            </w:r>
            <w:r>
              <w:rPr>
                <w:rFonts w:hint="eastAsia" w:ascii="宋体" w:hAnsi="宋体" w:eastAsia="宋体" w:cs="宋体"/>
                <w:color w:val="auto"/>
                <w:sz w:val="21"/>
                <w:szCs w:val="21"/>
                <w:highlight w:val="none"/>
                <w:lang w:eastAsia="zh-CN"/>
              </w:rPr>
              <w:t>全部内容。联合体</w:t>
            </w:r>
            <w:r>
              <w:rPr>
                <w:rFonts w:hint="eastAsia" w:ascii="宋体" w:hAnsi="宋体" w:eastAsia="宋体" w:cs="宋体"/>
                <w:color w:val="auto"/>
                <w:sz w:val="21"/>
                <w:szCs w:val="21"/>
                <w:highlight w:val="none"/>
                <w:lang w:val="en-US" w:eastAsia="zh-CN"/>
              </w:rPr>
              <w:t>磋商</w:t>
            </w:r>
            <w:r>
              <w:rPr>
                <w:rFonts w:hint="eastAsia" w:ascii="宋体" w:hAnsi="宋体" w:eastAsia="宋体" w:cs="宋体"/>
                <w:color w:val="auto"/>
                <w:sz w:val="21"/>
                <w:szCs w:val="21"/>
                <w:highlight w:val="none"/>
                <w:lang w:eastAsia="zh-CN"/>
              </w:rPr>
              <w:t>的联合体各方均须提供。</w:t>
            </w:r>
          </w:p>
        </w:tc>
      </w:tr>
      <w:tr w14:paraId="17368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8" w:type="dxa"/>
            <w:tcBorders>
              <w:bottom w:val="single" w:color="auto" w:sz="4" w:space="0"/>
            </w:tcBorders>
            <w:vAlign w:val="center"/>
          </w:tcPr>
          <w:p w14:paraId="49318B3E">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c>
          <w:tcPr>
            <w:tcW w:w="1912" w:type="dxa"/>
            <w:tcBorders>
              <w:bottom w:val="single" w:color="auto" w:sz="4" w:space="0"/>
            </w:tcBorders>
            <w:vAlign w:val="center"/>
          </w:tcPr>
          <w:p w14:paraId="6F5564F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供应商资格声明书</w:t>
            </w:r>
          </w:p>
        </w:tc>
        <w:tc>
          <w:tcPr>
            <w:tcW w:w="4763" w:type="dxa"/>
            <w:tcBorders>
              <w:bottom w:val="single" w:color="auto" w:sz="4" w:space="0"/>
            </w:tcBorders>
            <w:vAlign w:val="center"/>
          </w:tcPr>
          <w:p w14:paraId="2DC38C9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供符合</w:t>
            </w:r>
            <w:r>
              <w:rPr>
                <w:rFonts w:hint="eastAsia" w:ascii="宋体" w:hAnsi="宋体" w:eastAsia="宋体" w:cs="宋体"/>
                <w:color w:val="auto"/>
                <w:sz w:val="21"/>
                <w:szCs w:val="21"/>
                <w:highlight w:val="none"/>
                <w:lang w:val="en-US" w:eastAsia="zh-CN"/>
              </w:rPr>
              <w:t>磋商</w:t>
            </w:r>
            <w:r>
              <w:rPr>
                <w:rFonts w:hint="eastAsia" w:ascii="宋体" w:hAnsi="宋体" w:eastAsia="宋体" w:cs="宋体"/>
                <w:color w:val="auto"/>
                <w:sz w:val="21"/>
                <w:szCs w:val="21"/>
                <w:highlight w:val="none"/>
              </w:rPr>
              <w:t>文件要求的《</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资格声明书》</w:t>
            </w:r>
            <w:r>
              <w:rPr>
                <w:rFonts w:hint="eastAsia" w:ascii="宋体" w:hAnsi="宋体" w:eastAsia="宋体" w:cs="宋体"/>
                <w:color w:val="auto"/>
                <w:sz w:val="21"/>
                <w:szCs w:val="21"/>
                <w:highlight w:val="none"/>
                <w:lang w:eastAsia="zh-CN"/>
              </w:rPr>
              <w:t>。</w:t>
            </w:r>
          </w:p>
        </w:tc>
        <w:tc>
          <w:tcPr>
            <w:tcW w:w="1943" w:type="dxa"/>
            <w:tcBorders>
              <w:bottom w:val="single" w:color="auto" w:sz="4" w:space="0"/>
            </w:tcBorders>
            <w:vAlign w:val="center"/>
          </w:tcPr>
          <w:p w14:paraId="4EF23DD3">
            <w:pPr>
              <w:spacing w:line="360" w:lineRule="auto"/>
              <w:jc w:val="center"/>
              <w:rPr>
                <w:rFonts w:hint="eastAsia"/>
                <w:sz w:val="21"/>
                <w:szCs w:val="21"/>
              </w:rPr>
            </w:pPr>
            <w:r>
              <w:rPr>
                <w:rFonts w:hint="eastAsia"/>
                <w:sz w:val="21"/>
                <w:szCs w:val="21"/>
              </w:rPr>
              <w:t>详见第六章</w:t>
            </w:r>
            <w:r>
              <w:rPr>
                <w:rFonts w:hint="eastAsia"/>
                <w:sz w:val="21"/>
                <w:szCs w:val="21"/>
                <w:lang w:val="en-US" w:eastAsia="zh-CN"/>
              </w:rPr>
              <w:t>响应</w:t>
            </w:r>
            <w:r>
              <w:rPr>
                <w:rFonts w:hint="eastAsia"/>
                <w:sz w:val="21"/>
                <w:szCs w:val="21"/>
              </w:rPr>
              <w:t>文件格式</w:t>
            </w:r>
            <w:r>
              <w:rPr>
                <w:rFonts w:hint="eastAsia"/>
                <w:sz w:val="21"/>
                <w:szCs w:val="21"/>
                <w:lang w:eastAsia="zh-CN"/>
              </w:rPr>
              <w:t>。</w:t>
            </w:r>
          </w:p>
        </w:tc>
      </w:tr>
      <w:tr w14:paraId="52AFA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tcBorders>
              <w:bottom w:val="single" w:color="auto" w:sz="4" w:space="0"/>
            </w:tcBorders>
            <w:vAlign w:val="center"/>
          </w:tcPr>
          <w:p w14:paraId="73580BA3">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1912" w:type="dxa"/>
            <w:tcBorders>
              <w:bottom w:val="single" w:color="auto" w:sz="4" w:space="0"/>
            </w:tcBorders>
            <w:vAlign w:val="center"/>
          </w:tcPr>
          <w:p w14:paraId="55D43FDD">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供应商信用记录</w:t>
            </w:r>
          </w:p>
        </w:tc>
        <w:tc>
          <w:tcPr>
            <w:tcW w:w="4763" w:type="dxa"/>
            <w:tcBorders>
              <w:bottom w:val="single" w:color="auto" w:sz="4" w:space="0"/>
            </w:tcBorders>
            <w:vAlign w:val="center"/>
          </w:tcPr>
          <w:p w14:paraId="71749F0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zh-CN" w:eastAsia="zh-CN"/>
              </w:rPr>
              <w:t>不得存在</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zh-CN" w:eastAsia="zh-CN"/>
              </w:rPr>
              <w:t>须知正文第1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zh-CN" w:eastAsia="zh-CN"/>
              </w:rPr>
              <w:t>.</w:t>
            </w:r>
            <w:r>
              <w:rPr>
                <w:rFonts w:hint="eastAsia" w:ascii="宋体" w:hAnsi="宋体" w:eastAsia="宋体" w:cs="宋体"/>
                <w:color w:val="auto"/>
                <w:sz w:val="21"/>
                <w:szCs w:val="21"/>
                <w:highlight w:val="none"/>
                <w:lang w:val="en-US" w:eastAsia="zh-CN"/>
              </w:rPr>
              <w:t>3条中</w:t>
            </w:r>
            <w:r>
              <w:rPr>
                <w:rFonts w:hint="eastAsia" w:ascii="宋体" w:hAnsi="宋体" w:eastAsia="宋体" w:cs="宋体"/>
                <w:color w:val="auto"/>
                <w:sz w:val="21"/>
                <w:szCs w:val="21"/>
                <w:highlight w:val="none"/>
              </w:rPr>
              <w:t>的不良信用记录情形</w:t>
            </w:r>
          </w:p>
        </w:tc>
        <w:tc>
          <w:tcPr>
            <w:tcW w:w="1943" w:type="dxa"/>
            <w:tcBorders>
              <w:bottom w:val="single" w:color="auto" w:sz="4" w:space="0"/>
            </w:tcBorders>
            <w:vAlign w:val="center"/>
          </w:tcPr>
          <w:p w14:paraId="6347C87C">
            <w:pPr>
              <w:spacing w:line="360" w:lineRule="auto"/>
              <w:jc w:val="center"/>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rPr>
              <w:t>无须</w:t>
            </w:r>
            <w:r>
              <w:rPr>
                <w:rFonts w:hint="default" w:ascii="宋体" w:hAnsi="宋体" w:eastAsia="宋体" w:cs="宋体"/>
                <w:color w:val="auto"/>
                <w:sz w:val="21"/>
                <w:szCs w:val="21"/>
                <w:highlight w:val="none"/>
                <w:lang w:val="en-US" w:eastAsia="zh-CN"/>
              </w:rPr>
              <w:t>供应商提</w:t>
            </w:r>
            <w:r>
              <w:rPr>
                <w:rFonts w:hint="default" w:ascii="宋体" w:hAnsi="宋体" w:eastAsia="宋体" w:cs="宋体"/>
                <w:color w:val="auto"/>
                <w:sz w:val="21"/>
                <w:szCs w:val="21"/>
                <w:highlight w:val="none"/>
                <w:lang w:val="en-US"/>
              </w:rPr>
              <w:t>供，由采购人或采购代理机构查询。</w:t>
            </w:r>
          </w:p>
        </w:tc>
      </w:tr>
      <w:tr w14:paraId="55FF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vAlign w:val="center"/>
          </w:tcPr>
          <w:p w14:paraId="62A476E2">
            <w:pPr>
              <w:adjustRightInd w:val="0"/>
              <w:snapToGrid w:val="0"/>
              <w:spacing w:line="360" w:lineRule="auto"/>
              <w:ind w:right="-10"/>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p>
        </w:tc>
        <w:tc>
          <w:tcPr>
            <w:tcW w:w="1912" w:type="dxa"/>
            <w:vAlign w:val="center"/>
          </w:tcPr>
          <w:p w14:paraId="03CB29AA">
            <w:pPr>
              <w:spacing w:after="50"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磋商响应函</w:t>
            </w:r>
          </w:p>
        </w:tc>
        <w:tc>
          <w:tcPr>
            <w:tcW w:w="4763" w:type="dxa"/>
            <w:vAlign w:val="center"/>
          </w:tcPr>
          <w:p w14:paraId="50E5D2E1">
            <w:pPr>
              <w:spacing w:after="50" w:line="360" w:lineRule="auto"/>
              <w:ind w:right="-1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格式、填写要求符合磋商文件规定并</w:t>
            </w:r>
            <w:r>
              <w:rPr>
                <w:rFonts w:hint="eastAsia" w:ascii="宋体" w:hAnsi="宋体" w:cs="宋体"/>
                <w:color w:val="auto"/>
                <w:sz w:val="21"/>
                <w:szCs w:val="21"/>
                <w:highlight w:val="none"/>
                <w:lang w:val="en-US" w:eastAsia="zh-CN"/>
              </w:rPr>
              <w:t>签章</w:t>
            </w:r>
          </w:p>
        </w:tc>
        <w:tc>
          <w:tcPr>
            <w:tcW w:w="1943" w:type="dxa"/>
            <w:vAlign w:val="center"/>
          </w:tcPr>
          <w:p w14:paraId="52BB4524">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详见第六章响应文件格式。</w:t>
            </w:r>
          </w:p>
        </w:tc>
      </w:tr>
      <w:tr w14:paraId="5889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vAlign w:val="center"/>
          </w:tcPr>
          <w:p w14:paraId="785D24C0">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1912" w:type="dxa"/>
            <w:vAlign w:val="center"/>
          </w:tcPr>
          <w:p w14:paraId="7E699036">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授权书</w:t>
            </w:r>
          </w:p>
        </w:tc>
        <w:tc>
          <w:tcPr>
            <w:tcW w:w="4763" w:type="dxa"/>
            <w:vAlign w:val="center"/>
          </w:tcPr>
          <w:p w14:paraId="59ADEC26">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格式、填写要求符合磋商文件规定并签章</w:t>
            </w:r>
          </w:p>
        </w:tc>
        <w:tc>
          <w:tcPr>
            <w:tcW w:w="1943" w:type="dxa"/>
            <w:vAlign w:val="center"/>
          </w:tcPr>
          <w:p w14:paraId="5949B6B4">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法定代表人参加磋商的无需此件，提供身份证明即可。详见第六章响应文件格式。</w:t>
            </w:r>
          </w:p>
        </w:tc>
      </w:tr>
      <w:tr w14:paraId="65D89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668" w:type="dxa"/>
            <w:vAlign w:val="center"/>
          </w:tcPr>
          <w:p w14:paraId="3F3601DB">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1912" w:type="dxa"/>
            <w:vAlign w:val="center"/>
          </w:tcPr>
          <w:p w14:paraId="6C8C2FFC">
            <w:pPr>
              <w:spacing w:after="50" w:line="360" w:lineRule="auto"/>
              <w:ind w:right="-10"/>
              <w:jc w:val="center"/>
              <w:rPr>
                <w:rFonts w:hint="eastAsia" w:ascii="宋体" w:hAnsi="宋体" w:eastAsia="宋体" w:cs="宋体"/>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磋商</w:t>
            </w:r>
            <w:r>
              <w:rPr>
                <w:rFonts w:hint="eastAsia" w:asciiTheme="minorEastAsia" w:hAnsiTheme="minorEastAsia" w:eastAsiaTheme="minorEastAsia"/>
                <w:color w:val="auto"/>
                <w:sz w:val="21"/>
                <w:szCs w:val="21"/>
                <w:highlight w:val="none"/>
              </w:rPr>
              <w:t>报价</w:t>
            </w:r>
          </w:p>
        </w:tc>
        <w:tc>
          <w:tcPr>
            <w:tcW w:w="4763" w:type="dxa"/>
            <w:vAlign w:val="center"/>
          </w:tcPr>
          <w:p w14:paraId="60966DE8">
            <w:pPr>
              <w:spacing w:after="50"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符合磋商文件供应商须知正文第9条要求</w:t>
            </w:r>
          </w:p>
        </w:tc>
        <w:tc>
          <w:tcPr>
            <w:tcW w:w="1943" w:type="dxa"/>
            <w:vAlign w:val="center"/>
          </w:tcPr>
          <w:p w14:paraId="4A4B7CA9">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详见第六章响应文件格式。  </w:t>
            </w:r>
          </w:p>
        </w:tc>
      </w:tr>
      <w:tr w14:paraId="6999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68" w:type="dxa"/>
            <w:vAlign w:val="center"/>
          </w:tcPr>
          <w:p w14:paraId="3A33AB54">
            <w:pPr>
              <w:adjustRightInd w:val="0"/>
              <w:snapToGrid w:val="0"/>
              <w:spacing w:line="360" w:lineRule="auto"/>
              <w:ind w:right="-1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p>
        </w:tc>
        <w:tc>
          <w:tcPr>
            <w:tcW w:w="1912" w:type="dxa"/>
            <w:vAlign w:val="center"/>
          </w:tcPr>
          <w:p w14:paraId="5986EBEB">
            <w:pPr>
              <w:spacing w:after="50" w:line="360" w:lineRule="auto"/>
              <w:ind w:right="-10" w:righ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其他要求</w:t>
            </w:r>
          </w:p>
        </w:tc>
        <w:tc>
          <w:tcPr>
            <w:tcW w:w="4763" w:type="dxa"/>
            <w:vAlign w:val="center"/>
          </w:tcPr>
          <w:p w14:paraId="50E6B8BF">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符合法律、行政法规</w:t>
            </w:r>
          </w:p>
        </w:tc>
        <w:tc>
          <w:tcPr>
            <w:tcW w:w="1943" w:type="dxa"/>
            <w:vAlign w:val="center"/>
          </w:tcPr>
          <w:p w14:paraId="5F9AA852">
            <w:pPr>
              <w:spacing w:after="50" w:line="360" w:lineRule="auto"/>
              <w:ind w:right="-10" w:rightChars="0"/>
              <w:jc w:val="center"/>
              <w:rPr>
                <w:rFonts w:hint="eastAsia" w:ascii="宋体" w:hAnsi="宋体" w:eastAsia="宋体" w:cs="宋体"/>
                <w:color w:val="auto"/>
                <w:sz w:val="21"/>
                <w:szCs w:val="21"/>
                <w:highlight w:val="none"/>
              </w:rPr>
            </w:pPr>
          </w:p>
        </w:tc>
      </w:tr>
    </w:tbl>
    <w:p w14:paraId="1279881D">
      <w:pPr>
        <w:numPr>
          <w:ilvl w:val="0"/>
          <w:numId w:val="0"/>
        </w:numPr>
        <w:ind w:firstLine="211" w:firstLineChars="100"/>
        <w:rPr>
          <w:rFonts w:hint="eastAsia" w:ascii="宋体" w:hAnsi="宋体" w:cs="宋体"/>
          <w:b w:val="0"/>
          <w:bCs/>
          <w:color w:val="auto"/>
          <w:sz w:val="21"/>
          <w:szCs w:val="21"/>
          <w:highlight w:val="none"/>
          <w:lang w:val="en-US" w:eastAsia="zh-CN"/>
        </w:rPr>
      </w:pPr>
      <w:bookmarkStart w:id="49" w:name="_Toc431"/>
      <w:bookmarkStart w:id="50" w:name="_Toc28300"/>
      <w:bookmarkStart w:id="51" w:name="_Toc3977"/>
      <w:bookmarkStart w:id="52" w:name="_Toc7241"/>
      <w:bookmarkStart w:id="53" w:name="_Toc27586"/>
      <w:r>
        <w:rPr>
          <w:rFonts w:hint="eastAsia" w:ascii="宋体" w:hAnsi="宋体" w:cs="宋体"/>
          <w:b/>
          <w:bCs w:val="0"/>
          <w:color w:val="auto"/>
          <w:sz w:val="21"/>
          <w:szCs w:val="21"/>
          <w:highlight w:val="none"/>
          <w:lang w:val="en-US" w:eastAsia="zh-CN"/>
        </w:rPr>
        <w:t>初审指标通过标准：</w:t>
      </w:r>
      <w:r>
        <w:rPr>
          <w:rFonts w:hint="eastAsia" w:ascii="宋体" w:hAnsi="宋体" w:cs="宋体"/>
          <w:b w:val="0"/>
          <w:bCs/>
          <w:color w:val="auto"/>
          <w:sz w:val="21"/>
          <w:szCs w:val="21"/>
          <w:highlight w:val="none"/>
          <w:lang w:val="en-US" w:eastAsia="zh-CN"/>
        </w:rPr>
        <w:t>供应商必须通过初审表中的全部评审指标。</w:t>
      </w:r>
    </w:p>
    <w:p w14:paraId="36AFE1D6">
      <w:pPr>
        <w:numPr>
          <w:ilvl w:val="0"/>
          <w:numId w:val="0"/>
        </w:numPr>
        <w:rPr>
          <w:rFonts w:hint="eastAsia" w:ascii="宋体" w:hAnsi="宋体" w:cs="宋体"/>
          <w:b w:val="0"/>
          <w:bCs/>
          <w:color w:val="auto"/>
          <w:sz w:val="21"/>
          <w:szCs w:val="21"/>
          <w:highlight w:val="none"/>
          <w:lang w:val="en-US" w:eastAsia="zh-CN"/>
        </w:rPr>
      </w:pPr>
    </w:p>
    <w:p w14:paraId="1801C756">
      <w:pPr>
        <w:spacing w:line="360" w:lineRule="auto"/>
        <w:ind w:firstLine="210" w:firstLineChars="100"/>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2、异常低价响应审查</w:t>
      </w:r>
    </w:p>
    <w:tbl>
      <w:tblPr>
        <w:tblStyle w:val="41"/>
        <w:tblW w:w="56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260"/>
        <w:gridCol w:w="5380"/>
        <w:gridCol w:w="2260"/>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659" w:type="dxa"/>
            <w:gridSpan w:val="4"/>
            <w:tcBorders>
              <w:bottom w:val="single" w:color="auto" w:sz="4" w:space="0"/>
            </w:tcBorders>
            <w:vAlign w:val="center"/>
          </w:tcPr>
          <w:p w14:paraId="0A55AF2A">
            <w:pPr>
              <w:spacing w:line="360" w:lineRule="auto"/>
              <w:jc w:val="center"/>
              <w:rPr>
                <w:rFonts w:ascii="宋体" w:hAnsi="宋体" w:eastAsia="宋体"/>
                <w:sz w:val="21"/>
                <w:szCs w:val="21"/>
                <w:highlight w:val="none"/>
              </w:rPr>
            </w:pPr>
            <w:r>
              <w:rPr>
                <w:rFonts w:hint="eastAsia" w:ascii="宋体" w:hAnsi="宋体" w:eastAsia="宋体" w:cs="宋体"/>
                <w:b/>
                <w:bCs/>
                <w:color w:val="auto"/>
                <w:sz w:val="21"/>
                <w:szCs w:val="21"/>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tcBorders>
              <w:bottom w:val="single" w:color="auto" w:sz="4" w:space="0"/>
            </w:tcBorders>
            <w:vAlign w:val="center"/>
          </w:tcPr>
          <w:p w14:paraId="24C66339">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1260" w:type="dxa"/>
            <w:tcBorders>
              <w:bottom w:val="single" w:color="auto" w:sz="4" w:space="0"/>
            </w:tcBorders>
            <w:vAlign w:val="center"/>
          </w:tcPr>
          <w:p w14:paraId="242D7536">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评审指标</w:t>
            </w:r>
          </w:p>
        </w:tc>
        <w:tc>
          <w:tcPr>
            <w:tcW w:w="5380" w:type="dxa"/>
            <w:tcBorders>
              <w:bottom w:val="single" w:color="auto" w:sz="4" w:space="0"/>
            </w:tcBorders>
            <w:vAlign w:val="center"/>
          </w:tcPr>
          <w:p w14:paraId="63EC8315">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评审标准</w:t>
            </w:r>
          </w:p>
        </w:tc>
        <w:tc>
          <w:tcPr>
            <w:tcW w:w="2260" w:type="dxa"/>
            <w:tcBorders>
              <w:bottom w:val="single" w:color="auto" w:sz="4" w:space="0"/>
            </w:tcBorders>
            <w:vAlign w:val="center"/>
          </w:tcPr>
          <w:p w14:paraId="39E809DA">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759" w:type="dxa"/>
            <w:tcBorders>
              <w:bottom w:val="single" w:color="auto" w:sz="4" w:space="0"/>
            </w:tcBorders>
            <w:vAlign w:val="center"/>
          </w:tcPr>
          <w:p w14:paraId="53262601">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260" w:type="dxa"/>
            <w:tcBorders>
              <w:bottom w:val="single" w:color="auto" w:sz="4" w:space="0"/>
            </w:tcBorders>
            <w:vAlign w:val="center"/>
          </w:tcPr>
          <w:p w14:paraId="4828CEF5">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异常低价响应审查</w:t>
            </w:r>
          </w:p>
        </w:tc>
        <w:tc>
          <w:tcPr>
            <w:tcW w:w="5380" w:type="dxa"/>
            <w:tcBorders>
              <w:bottom w:val="single" w:color="auto" w:sz="4" w:space="0"/>
            </w:tcBorders>
            <w:vAlign w:val="center"/>
          </w:tcPr>
          <w:p w14:paraId="14855D12">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（1）报价＜全部通过初审供应商响应报价平均值×50%；</w:t>
            </w:r>
          </w:p>
          <w:p w14:paraId="12D6E1A2">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（2）报价＜通过初审的次低报价供应商响应报价×50%；</w:t>
            </w:r>
          </w:p>
          <w:p w14:paraId="595C90C5">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（3）报价＜采购项目最高限价（如采购项目未设定最高限价的，以采购项目预算金额作为最高限价）×45%；</w:t>
            </w:r>
          </w:p>
          <w:p w14:paraId="6545F9B4">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（4）谈判小组基于专业判断，认为供应商报价过低，有可能影响产品质量或者不能诚信履约的其他情形。</w:t>
            </w:r>
          </w:p>
          <w:p w14:paraId="14FCFEF9">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提醒：</w:t>
            </w:r>
          </w:p>
          <w:p w14:paraId="0BE4D07D">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（1）上述第（1）项数值计算：涉及总价、单价的精确到“分”并四舍五入，涉及费率的精确到小数点后两位，第三位四舍五入（例：如平均值为123.456元，即为123.46元；如平均值为80.126%，即为80.13%）。</w:t>
            </w:r>
          </w:p>
          <w:p w14:paraId="407B687B">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（2）上述报价均为供应商最后报价。</w:t>
            </w:r>
          </w:p>
        </w:tc>
        <w:tc>
          <w:tcPr>
            <w:tcW w:w="2260" w:type="dxa"/>
            <w:vAlign w:val="center"/>
          </w:tcPr>
          <w:p w14:paraId="4F4E35CC">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32155601">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注：</w:t>
      </w:r>
      <w:bookmarkEnd w:id="49"/>
      <w:bookmarkEnd w:id="50"/>
      <w:bookmarkEnd w:id="51"/>
      <w:bookmarkEnd w:id="52"/>
      <w:bookmarkEnd w:id="53"/>
      <w:r>
        <w:rPr>
          <w:rFonts w:hint="eastAsia" w:ascii="宋体" w:hAnsi="宋体" w:eastAsia="宋体" w:cs="Times New Roman"/>
          <w:sz w:val="21"/>
          <w:szCs w:val="21"/>
          <w:highlight w:val="none"/>
          <w:lang w:val="en-US" w:eastAsia="zh-CN"/>
        </w:rPr>
        <w:t>根据《关于推动解决政府采购异常低价问题的通知》（财库〔2026〕2号），采购人可以结合具体项目实际情况，提高上述评审标准第（1）项至第（3）项中的数值标准，但是最高不得超过65%。</w:t>
      </w:r>
    </w:p>
    <w:p w14:paraId="4F06E395">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3）项情形，供应商已随响应文件一并提交相关书面说明及必要的证明材料的，在评审现场可不再重复提交。</w:t>
      </w:r>
    </w:p>
    <w:p w14:paraId="49988AE8">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 xml:space="preserve">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 </w:t>
      </w:r>
    </w:p>
    <w:p w14:paraId="59F55300">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b w:val="0"/>
          <w:bCs/>
          <w:color w:val="auto"/>
          <w:sz w:val="21"/>
          <w:szCs w:val="21"/>
          <w:lang w:val="en-US" w:eastAsia="zh-CN" w:bidi="ar-SA"/>
        </w:rPr>
      </w:pPr>
      <w:r>
        <w:rPr>
          <w:rFonts w:hint="eastAsia" w:ascii="宋体" w:hAnsi="宋体" w:eastAsia="宋体" w:cs="Times New Roman"/>
          <w:sz w:val="21"/>
          <w:szCs w:val="21"/>
          <w:highlight w:val="none"/>
          <w:lang w:val="en-US" w:eastAsia="zh-CN"/>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0A09E5D0">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cs="宋体"/>
          <w:b w:val="0"/>
          <w:bCs/>
          <w:color w:val="auto"/>
          <w:sz w:val="21"/>
          <w:szCs w:val="21"/>
          <w:lang w:val="en-US" w:eastAsia="zh-CN" w:bidi="ar-SA"/>
        </w:rPr>
      </w:pPr>
    </w:p>
    <w:p w14:paraId="421662E4">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b w:val="0"/>
          <w:bCs/>
          <w:color w:val="auto"/>
          <w:sz w:val="21"/>
          <w:szCs w:val="21"/>
          <w:lang w:val="en-US" w:eastAsia="zh-CN" w:bidi="ar-SA"/>
        </w:rPr>
      </w:pPr>
      <w:r>
        <w:rPr>
          <w:rFonts w:hint="eastAsia" w:ascii="宋体" w:hAnsi="宋体" w:cs="宋体"/>
          <w:b w:val="0"/>
          <w:bCs/>
          <w:color w:val="auto"/>
          <w:sz w:val="21"/>
          <w:szCs w:val="21"/>
          <w:lang w:val="en-US" w:eastAsia="zh-CN" w:bidi="ar-SA"/>
        </w:rPr>
        <w:t>3、</w:t>
      </w:r>
      <w:r>
        <w:rPr>
          <w:rFonts w:hint="eastAsia" w:ascii="宋体" w:hAnsi="宋体" w:eastAsia="宋体" w:cs="宋体"/>
          <w:b w:val="0"/>
          <w:bCs/>
          <w:color w:val="auto"/>
          <w:sz w:val="21"/>
          <w:szCs w:val="21"/>
          <w:lang w:val="en-US" w:eastAsia="zh-CN" w:bidi="ar-SA"/>
        </w:rPr>
        <w:t xml:space="preserve">综合评分 </w:t>
      </w:r>
    </w:p>
    <w:p w14:paraId="4094E454">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 xml:space="preserve">3.1 磋商小组按照下表对进入综合评分的所有供应商的响应文件进行综合评分。 </w:t>
      </w:r>
    </w:p>
    <w:p w14:paraId="1A28ADCA">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3.2 本项目综合评分满分均为100分，其中：技术资信分值占总分值的权重为 70  %，价格分值（投标费率）占总分值的权重为 30  %。具体评分细则如下：</w:t>
      </w:r>
    </w:p>
    <w:tbl>
      <w:tblPr>
        <w:tblStyle w:val="41"/>
        <w:tblW w:w="6440" w:type="pct"/>
        <w:jc w:val="center"/>
        <w:tblLayout w:type="fixed"/>
        <w:tblCellMar>
          <w:top w:w="0" w:type="dxa"/>
          <w:left w:w="108" w:type="dxa"/>
          <w:bottom w:w="0" w:type="dxa"/>
          <w:right w:w="108" w:type="dxa"/>
        </w:tblCellMar>
      </w:tblPr>
      <w:tblGrid>
        <w:gridCol w:w="1388"/>
        <w:gridCol w:w="1252"/>
        <w:gridCol w:w="7018"/>
        <w:gridCol w:w="1319"/>
      </w:tblGrid>
      <w:tr w14:paraId="048BF0BA">
        <w:tblPrEx>
          <w:tblCellMar>
            <w:top w:w="0" w:type="dxa"/>
            <w:left w:w="108" w:type="dxa"/>
            <w:bottom w:w="0" w:type="dxa"/>
            <w:right w:w="108" w:type="dxa"/>
          </w:tblCellMar>
        </w:tblPrEx>
        <w:trPr>
          <w:trHeight w:val="90" w:hRule="atLeast"/>
          <w:jc w:val="center"/>
        </w:trPr>
        <w:tc>
          <w:tcPr>
            <w:tcW w:w="1388" w:type="dxa"/>
            <w:tcBorders>
              <w:top w:val="single" w:color="auto" w:sz="4" w:space="0"/>
              <w:left w:val="single" w:color="auto" w:sz="4" w:space="0"/>
              <w:bottom w:val="single" w:color="auto" w:sz="4" w:space="0"/>
              <w:right w:val="single" w:color="auto" w:sz="4" w:space="0"/>
            </w:tcBorders>
            <w:noWrap/>
            <w:vAlign w:val="center"/>
          </w:tcPr>
          <w:p w14:paraId="079CA6AB">
            <w:pPr>
              <w:spacing w:line="400" w:lineRule="exact"/>
              <w:jc w:val="center"/>
              <w:rPr>
                <w:rFonts w:hint="eastAsia" w:ascii="宋体" w:hAnsi="宋体" w:eastAsia="宋体" w:cs="仿宋"/>
                <w:color w:val="auto"/>
                <w:sz w:val="21"/>
                <w:szCs w:val="21"/>
                <w:highlight w:val="none"/>
              </w:rPr>
            </w:pPr>
            <w:r>
              <w:rPr>
                <w:rFonts w:hint="eastAsia" w:ascii="宋体" w:hAnsi="宋体" w:eastAsia="宋体" w:cs="宋体"/>
                <w:b/>
                <w:bCs/>
                <w:color w:val="auto"/>
                <w:sz w:val="21"/>
                <w:szCs w:val="21"/>
              </w:rPr>
              <w:t>类别</w:t>
            </w:r>
          </w:p>
        </w:tc>
        <w:tc>
          <w:tcPr>
            <w:tcW w:w="1252" w:type="dxa"/>
            <w:tcBorders>
              <w:top w:val="single" w:color="auto" w:sz="4" w:space="0"/>
              <w:left w:val="nil"/>
              <w:bottom w:val="single" w:color="auto" w:sz="4" w:space="0"/>
              <w:right w:val="single" w:color="auto" w:sz="4" w:space="0"/>
            </w:tcBorders>
            <w:noWrap/>
            <w:vAlign w:val="center"/>
          </w:tcPr>
          <w:p w14:paraId="18E96439">
            <w:pPr>
              <w:spacing w:line="400" w:lineRule="exact"/>
              <w:jc w:val="center"/>
              <w:rPr>
                <w:rFonts w:hint="eastAsia" w:ascii="宋体" w:hAnsi="宋体" w:eastAsia="宋体" w:cs="仿宋"/>
                <w:color w:val="auto"/>
                <w:sz w:val="21"/>
                <w:szCs w:val="21"/>
                <w:highlight w:val="none"/>
              </w:rPr>
            </w:pPr>
            <w:r>
              <w:rPr>
                <w:rFonts w:hint="eastAsia" w:ascii="宋体" w:hAnsi="宋体" w:eastAsia="宋体" w:cs="宋体"/>
                <w:b/>
                <w:bCs/>
                <w:color w:val="auto"/>
                <w:sz w:val="21"/>
                <w:szCs w:val="21"/>
              </w:rPr>
              <w:t>评分内容</w:t>
            </w:r>
          </w:p>
        </w:tc>
        <w:tc>
          <w:tcPr>
            <w:tcW w:w="7018" w:type="dxa"/>
            <w:tcBorders>
              <w:top w:val="single" w:color="auto" w:sz="4" w:space="0"/>
              <w:left w:val="nil"/>
              <w:bottom w:val="single" w:color="auto" w:sz="4" w:space="0"/>
              <w:right w:val="single" w:color="auto" w:sz="4" w:space="0"/>
            </w:tcBorders>
            <w:noWrap/>
            <w:vAlign w:val="center"/>
          </w:tcPr>
          <w:p w14:paraId="244F0B2A">
            <w:pPr>
              <w:spacing w:line="400" w:lineRule="exact"/>
              <w:jc w:val="center"/>
              <w:rPr>
                <w:rFonts w:hint="eastAsia" w:ascii="宋体" w:hAnsi="宋体" w:eastAsia="宋体" w:cs="仿宋"/>
                <w:color w:val="auto"/>
                <w:sz w:val="21"/>
                <w:szCs w:val="21"/>
                <w:highlight w:val="none"/>
              </w:rPr>
            </w:pPr>
            <w:r>
              <w:rPr>
                <w:rFonts w:hint="eastAsia" w:ascii="宋体" w:hAnsi="宋体" w:eastAsia="宋体" w:cs="宋体"/>
                <w:b/>
                <w:bCs/>
                <w:color w:val="auto"/>
                <w:sz w:val="21"/>
                <w:szCs w:val="21"/>
              </w:rPr>
              <w:t>评分标准</w:t>
            </w:r>
          </w:p>
        </w:tc>
        <w:tc>
          <w:tcPr>
            <w:tcW w:w="1319" w:type="dxa"/>
            <w:tcBorders>
              <w:top w:val="single" w:color="auto" w:sz="4" w:space="0"/>
              <w:left w:val="nil"/>
              <w:bottom w:val="single" w:color="auto" w:sz="4" w:space="0"/>
              <w:right w:val="single" w:color="auto" w:sz="4" w:space="0"/>
            </w:tcBorders>
            <w:shd w:val="clear" w:color="auto" w:fill="auto"/>
            <w:noWrap/>
            <w:vAlign w:val="center"/>
          </w:tcPr>
          <w:p w14:paraId="11BA73A1">
            <w:pPr>
              <w:spacing w:line="400" w:lineRule="exact"/>
              <w:jc w:val="center"/>
              <w:rPr>
                <w:rFonts w:hint="eastAsia" w:ascii="宋体" w:hAnsi="宋体" w:eastAsia="宋体" w:cs="仿宋"/>
                <w:color w:val="auto"/>
                <w:sz w:val="21"/>
                <w:szCs w:val="21"/>
                <w:highlight w:val="none"/>
                <w:lang w:val="en-US" w:eastAsia="zh-CN" w:bidi="ar-SA"/>
              </w:rPr>
            </w:pPr>
            <w:r>
              <w:rPr>
                <w:rFonts w:hint="eastAsia" w:ascii="宋体" w:hAnsi="宋体" w:eastAsia="宋体" w:cs="宋体"/>
                <w:b/>
                <w:bCs/>
                <w:color w:val="auto"/>
                <w:sz w:val="21"/>
                <w:szCs w:val="21"/>
              </w:rPr>
              <w:t>分值范围</w:t>
            </w:r>
          </w:p>
        </w:tc>
      </w:tr>
      <w:tr w14:paraId="2BB8D7BC">
        <w:tblPrEx>
          <w:tblCellMar>
            <w:top w:w="0" w:type="dxa"/>
            <w:left w:w="108" w:type="dxa"/>
            <w:bottom w:w="0" w:type="dxa"/>
            <w:right w:w="108" w:type="dxa"/>
          </w:tblCellMar>
        </w:tblPrEx>
        <w:trPr>
          <w:trHeight w:val="2110" w:hRule="atLeast"/>
          <w:jc w:val="center"/>
        </w:trPr>
        <w:tc>
          <w:tcPr>
            <w:tcW w:w="1388" w:type="dxa"/>
            <w:vMerge w:val="restart"/>
            <w:tcBorders>
              <w:top w:val="nil"/>
              <w:left w:val="single" w:color="auto" w:sz="4" w:space="0"/>
              <w:right w:val="single" w:color="auto" w:sz="4" w:space="0"/>
            </w:tcBorders>
            <w:noWrap w:val="0"/>
            <w:vAlign w:val="center"/>
          </w:tcPr>
          <w:p w14:paraId="5CA590EF">
            <w:pPr>
              <w:widowControl/>
              <w:jc w:val="center"/>
              <w:textAlignment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技术分</w:t>
            </w:r>
          </w:p>
          <w:p w14:paraId="70C2E29F">
            <w:pPr>
              <w:snapToGrid w:val="0"/>
              <w:spacing w:line="360" w:lineRule="auto"/>
              <w:jc w:val="center"/>
              <w:rPr>
                <w:rFonts w:hint="eastAsia" w:ascii="宋体" w:hAnsi="宋体" w:eastAsia="宋体" w:cs="仿宋"/>
                <w:color w:val="auto"/>
                <w:sz w:val="21"/>
                <w:szCs w:val="21"/>
                <w:highlight w:val="none"/>
              </w:rPr>
            </w:pPr>
            <w:r>
              <w:rPr>
                <w:rFonts w:hint="eastAsia" w:ascii="宋体" w:hAnsi="宋体" w:eastAsia="宋体" w:cs="宋体"/>
                <w:b/>
                <w:bCs/>
                <w:color w:val="auto"/>
                <w:kern w:val="0"/>
                <w:sz w:val="21"/>
                <w:szCs w:val="21"/>
                <w:lang w:bidi="ar"/>
              </w:rPr>
              <w:t>（</w:t>
            </w:r>
            <w:r>
              <w:rPr>
                <w:rFonts w:hint="eastAsia" w:ascii="宋体" w:hAnsi="宋体" w:eastAsia="宋体" w:cs="宋体"/>
                <w:b/>
                <w:bCs/>
                <w:color w:val="auto"/>
                <w:kern w:val="0"/>
                <w:sz w:val="21"/>
                <w:szCs w:val="21"/>
                <w:lang w:val="en-US" w:eastAsia="zh-CN" w:bidi="ar"/>
              </w:rPr>
              <w:t>7</w:t>
            </w:r>
            <w:r>
              <w:rPr>
                <w:rFonts w:hint="eastAsia" w:ascii="宋体" w:hAnsi="宋体" w:eastAsia="宋体" w:cs="宋体"/>
                <w:b/>
                <w:bCs/>
                <w:color w:val="auto"/>
                <w:kern w:val="0"/>
                <w:sz w:val="21"/>
                <w:szCs w:val="21"/>
                <w:lang w:bidi="ar"/>
              </w:rPr>
              <w:t>0 分）</w:t>
            </w:r>
          </w:p>
        </w:tc>
        <w:tc>
          <w:tcPr>
            <w:tcW w:w="1252" w:type="dxa"/>
            <w:tcBorders>
              <w:top w:val="nil"/>
              <w:left w:val="nil"/>
              <w:bottom w:val="single" w:color="auto" w:sz="4" w:space="0"/>
              <w:right w:val="single" w:color="auto" w:sz="4" w:space="0"/>
            </w:tcBorders>
            <w:noWrap w:val="0"/>
            <w:vAlign w:val="center"/>
          </w:tcPr>
          <w:p w14:paraId="679457C1">
            <w:pPr>
              <w:snapToGrid w:val="0"/>
              <w:spacing w:line="360" w:lineRule="auto"/>
              <w:jc w:val="center"/>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企业资质</w:t>
            </w:r>
          </w:p>
        </w:tc>
        <w:tc>
          <w:tcPr>
            <w:tcW w:w="7018" w:type="dxa"/>
            <w:tcBorders>
              <w:top w:val="nil"/>
              <w:left w:val="nil"/>
              <w:bottom w:val="single" w:color="auto" w:sz="4" w:space="0"/>
              <w:right w:val="single" w:color="auto" w:sz="4" w:space="0"/>
            </w:tcBorders>
            <w:noWrap w:val="0"/>
            <w:vAlign w:val="center"/>
          </w:tcPr>
          <w:p w14:paraId="6181F710">
            <w:pPr>
              <w:snapToGrid w:val="0"/>
              <w:spacing w:line="360" w:lineRule="auto"/>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投标人具有</w:t>
            </w:r>
          </w:p>
          <w:p w14:paraId="1BD2FE29">
            <w:pPr>
              <w:snapToGrid w:val="0"/>
              <w:spacing w:line="360" w:lineRule="auto"/>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1、信息安全管理体系ISO27001认证；</w:t>
            </w:r>
          </w:p>
          <w:p w14:paraId="677C1902">
            <w:pPr>
              <w:snapToGrid w:val="0"/>
              <w:spacing w:line="360" w:lineRule="auto"/>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2、隐私信息管理体系ISO27701认证。</w:t>
            </w:r>
          </w:p>
          <w:p w14:paraId="2CB4D60F">
            <w:pPr>
              <w:snapToGrid w:val="0"/>
              <w:spacing w:line="360" w:lineRule="auto"/>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每提供一项得3分，最多得6分，没有不得分。</w:t>
            </w:r>
          </w:p>
          <w:p w14:paraId="0395933D">
            <w:pPr>
              <w:snapToGrid w:val="0"/>
              <w:spacing w:line="360" w:lineRule="auto"/>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（证书需在有效期内，提供复印件并加盖公章）</w:t>
            </w:r>
          </w:p>
        </w:tc>
        <w:tc>
          <w:tcPr>
            <w:tcW w:w="1319" w:type="dxa"/>
            <w:tcBorders>
              <w:top w:val="nil"/>
              <w:left w:val="nil"/>
              <w:bottom w:val="single" w:color="auto" w:sz="4" w:space="0"/>
              <w:right w:val="single" w:color="auto" w:sz="4" w:space="0"/>
            </w:tcBorders>
            <w:shd w:val="clear" w:color="auto" w:fill="auto"/>
            <w:noWrap w:val="0"/>
            <w:vAlign w:val="center"/>
          </w:tcPr>
          <w:p w14:paraId="2F4CC152">
            <w:pPr>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eastAsia="宋体" w:cs="仿宋"/>
                <w:color w:val="auto"/>
                <w:sz w:val="21"/>
                <w:szCs w:val="21"/>
                <w:highlight w:val="none"/>
              </w:rPr>
              <w:t>6</w:t>
            </w:r>
            <w:r>
              <w:rPr>
                <w:rFonts w:hint="eastAsia" w:ascii="宋体" w:hAnsi="宋体" w:eastAsia="宋体" w:cs="仿宋"/>
                <w:color w:val="auto"/>
                <w:sz w:val="21"/>
                <w:szCs w:val="21"/>
                <w:highlight w:val="none"/>
                <w:lang w:eastAsia="zh-CN"/>
              </w:rPr>
              <w:t>分</w:t>
            </w:r>
          </w:p>
        </w:tc>
      </w:tr>
      <w:tr w14:paraId="37996C13">
        <w:tblPrEx>
          <w:tblCellMar>
            <w:top w:w="0" w:type="dxa"/>
            <w:left w:w="108" w:type="dxa"/>
            <w:bottom w:w="0" w:type="dxa"/>
            <w:right w:w="108" w:type="dxa"/>
          </w:tblCellMar>
        </w:tblPrEx>
        <w:trPr>
          <w:trHeight w:val="3446" w:hRule="atLeast"/>
          <w:jc w:val="center"/>
        </w:trPr>
        <w:tc>
          <w:tcPr>
            <w:tcW w:w="1388" w:type="dxa"/>
            <w:vMerge w:val="continue"/>
            <w:tcBorders>
              <w:left w:val="single" w:color="auto" w:sz="4" w:space="0"/>
              <w:right w:val="single" w:color="auto" w:sz="4" w:space="0"/>
            </w:tcBorders>
            <w:noWrap w:val="0"/>
            <w:vAlign w:val="center"/>
          </w:tcPr>
          <w:p w14:paraId="7F274FC7">
            <w:pPr>
              <w:snapToGrid w:val="0"/>
              <w:spacing w:line="360" w:lineRule="auto"/>
              <w:jc w:val="left"/>
              <w:rPr>
                <w:rFonts w:hint="eastAsia" w:ascii="宋体" w:hAnsi="宋体" w:eastAsia="宋体" w:cs="仿宋"/>
                <w:color w:val="auto"/>
                <w:sz w:val="21"/>
                <w:szCs w:val="21"/>
                <w:highlight w:val="none"/>
              </w:rPr>
            </w:pPr>
          </w:p>
        </w:tc>
        <w:tc>
          <w:tcPr>
            <w:tcW w:w="1252" w:type="dxa"/>
            <w:tcBorders>
              <w:top w:val="nil"/>
              <w:left w:val="nil"/>
              <w:bottom w:val="single" w:color="auto" w:sz="4" w:space="0"/>
              <w:right w:val="single" w:color="auto" w:sz="4" w:space="0"/>
            </w:tcBorders>
            <w:noWrap w:val="0"/>
            <w:vAlign w:val="center"/>
          </w:tcPr>
          <w:p w14:paraId="0168F421">
            <w:pPr>
              <w:snapToGrid w:val="0"/>
              <w:spacing w:line="360" w:lineRule="auto"/>
              <w:jc w:val="center"/>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人员证书</w:t>
            </w:r>
          </w:p>
        </w:tc>
        <w:tc>
          <w:tcPr>
            <w:tcW w:w="7018" w:type="dxa"/>
            <w:tcBorders>
              <w:top w:val="nil"/>
              <w:left w:val="nil"/>
              <w:bottom w:val="single" w:color="auto" w:sz="4" w:space="0"/>
              <w:right w:val="single" w:color="auto" w:sz="4" w:space="0"/>
            </w:tcBorders>
            <w:noWrap w:val="0"/>
            <w:vAlign w:val="center"/>
          </w:tcPr>
          <w:p w14:paraId="25638037">
            <w:pPr>
              <w:snapToGrid w:val="0"/>
              <w:spacing w:line="360" w:lineRule="auto"/>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1、投标人为本项目拟派项目经理（负责整个项目的统筹管理），具有智能化系统集成项目经理资格证书的，得5分，不提供不得分。（提供复印件并加盖公章）</w:t>
            </w:r>
          </w:p>
          <w:p w14:paraId="59C34566">
            <w:pPr>
              <w:snapToGrid w:val="0"/>
              <w:spacing w:line="360" w:lineRule="auto"/>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2、投标人为本项目拟派服务团队成员（负责整个项目日常维护、维修等工作）具有系统集成项目管理工程师、安防系统工程师、电气自动化工程师等资格证书的，每提供1份得5分，最多得15分，不提供不得分。（提供复印件并加盖公章）</w:t>
            </w:r>
          </w:p>
          <w:p w14:paraId="27CABEAD">
            <w:pPr>
              <w:snapToGrid w:val="0"/>
              <w:spacing w:line="360" w:lineRule="auto"/>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（须出具证书复印件及投标人为上述人员缴纳的</w:t>
            </w:r>
            <w:r>
              <w:rPr>
                <w:rFonts w:hint="eastAsia" w:ascii="宋体" w:hAnsi="宋体" w:eastAsia="宋体" w:cs="仿宋"/>
                <w:color w:val="auto"/>
                <w:sz w:val="21"/>
                <w:szCs w:val="21"/>
                <w:highlight w:val="none"/>
                <w:lang w:val="en-US" w:eastAsia="zh-CN"/>
              </w:rPr>
              <w:t>自2026年1月1日起至今的任意一个月的</w:t>
            </w:r>
            <w:r>
              <w:rPr>
                <w:rFonts w:hint="eastAsia" w:ascii="宋体" w:hAnsi="宋体" w:eastAsia="宋体" w:cs="仿宋"/>
                <w:color w:val="auto"/>
                <w:sz w:val="21"/>
                <w:szCs w:val="21"/>
                <w:highlight w:val="none"/>
              </w:rPr>
              <w:t>社保证明材料，证书须提供查验网址）</w:t>
            </w:r>
          </w:p>
        </w:tc>
        <w:tc>
          <w:tcPr>
            <w:tcW w:w="1319" w:type="dxa"/>
            <w:tcBorders>
              <w:top w:val="nil"/>
              <w:left w:val="nil"/>
              <w:bottom w:val="single" w:color="auto" w:sz="4" w:space="0"/>
              <w:right w:val="single" w:color="auto" w:sz="4" w:space="0"/>
            </w:tcBorders>
            <w:shd w:val="clear" w:color="auto" w:fill="auto"/>
            <w:noWrap w:val="0"/>
            <w:vAlign w:val="center"/>
          </w:tcPr>
          <w:p w14:paraId="6BF42868">
            <w:pPr>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eastAsia="宋体" w:cs="仿宋"/>
                <w:color w:val="auto"/>
                <w:sz w:val="21"/>
                <w:szCs w:val="21"/>
                <w:highlight w:val="none"/>
              </w:rPr>
              <w:t>20</w:t>
            </w:r>
            <w:r>
              <w:rPr>
                <w:rFonts w:hint="eastAsia" w:ascii="宋体" w:hAnsi="宋体" w:eastAsia="宋体" w:cs="仿宋"/>
                <w:color w:val="auto"/>
                <w:sz w:val="21"/>
                <w:szCs w:val="21"/>
                <w:highlight w:val="none"/>
                <w:lang w:eastAsia="zh-CN"/>
              </w:rPr>
              <w:t>分</w:t>
            </w:r>
          </w:p>
        </w:tc>
      </w:tr>
      <w:tr w14:paraId="33AC6817">
        <w:tblPrEx>
          <w:tblCellMar>
            <w:top w:w="0" w:type="dxa"/>
            <w:left w:w="108" w:type="dxa"/>
            <w:bottom w:w="0" w:type="dxa"/>
            <w:right w:w="108" w:type="dxa"/>
          </w:tblCellMar>
        </w:tblPrEx>
        <w:trPr>
          <w:trHeight w:val="1550" w:hRule="atLeast"/>
          <w:jc w:val="center"/>
        </w:trPr>
        <w:tc>
          <w:tcPr>
            <w:tcW w:w="1388" w:type="dxa"/>
            <w:vMerge w:val="continue"/>
            <w:tcBorders>
              <w:left w:val="single" w:color="auto" w:sz="4" w:space="0"/>
              <w:right w:val="single" w:color="auto" w:sz="4" w:space="0"/>
            </w:tcBorders>
            <w:noWrap w:val="0"/>
            <w:vAlign w:val="center"/>
          </w:tcPr>
          <w:p w14:paraId="2081C771">
            <w:pPr>
              <w:snapToGrid w:val="0"/>
              <w:spacing w:line="360" w:lineRule="auto"/>
              <w:jc w:val="left"/>
              <w:rPr>
                <w:rFonts w:hint="eastAsia" w:ascii="宋体" w:hAnsi="宋体" w:eastAsia="宋体" w:cs="仿宋"/>
                <w:color w:val="auto"/>
                <w:sz w:val="21"/>
                <w:szCs w:val="21"/>
                <w:highlight w:val="none"/>
              </w:rPr>
            </w:pPr>
          </w:p>
        </w:tc>
        <w:tc>
          <w:tcPr>
            <w:tcW w:w="1252" w:type="dxa"/>
            <w:tcBorders>
              <w:top w:val="nil"/>
              <w:left w:val="nil"/>
              <w:bottom w:val="single" w:color="auto" w:sz="4" w:space="0"/>
              <w:right w:val="single" w:color="auto" w:sz="4" w:space="0"/>
            </w:tcBorders>
            <w:noWrap w:val="0"/>
            <w:vAlign w:val="center"/>
          </w:tcPr>
          <w:p w14:paraId="2AC44327">
            <w:pPr>
              <w:snapToGrid w:val="0"/>
              <w:spacing w:line="360" w:lineRule="auto"/>
              <w:jc w:val="center"/>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业绩案例</w:t>
            </w:r>
          </w:p>
        </w:tc>
        <w:tc>
          <w:tcPr>
            <w:tcW w:w="7018" w:type="dxa"/>
            <w:tcBorders>
              <w:top w:val="nil"/>
              <w:left w:val="nil"/>
              <w:bottom w:val="single" w:color="auto" w:sz="4" w:space="0"/>
              <w:right w:val="single" w:color="auto" w:sz="4" w:space="0"/>
            </w:tcBorders>
            <w:noWrap w:val="0"/>
            <w:vAlign w:val="center"/>
          </w:tcPr>
          <w:p w14:paraId="614D244C">
            <w:pPr>
              <w:snapToGrid w:val="0"/>
              <w:spacing w:line="360" w:lineRule="auto"/>
              <w:ind w:firstLine="420" w:firstLineChars="200"/>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投标人提供2023年7月1日以来（以合同签订时间为准）自身成交的人脸识别门禁项目系统维保业绩证明材料，每提供一份有效材料得3分，最多得9分。</w:t>
            </w:r>
          </w:p>
          <w:p w14:paraId="3022E4B4">
            <w:pPr>
              <w:snapToGrid w:val="0"/>
              <w:spacing w:line="360" w:lineRule="auto"/>
              <w:ind w:firstLine="420" w:firstLineChars="200"/>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（须同时提供中标通知书或中标公告截图、项目合同等</w:t>
            </w:r>
            <w:r>
              <w:rPr>
                <w:rFonts w:hint="eastAsia" w:ascii="宋体" w:hAnsi="宋体" w:eastAsia="宋体" w:cs="仿宋"/>
                <w:color w:val="auto"/>
                <w:sz w:val="21"/>
                <w:szCs w:val="21"/>
                <w:highlight w:val="none"/>
                <w:lang w:val="en-US" w:eastAsia="zh-CN"/>
              </w:rPr>
              <w:t>影印件</w:t>
            </w:r>
            <w:r>
              <w:rPr>
                <w:rFonts w:hint="eastAsia" w:ascii="宋体" w:hAnsi="宋体" w:eastAsia="宋体" w:cs="仿宋"/>
                <w:color w:val="auto"/>
                <w:sz w:val="21"/>
                <w:szCs w:val="21"/>
                <w:highlight w:val="none"/>
              </w:rPr>
              <w:t>并加盖公章，且合同内容中须包含人脸识别类产品，否则不予计分）</w:t>
            </w:r>
          </w:p>
        </w:tc>
        <w:tc>
          <w:tcPr>
            <w:tcW w:w="1319" w:type="dxa"/>
            <w:tcBorders>
              <w:top w:val="nil"/>
              <w:left w:val="nil"/>
              <w:bottom w:val="single" w:color="auto" w:sz="4" w:space="0"/>
              <w:right w:val="single" w:color="auto" w:sz="4" w:space="0"/>
            </w:tcBorders>
            <w:shd w:val="clear" w:color="auto" w:fill="auto"/>
            <w:noWrap w:val="0"/>
            <w:vAlign w:val="center"/>
          </w:tcPr>
          <w:p w14:paraId="02F21C20">
            <w:pPr>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eastAsia="宋体" w:cs="仿宋"/>
                <w:color w:val="auto"/>
                <w:sz w:val="21"/>
                <w:szCs w:val="21"/>
                <w:highlight w:val="none"/>
              </w:rPr>
              <w:t>9</w:t>
            </w:r>
            <w:r>
              <w:rPr>
                <w:rFonts w:hint="eastAsia" w:ascii="宋体" w:hAnsi="宋体" w:eastAsia="宋体" w:cs="仿宋"/>
                <w:color w:val="auto"/>
                <w:sz w:val="21"/>
                <w:szCs w:val="21"/>
                <w:highlight w:val="none"/>
                <w:lang w:eastAsia="zh-CN"/>
              </w:rPr>
              <w:t>分</w:t>
            </w:r>
          </w:p>
        </w:tc>
      </w:tr>
      <w:tr w14:paraId="2DCE7F4E">
        <w:tblPrEx>
          <w:tblCellMar>
            <w:top w:w="0" w:type="dxa"/>
            <w:left w:w="108" w:type="dxa"/>
            <w:bottom w:w="0" w:type="dxa"/>
            <w:right w:w="108" w:type="dxa"/>
          </w:tblCellMar>
        </w:tblPrEx>
        <w:trPr>
          <w:trHeight w:val="1581" w:hRule="atLeast"/>
          <w:jc w:val="center"/>
        </w:trPr>
        <w:tc>
          <w:tcPr>
            <w:tcW w:w="1388" w:type="dxa"/>
            <w:vMerge w:val="continue"/>
            <w:tcBorders>
              <w:left w:val="single" w:color="auto" w:sz="4" w:space="0"/>
              <w:right w:val="single" w:color="auto" w:sz="4" w:space="0"/>
            </w:tcBorders>
            <w:noWrap w:val="0"/>
            <w:vAlign w:val="center"/>
          </w:tcPr>
          <w:p w14:paraId="22CDEAB2">
            <w:pPr>
              <w:snapToGrid w:val="0"/>
              <w:spacing w:line="360" w:lineRule="auto"/>
              <w:jc w:val="left"/>
              <w:rPr>
                <w:rFonts w:hint="eastAsia" w:ascii="宋体" w:hAnsi="宋体" w:eastAsia="宋体" w:cs="仿宋"/>
                <w:color w:val="auto"/>
                <w:sz w:val="21"/>
                <w:szCs w:val="21"/>
                <w:highlight w:val="none"/>
              </w:rPr>
            </w:pPr>
          </w:p>
        </w:tc>
        <w:tc>
          <w:tcPr>
            <w:tcW w:w="1252" w:type="dxa"/>
            <w:tcBorders>
              <w:top w:val="nil"/>
              <w:left w:val="nil"/>
              <w:bottom w:val="single" w:color="auto" w:sz="4" w:space="0"/>
              <w:right w:val="single" w:color="auto" w:sz="4" w:space="0"/>
            </w:tcBorders>
            <w:noWrap w:val="0"/>
            <w:vAlign w:val="center"/>
          </w:tcPr>
          <w:p w14:paraId="48E87D50">
            <w:pPr>
              <w:snapToGrid w:val="0"/>
              <w:spacing w:line="360" w:lineRule="auto"/>
              <w:jc w:val="center"/>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研发能力</w:t>
            </w:r>
          </w:p>
        </w:tc>
        <w:tc>
          <w:tcPr>
            <w:tcW w:w="7018" w:type="dxa"/>
            <w:tcBorders>
              <w:top w:val="nil"/>
              <w:left w:val="nil"/>
              <w:bottom w:val="single" w:color="auto" w:sz="4" w:space="0"/>
              <w:right w:val="single" w:color="auto" w:sz="4" w:space="0"/>
            </w:tcBorders>
            <w:noWrap w:val="0"/>
            <w:vAlign w:val="center"/>
          </w:tcPr>
          <w:p w14:paraId="68575512">
            <w:pPr>
              <w:snapToGrid w:val="0"/>
              <w:spacing w:line="360" w:lineRule="auto"/>
              <w:ind w:firstLine="420" w:firstLineChars="200"/>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投标人提供本企业认证的“人脸识别”类计算机软件著作权登记证书证明材料，每提供</w:t>
            </w:r>
            <w:r>
              <w:rPr>
                <w:rFonts w:hint="eastAsia" w:ascii="宋体" w:hAnsi="宋体" w:eastAsia="宋体" w:cs="仿宋"/>
                <w:color w:val="auto"/>
                <w:sz w:val="21"/>
                <w:szCs w:val="21"/>
                <w:highlight w:val="none"/>
                <w:lang w:val="en-US" w:eastAsia="zh-CN"/>
              </w:rPr>
              <w:t>1</w:t>
            </w:r>
            <w:r>
              <w:rPr>
                <w:rFonts w:hint="eastAsia" w:ascii="宋体" w:hAnsi="宋体" w:eastAsia="宋体" w:cs="仿宋"/>
                <w:color w:val="auto"/>
                <w:sz w:val="21"/>
                <w:szCs w:val="21"/>
                <w:highlight w:val="none"/>
              </w:rPr>
              <w:t>份得1分，最多得4分</w:t>
            </w:r>
            <w:r>
              <w:rPr>
                <w:rFonts w:hint="eastAsia" w:ascii="宋体" w:hAnsi="宋体" w:eastAsia="宋体" w:cs="仿宋"/>
                <w:color w:val="auto"/>
                <w:sz w:val="21"/>
                <w:szCs w:val="21"/>
                <w:highlight w:val="none"/>
                <w:lang w:eastAsia="zh-CN"/>
              </w:rPr>
              <w:t>，</w:t>
            </w:r>
            <w:r>
              <w:rPr>
                <w:rFonts w:hint="eastAsia" w:ascii="宋体" w:hAnsi="宋体" w:eastAsia="宋体" w:cs="仿宋"/>
                <w:color w:val="auto"/>
                <w:sz w:val="21"/>
                <w:szCs w:val="21"/>
                <w:highlight w:val="none"/>
                <w:lang w:val="en-US" w:eastAsia="zh-CN"/>
              </w:rPr>
              <w:t>不提供不得分</w:t>
            </w:r>
            <w:r>
              <w:rPr>
                <w:rFonts w:hint="eastAsia" w:ascii="宋体" w:hAnsi="宋体" w:eastAsia="宋体" w:cs="仿宋"/>
                <w:color w:val="auto"/>
                <w:sz w:val="21"/>
                <w:szCs w:val="21"/>
                <w:highlight w:val="none"/>
              </w:rPr>
              <w:t>。</w:t>
            </w:r>
          </w:p>
          <w:p w14:paraId="6AB830B9">
            <w:pPr>
              <w:snapToGrid w:val="0"/>
              <w:spacing w:line="360" w:lineRule="auto"/>
              <w:ind w:firstLine="420" w:firstLineChars="200"/>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投标人提供本企业认证的“人脸识别”或“闸机”类专利证书证明材料，每提供</w:t>
            </w:r>
            <w:r>
              <w:rPr>
                <w:rFonts w:hint="eastAsia" w:ascii="宋体" w:hAnsi="宋体" w:eastAsia="宋体" w:cs="仿宋"/>
                <w:color w:val="auto"/>
                <w:sz w:val="21"/>
                <w:szCs w:val="21"/>
                <w:highlight w:val="none"/>
                <w:lang w:val="en-US" w:eastAsia="zh-CN"/>
              </w:rPr>
              <w:t>1</w:t>
            </w:r>
            <w:r>
              <w:rPr>
                <w:rFonts w:hint="eastAsia" w:ascii="宋体" w:hAnsi="宋体" w:eastAsia="宋体" w:cs="仿宋"/>
                <w:color w:val="auto"/>
                <w:sz w:val="21"/>
                <w:szCs w:val="21"/>
                <w:highlight w:val="none"/>
              </w:rPr>
              <w:t>份得1分，最多得3分</w:t>
            </w:r>
            <w:r>
              <w:rPr>
                <w:rFonts w:hint="eastAsia" w:ascii="宋体" w:hAnsi="宋体" w:eastAsia="宋体" w:cs="仿宋"/>
                <w:color w:val="auto"/>
                <w:sz w:val="21"/>
                <w:szCs w:val="21"/>
                <w:highlight w:val="none"/>
                <w:lang w:eastAsia="zh-CN"/>
              </w:rPr>
              <w:t>，</w:t>
            </w:r>
            <w:r>
              <w:rPr>
                <w:rFonts w:hint="eastAsia" w:ascii="宋体" w:hAnsi="宋体" w:eastAsia="宋体" w:cs="仿宋"/>
                <w:color w:val="auto"/>
                <w:sz w:val="21"/>
                <w:szCs w:val="21"/>
                <w:highlight w:val="none"/>
                <w:lang w:val="en-US" w:eastAsia="zh-CN"/>
              </w:rPr>
              <w:t>不提供不得分</w:t>
            </w:r>
            <w:r>
              <w:rPr>
                <w:rFonts w:hint="eastAsia" w:ascii="宋体" w:hAnsi="宋体" w:eastAsia="宋体" w:cs="仿宋"/>
                <w:color w:val="auto"/>
                <w:sz w:val="21"/>
                <w:szCs w:val="21"/>
                <w:highlight w:val="none"/>
              </w:rPr>
              <w:t>。</w:t>
            </w:r>
          </w:p>
        </w:tc>
        <w:tc>
          <w:tcPr>
            <w:tcW w:w="1319" w:type="dxa"/>
            <w:tcBorders>
              <w:top w:val="nil"/>
              <w:left w:val="nil"/>
              <w:bottom w:val="single" w:color="auto" w:sz="4" w:space="0"/>
              <w:right w:val="single" w:color="auto" w:sz="4" w:space="0"/>
            </w:tcBorders>
            <w:shd w:val="clear" w:color="auto" w:fill="auto"/>
            <w:noWrap w:val="0"/>
            <w:vAlign w:val="center"/>
          </w:tcPr>
          <w:p w14:paraId="056EAEF8">
            <w:pPr>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eastAsia="宋体" w:cs="仿宋"/>
                <w:color w:val="auto"/>
                <w:sz w:val="21"/>
                <w:szCs w:val="21"/>
                <w:highlight w:val="none"/>
              </w:rPr>
              <w:t>7</w:t>
            </w:r>
            <w:r>
              <w:rPr>
                <w:rFonts w:hint="eastAsia" w:ascii="宋体" w:hAnsi="宋体" w:eastAsia="宋体" w:cs="仿宋"/>
                <w:color w:val="auto"/>
                <w:sz w:val="21"/>
                <w:szCs w:val="21"/>
                <w:highlight w:val="none"/>
                <w:lang w:eastAsia="zh-CN"/>
              </w:rPr>
              <w:t>分</w:t>
            </w:r>
          </w:p>
        </w:tc>
      </w:tr>
      <w:tr w14:paraId="35F02A58">
        <w:tblPrEx>
          <w:tblCellMar>
            <w:top w:w="0" w:type="dxa"/>
            <w:left w:w="108" w:type="dxa"/>
            <w:bottom w:w="0" w:type="dxa"/>
            <w:right w:w="108" w:type="dxa"/>
          </w:tblCellMar>
        </w:tblPrEx>
        <w:trPr>
          <w:trHeight w:val="2176" w:hRule="atLeast"/>
          <w:jc w:val="center"/>
        </w:trPr>
        <w:tc>
          <w:tcPr>
            <w:tcW w:w="1388" w:type="dxa"/>
            <w:vMerge w:val="continue"/>
            <w:tcBorders>
              <w:left w:val="single" w:color="auto" w:sz="4" w:space="0"/>
              <w:right w:val="single" w:color="auto" w:sz="4" w:space="0"/>
            </w:tcBorders>
            <w:noWrap w:val="0"/>
            <w:vAlign w:val="center"/>
          </w:tcPr>
          <w:p w14:paraId="419F2DC1">
            <w:pPr>
              <w:snapToGrid w:val="0"/>
              <w:spacing w:line="360" w:lineRule="auto"/>
              <w:jc w:val="center"/>
              <w:rPr>
                <w:rFonts w:hint="eastAsia" w:ascii="宋体" w:hAnsi="宋体" w:eastAsia="宋体" w:cs="仿宋"/>
                <w:color w:val="auto"/>
                <w:sz w:val="21"/>
                <w:szCs w:val="21"/>
                <w:highlight w:val="none"/>
              </w:rPr>
            </w:pPr>
          </w:p>
        </w:tc>
        <w:tc>
          <w:tcPr>
            <w:tcW w:w="1252" w:type="dxa"/>
            <w:tcBorders>
              <w:top w:val="single" w:color="auto" w:sz="4" w:space="0"/>
              <w:left w:val="nil"/>
              <w:bottom w:val="single" w:color="auto" w:sz="4" w:space="0"/>
              <w:right w:val="single" w:color="auto" w:sz="4" w:space="0"/>
            </w:tcBorders>
            <w:noWrap w:val="0"/>
            <w:vAlign w:val="center"/>
          </w:tcPr>
          <w:p w14:paraId="1FA549F9">
            <w:pPr>
              <w:widowControl/>
              <w:snapToGrid w:val="0"/>
              <w:spacing w:line="360" w:lineRule="auto"/>
              <w:jc w:val="center"/>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服务总体设计方案</w:t>
            </w:r>
          </w:p>
        </w:tc>
        <w:tc>
          <w:tcPr>
            <w:tcW w:w="7018" w:type="dxa"/>
            <w:tcBorders>
              <w:top w:val="single" w:color="auto" w:sz="4" w:space="0"/>
              <w:left w:val="nil"/>
              <w:bottom w:val="single" w:color="auto" w:sz="4" w:space="0"/>
              <w:right w:val="single" w:color="auto" w:sz="4" w:space="0"/>
            </w:tcBorders>
            <w:noWrap w:val="0"/>
            <w:vAlign w:val="center"/>
          </w:tcPr>
          <w:p w14:paraId="1D60C024">
            <w:pPr>
              <w:snapToGrid w:val="0"/>
              <w:spacing w:line="360" w:lineRule="auto"/>
              <w:ind w:firstLine="420" w:firstLineChars="200"/>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根据采购文件要求及投标人提供的服务总体设计方案情况进行综合评分，方案内容须包括：①项目服务响应程度、②项目服务实施方案、③物资装备配套情况、④备品备件库。</w:t>
            </w:r>
          </w:p>
          <w:p w14:paraId="0C5C43CF">
            <w:pPr>
              <w:snapToGrid w:val="0"/>
              <w:spacing w:line="360" w:lineRule="auto"/>
              <w:ind w:firstLine="420" w:firstLineChars="200"/>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评委根据方案内容完整性、可行性进行评审赋分，内容齐全且符合采购人实际要求的，得8分，方案内容缺项或不符合采购人实际要求的，每一项扣2分。</w:t>
            </w:r>
          </w:p>
        </w:tc>
        <w:tc>
          <w:tcPr>
            <w:tcW w:w="1319" w:type="dxa"/>
            <w:tcBorders>
              <w:top w:val="single" w:color="auto" w:sz="4" w:space="0"/>
              <w:left w:val="nil"/>
              <w:bottom w:val="single" w:color="auto" w:sz="4" w:space="0"/>
              <w:right w:val="single" w:color="auto" w:sz="4" w:space="0"/>
            </w:tcBorders>
            <w:shd w:val="clear" w:color="auto" w:fill="auto"/>
            <w:noWrap w:val="0"/>
            <w:vAlign w:val="center"/>
          </w:tcPr>
          <w:p w14:paraId="47CD1630">
            <w:pPr>
              <w:widowControl/>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eastAsia="宋体" w:cs="仿宋"/>
                <w:color w:val="auto"/>
                <w:sz w:val="21"/>
                <w:szCs w:val="21"/>
                <w:highlight w:val="none"/>
              </w:rPr>
              <w:t>8</w:t>
            </w:r>
            <w:r>
              <w:rPr>
                <w:rFonts w:hint="eastAsia" w:ascii="宋体" w:hAnsi="宋体" w:eastAsia="宋体" w:cs="仿宋"/>
                <w:color w:val="auto"/>
                <w:sz w:val="21"/>
                <w:szCs w:val="21"/>
                <w:highlight w:val="none"/>
                <w:lang w:eastAsia="zh-CN"/>
              </w:rPr>
              <w:t>分</w:t>
            </w:r>
          </w:p>
        </w:tc>
      </w:tr>
      <w:tr w14:paraId="4B894E3C">
        <w:tblPrEx>
          <w:tblCellMar>
            <w:top w:w="0" w:type="dxa"/>
            <w:left w:w="108" w:type="dxa"/>
            <w:bottom w:w="0" w:type="dxa"/>
            <w:right w:w="108" w:type="dxa"/>
          </w:tblCellMar>
        </w:tblPrEx>
        <w:trPr>
          <w:trHeight w:val="1992" w:hRule="atLeast"/>
          <w:jc w:val="center"/>
        </w:trPr>
        <w:tc>
          <w:tcPr>
            <w:tcW w:w="1388" w:type="dxa"/>
            <w:vMerge w:val="continue"/>
            <w:tcBorders>
              <w:left w:val="single" w:color="auto" w:sz="4" w:space="0"/>
              <w:right w:val="single" w:color="auto" w:sz="4" w:space="0"/>
            </w:tcBorders>
            <w:noWrap w:val="0"/>
            <w:vAlign w:val="center"/>
          </w:tcPr>
          <w:p w14:paraId="369BD932">
            <w:pPr>
              <w:snapToGrid w:val="0"/>
              <w:spacing w:line="360" w:lineRule="auto"/>
              <w:jc w:val="center"/>
              <w:rPr>
                <w:rFonts w:hint="eastAsia" w:ascii="宋体" w:hAnsi="宋体" w:eastAsia="宋体" w:cs="仿宋"/>
                <w:color w:val="auto"/>
                <w:sz w:val="21"/>
                <w:szCs w:val="21"/>
                <w:highlight w:val="none"/>
              </w:rPr>
            </w:pPr>
          </w:p>
        </w:tc>
        <w:tc>
          <w:tcPr>
            <w:tcW w:w="1252" w:type="dxa"/>
            <w:tcBorders>
              <w:top w:val="single" w:color="auto" w:sz="4" w:space="0"/>
              <w:left w:val="nil"/>
              <w:bottom w:val="single" w:color="auto" w:sz="4" w:space="0"/>
              <w:right w:val="single" w:color="auto" w:sz="4" w:space="0"/>
            </w:tcBorders>
            <w:noWrap w:val="0"/>
            <w:vAlign w:val="center"/>
          </w:tcPr>
          <w:p w14:paraId="76A98AD9">
            <w:pPr>
              <w:snapToGrid w:val="0"/>
              <w:spacing w:line="360" w:lineRule="auto"/>
              <w:jc w:val="center"/>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维保计划方案</w:t>
            </w:r>
          </w:p>
        </w:tc>
        <w:tc>
          <w:tcPr>
            <w:tcW w:w="7018" w:type="dxa"/>
            <w:tcBorders>
              <w:top w:val="single" w:color="auto" w:sz="4" w:space="0"/>
              <w:left w:val="nil"/>
              <w:bottom w:val="single" w:color="auto" w:sz="4" w:space="0"/>
              <w:right w:val="single" w:color="auto" w:sz="4" w:space="0"/>
            </w:tcBorders>
            <w:noWrap w:val="0"/>
            <w:vAlign w:val="center"/>
          </w:tcPr>
          <w:p w14:paraId="04D86D73">
            <w:pPr>
              <w:snapToGrid w:val="0"/>
              <w:spacing w:line="360" w:lineRule="auto"/>
              <w:ind w:firstLine="420" w:firstLineChars="200"/>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根据采购文件要求及投标人提供的维保计划方案情况进行综合评分，方案内容须包括：①故障处理措施、②风险预警机制、③应急方案。</w:t>
            </w:r>
          </w:p>
          <w:p w14:paraId="170A9053">
            <w:pPr>
              <w:snapToGrid w:val="0"/>
              <w:spacing w:line="360" w:lineRule="auto"/>
              <w:ind w:firstLine="420" w:firstLineChars="200"/>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评委根据方案内容完整性、可行性进行评审赋分，内容齐全且符合采购人实际要求的，得6分，方案内容缺项或不符合采购人实际要求的，每一项扣2分。</w:t>
            </w:r>
          </w:p>
        </w:tc>
        <w:tc>
          <w:tcPr>
            <w:tcW w:w="1319" w:type="dxa"/>
            <w:tcBorders>
              <w:top w:val="single" w:color="auto" w:sz="4" w:space="0"/>
              <w:left w:val="nil"/>
              <w:bottom w:val="single" w:color="auto" w:sz="4" w:space="0"/>
              <w:right w:val="single" w:color="auto" w:sz="4" w:space="0"/>
            </w:tcBorders>
            <w:shd w:val="clear" w:color="auto" w:fill="auto"/>
            <w:noWrap w:val="0"/>
            <w:vAlign w:val="center"/>
          </w:tcPr>
          <w:p w14:paraId="1D9562A6">
            <w:pPr>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eastAsia="宋体" w:cs="仿宋"/>
                <w:color w:val="auto"/>
                <w:sz w:val="21"/>
                <w:szCs w:val="21"/>
                <w:highlight w:val="none"/>
              </w:rPr>
              <w:t>6</w:t>
            </w:r>
            <w:r>
              <w:rPr>
                <w:rFonts w:hint="eastAsia" w:ascii="宋体" w:hAnsi="宋体" w:eastAsia="宋体" w:cs="仿宋"/>
                <w:color w:val="auto"/>
                <w:sz w:val="21"/>
                <w:szCs w:val="21"/>
                <w:highlight w:val="none"/>
                <w:lang w:eastAsia="zh-CN"/>
              </w:rPr>
              <w:t>分</w:t>
            </w:r>
          </w:p>
        </w:tc>
      </w:tr>
      <w:tr w14:paraId="2E123A85">
        <w:tblPrEx>
          <w:tblCellMar>
            <w:top w:w="0" w:type="dxa"/>
            <w:left w:w="108" w:type="dxa"/>
            <w:bottom w:w="0" w:type="dxa"/>
            <w:right w:w="108" w:type="dxa"/>
          </w:tblCellMar>
        </w:tblPrEx>
        <w:trPr>
          <w:trHeight w:val="2086" w:hRule="atLeast"/>
          <w:jc w:val="center"/>
        </w:trPr>
        <w:tc>
          <w:tcPr>
            <w:tcW w:w="1388" w:type="dxa"/>
            <w:vMerge w:val="continue"/>
            <w:tcBorders>
              <w:left w:val="single" w:color="auto" w:sz="4" w:space="0"/>
              <w:right w:val="single" w:color="auto" w:sz="4" w:space="0"/>
            </w:tcBorders>
            <w:noWrap w:val="0"/>
            <w:vAlign w:val="center"/>
          </w:tcPr>
          <w:p w14:paraId="54A4EC0B">
            <w:pPr>
              <w:snapToGrid w:val="0"/>
              <w:spacing w:line="360" w:lineRule="auto"/>
              <w:jc w:val="left"/>
              <w:rPr>
                <w:rFonts w:hint="eastAsia" w:ascii="宋体" w:hAnsi="宋体" w:eastAsia="宋体" w:cs="仿宋"/>
                <w:color w:val="auto"/>
                <w:sz w:val="21"/>
                <w:szCs w:val="21"/>
                <w:highlight w:val="none"/>
              </w:rPr>
            </w:pPr>
          </w:p>
        </w:tc>
        <w:tc>
          <w:tcPr>
            <w:tcW w:w="1252" w:type="dxa"/>
            <w:tcBorders>
              <w:top w:val="single" w:color="auto" w:sz="4" w:space="0"/>
              <w:left w:val="nil"/>
              <w:bottom w:val="single" w:color="auto" w:sz="4" w:space="0"/>
              <w:right w:val="single" w:color="auto" w:sz="4" w:space="0"/>
            </w:tcBorders>
            <w:noWrap w:val="0"/>
            <w:vAlign w:val="center"/>
          </w:tcPr>
          <w:p w14:paraId="3CFED4F9">
            <w:pPr>
              <w:snapToGrid w:val="0"/>
              <w:spacing w:line="360" w:lineRule="auto"/>
              <w:jc w:val="center"/>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培训方案</w:t>
            </w:r>
          </w:p>
        </w:tc>
        <w:tc>
          <w:tcPr>
            <w:tcW w:w="7018" w:type="dxa"/>
            <w:tcBorders>
              <w:top w:val="single" w:color="auto" w:sz="4" w:space="0"/>
              <w:left w:val="nil"/>
              <w:bottom w:val="single" w:color="auto" w:sz="4" w:space="0"/>
              <w:right w:val="single" w:color="auto" w:sz="4" w:space="0"/>
            </w:tcBorders>
            <w:noWrap w:val="0"/>
            <w:vAlign w:val="center"/>
          </w:tcPr>
          <w:p w14:paraId="190CE489">
            <w:pPr>
              <w:snapToGrid w:val="0"/>
              <w:spacing w:line="360" w:lineRule="auto"/>
              <w:ind w:firstLine="420" w:firstLineChars="200"/>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根据采购文件要求及投标人提供的培训方案情况进行综合评分，方案内容须包括：①培训人员安排、②培训思路及内容、③培训计划安排。</w:t>
            </w:r>
          </w:p>
          <w:p w14:paraId="09BB55DD">
            <w:pPr>
              <w:snapToGrid w:val="0"/>
              <w:spacing w:line="360" w:lineRule="auto"/>
              <w:ind w:firstLine="420" w:firstLineChars="200"/>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评委根据方案内容完整性、可行性进行评审赋分，内容齐全且符合采购人实际要求的，得6分，方案内容缺项或不符合采购人实际要求的，每一项扣2分。</w:t>
            </w:r>
          </w:p>
        </w:tc>
        <w:tc>
          <w:tcPr>
            <w:tcW w:w="1319" w:type="dxa"/>
            <w:tcBorders>
              <w:top w:val="single" w:color="auto" w:sz="4" w:space="0"/>
              <w:left w:val="nil"/>
              <w:bottom w:val="single" w:color="auto" w:sz="4" w:space="0"/>
              <w:right w:val="single" w:color="auto" w:sz="4" w:space="0"/>
            </w:tcBorders>
            <w:shd w:val="clear" w:color="auto" w:fill="auto"/>
            <w:noWrap w:val="0"/>
            <w:vAlign w:val="center"/>
          </w:tcPr>
          <w:p w14:paraId="726D68EB">
            <w:pPr>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eastAsia="宋体" w:cs="仿宋"/>
                <w:color w:val="auto"/>
                <w:sz w:val="21"/>
                <w:szCs w:val="21"/>
                <w:highlight w:val="none"/>
              </w:rPr>
              <w:t>6</w:t>
            </w:r>
            <w:r>
              <w:rPr>
                <w:rFonts w:hint="eastAsia" w:ascii="宋体" w:hAnsi="宋体" w:eastAsia="宋体" w:cs="仿宋"/>
                <w:color w:val="auto"/>
                <w:sz w:val="21"/>
                <w:szCs w:val="21"/>
                <w:highlight w:val="none"/>
                <w:lang w:eastAsia="zh-CN"/>
              </w:rPr>
              <w:t>分</w:t>
            </w:r>
          </w:p>
        </w:tc>
      </w:tr>
      <w:tr w14:paraId="44FE3475">
        <w:tblPrEx>
          <w:tblCellMar>
            <w:top w:w="0" w:type="dxa"/>
            <w:left w:w="108" w:type="dxa"/>
            <w:bottom w:w="0" w:type="dxa"/>
            <w:right w:w="108" w:type="dxa"/>
          </w:tblCellMar>
        </w:tblPrEx>
        <w:trPr>
          <w:trHeight w:val="3391" w:hRule="atLeast"/>
          <w:jc w:val="center"/>
        </w:trPr>
        <w:tc>
          <w:tcPr>
            <w:tcW w:w="1388" w:type="dxa"/>
            <w:vMerge w:val="continue"/>
            <w:tcBorders>
              <w:left w:val="single" w:color="auto" w:sz="4" w:space="0"/>
              <w:bottom w:val="single" w:color="auto" w:sz="4" w:space="0"/>
              <w:right w:val="single" w:color="auto" w:sz="4" w:space="0"/>
            </w:tcBorders>
            <w:noWrap w:val="0"/>
            <w:vAlign w:val="center"/>
          </w:tcPr>
          <w:p w14:paraId="0469622A">
            <w:pPr>
              <w:snapToGrid w:val="0"/>
              <w:spacing w:line="360" w:lineRule="auto"/>
              <w:jc w:val="left"/>
              <w:rPr>
                <w:rFonts w:hint="eastAsia" w:ascii="宋体" w:hAnsi="宋体" w:eastAsia="宋体" w:cs="仿宋"/>
                <w:color w:val="auto"/>
                <w:sz w:val="21"/>
                <w:szCs w:val="21"/>
                <w:highlight w:val="none"/>
              </w:rPr>
            </w:pPr>
          </w:p>
        </w:tc>
        <w:tc>
          <w:tcPr>
            <w:tcW w:w="1252" w:type="dxa"/>
            <w:tcBorders>
              <w:top w:val="nil"/>
              <w:left w:val="nil"/>
              <w:bottom w:val="single" w:color="auto" w:sz="4" w:space="0"/>
              <w:right w:val="single" w:color="auto" w:sz="4" w:space="0"/>
            </w:tcBorders>
            <w:noWrap w:val="0"/>
            <w:vAlign w:val="center"/>
          </w:tcPr>
          <w:p w14:paraId="1B6973E6">
            <w:pPr>
              <w:snapToGrid w:val="0"/>
              <w:spacing w:line="360" w:lineRule="auto"/>
              <w:jc w:val="center"/>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线上服务</w:t>
            </w:r>
          </w:p>
        </w:tc>
        <w:tc>
          <w:tcPr>
            <w:tcW w:w="7018" w:type="dxa"/>
            <w:tcBorders>
              <w:top w:val="nil"/>
              <w:left w:val="nil"/>
              <w:bottom w:val="single" w:color="auto" w:sz="4" w:space="0"/>
              <w:right w:val="single" w:color="auto" w:sz="4" w:space="0"/>
            </w:tcBorders>
            <w:noWrap w:val="0"/>
            <w:vAlign w:val="center"/>
          </w:tcPr>
          <w:p w14:paraId="68B47E2B">
            <w:pPr>
              <w:snapToGrid w:val="0"/>
              <w:spacing w:line="360" w:lineRule="auto"/>
              <w:ind w:firstLine="420" w:firstLineChars="200"/>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投标人基于本项目的维保服务，能够提供电脑端（如网页端、PC客户端等）线上报修及维保服务管理系统的，得4分；</w:t>
            </w:r>
          </w:p>
          <w:p w14:paraId="59B69E80">
            <w:pPr>
              <w:snapToGrid w:val="0"/>
              <w:spacing w:line="360" w:lineRule="auto"/>
              <w:ind w:firstLine="420" w:firstLineChars="200"/>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投标人基于本项目的维保服务，能够提供移动端（如APP、公众号、小程序等）线上报修与维保服务管理系统的，得4分。</w:t>
            </w:r>
          </w:p>
          <w:p w14:paraId="021A442A">
            <w:pPr>
              <w:snapToGrid w:val="0"/>
              <w:spacing w:line="360" w:lineRule="auto"/>
              <w:ind w:firstLine="420" w:firstLineChars="200"/>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注：①投标人须提供上述管理系统的截图证明材料，包括电脑端与移动端等，且须同时附上网页链接地址（电脑端）、二维码（移动端）等证明材料。</w:t>
            </w:r>
          </w:p>
          <w:p w14:paraId="165DE020">
            <w:pPr>
              <w:snapToGrid w:val="0"/>
              <w:spacing w:line="360" w:lineRule="auto"/>
              <w:ind w:firstLine="420" w:firstLineChars="200"/>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rPr>
              <w:t>②截图内容应能体现投标人真实维保项目信息，包括服务用户的项目信息、用户报修与维修记录等，否则按不得分处理。</w:t>
            </w:r>
          </w:p>
        </w:tc>
        <w:tc>
          <w:tcPr>
            <w:tcW w:w="1319" w:type="dxa"/>
            <w:tcBorders>
              <w:top w:val="nil"/>
              <w:left w:val="nil"/>
              <w:bottom w:val="single" w:color="auto" w:sz="4" w:space="0"/>
              <w:right w:val="single" w:color="auto" w:sz="4" w:space="0"/>
            </w:tcBorders>
            <w:shd w:val="clear" w:color="auto" w:fill="auto"/>
            <w:noWrap w:val="0"/>
            <w:vAlign w:val="center"/>
          </w:tcPr>
          <w:p w14:paraId="0BCC4B94">
            <w:pPr>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eastAsia="宋体" w:cs="仿宋"/>
                <w:color w:val="auto"/>
                <w:sz w:val="21"/>
                <w:szCs w:val="21"/>
                <w:highlight w:val="none"/>
              </w:rPr>
              <w:t>8</w:t>
            </w:r>
            <w:r>
              <w:rPr>
                <w:rFonts w:hint="eastAsia" w:ascii="宋体" w:hAnsi="宋体" w:eastAsia="宋体" w:cs="仿宋"/>
                <w:color w:val="auto"/>
                <w:sz w:val="21"/>
                <w:szCs w:val="21"/>
                <w:highlight w:val="none"/>
                <w:lang w:eastAsia="zh-CN"/>
              </w:rPr>
              <w:t>分</w:t>
            </w:r>
          </w:p>
        </w:tc>
      </w:tr>
      <w:tr w14:paraId="0FE7DE76">
        <w:tblPrEx>
          <w:tblCellMar>
            <w:top w:w="0" w:type="dxa"/>
            <w:left w:w="108" w:type="dxa"/>
            <w:bottom w:w="0" w:type="dxa"/>
            <w:right w:w="108" w:type="dxa"/>
          </w:tblCellMar>
        </w:tblPrEx>
        <w:trPr>
          <w:trHeight w:val="90" w:hRule="atLeast"/>
          <w:jc w:val="center"/>
        </w:trPr>
        <w:tc>
          <w:tcPr>
            <w:tcW w:w="13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E10352">
            <w:pPr>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价格分</w:t>
            </w:r>
          </w:p>
          <w:p w14:paraId="12B4A005">
            <w:pPr>
              <w:spacing w:line="400" w:lineRule="exact"/>
              <w:jc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30分</w:t>
            </w:r>
            <w:r>
              <w:rPr>
                <w:rFonts w:hint="eastAsia" w:ascii="宋体" w:hAnsi="宋体" w:eastAsia="宋体" w:cs="宋体"/>
                <w:color w:val="auto"/>
                <w:sz w:val="21"/>
                <w:szCs w:val="21"/>
                <w:lang w:eastAsia="zh-CN"/>
              </w:rPr>
              <w:t>）</w:t>
            </w:r>
          </w:p>
        </w:tc>
        <w:tc>
          <w:tcPr>
            <w:tcW w:w="9589" w:type="dxa"/>
            <w:gridSpan w:val="3"/>
            <w:tcBorders>
              <w:top w:val="single" w:color="auto" w:sz="4" w:space="0"/>
              <w:left w:val="nil"/>
              <w:bottom w:val="single" w:color="auto" w:sz="4" w:space="0"/>
              <w:right w:val="single" w:color="auto" w:sz="4" w:space="0"/>
            </w:tcBorders>
            <w:shd w:val="clear" w:color="auto" w:fill="auto"/>
            <w:noWrap w:val="0"/>
            <w:vAlign w:val="center"/>
          </w:tcPr>
          <w:p w14:paraId="7A9E4A46">
            <w:pPr>
              <w:widowControl/>
              <w:jc w:val="left"/>
              <w:textAlignment w:val="top"/>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价格分统一采用低价优先法，即满足磋商文件要求且最后报价最低的供应商的价格为磋商基准价，其价格分为满分</w:t>
            </w:r>
            <w:r>
              <w:rPr>
                <w:rFonts w:hint="eastAsia" w:cs="Times New Roman"/>
                <w:color w:val="auto"/>
                <w:sz w:val="21"/>
                <w:szCs w:val="21"/>
                <w:lang w:val="en-US" w:eastAsia="zh-CN"/>
              </w:rPr>
              <w:t>30</w:t>
            </w:r>
            <w:r>
              <w:rPr>
                <w:rFonts w:hint="eastAsia" w:ascii="Times New Roman" w:hAnsi="Times New Roman" w:eastAsia="宋体" w:cs="Times New Roman"/>
                <w:color w:val="auto"/>
                <w:sz w:val="21"/>
                <w:szCs w:val="21"/>
              </w:rPr>
              <w:t>分。其他供应商的价格分统一按照下列公式计算：</w:t>
            </w:r>
          </w:p>
          <w:p w14:paraId="0EEC55DD">
            <w:pPr>
              <w:snapToGrid w:val="0"/>
              <w:spacing w:line="360" w:lineRule="auto"/>
              <w:jc w:val="center"/>
              <w:rPr>
                <w:rFonts w:hint="eastAsia" w:ascii="宋体" w:hAnsi="宋体" w:eastAsia="宋体" w:cs="仿宋"/>
                <w:color w:val="auto"/>
                <w:sz w:val="21"/>
                <w:szCs w:val="21"/>
                <w:highlight w:val="none"/>
                <w:lang w:val="en-US" w:eastAsia="zh-CN"/>
              </w:rPr>
            </w:pPr>
            <w:r>
              <w:rPr>
                <w:rFonts w:hint="eastAsia" w:ascii="Times New Roman" w:hAnsi="Times New Roman" w:eastAsia="宋体" w:cs="Times New Roman"/>
                <w:color w:val="auto"/>
                <w:sz w:val="21"/>
                <w:szCs w:val="21"/>
              </w:rPr>
              <w:t>磋商报价得分＝（磋商基准价/最后磋商报价）×</w:t>
            </w:r>
            <w:r>
              <w:rPr>
                <w:rFonts w:hint="eastAsia" w:cs="Times New Roman"/>
                <w:color w:val="auto"/>
                <w:sz w:val="21"/>
                <w:szCs w:val="21"/>
                <w:lang w:val="en-US" w:eastAsia="zh-CN"/>
              </w:rPr>
              <w:t>30</w:t>
            </w:r>
            <w:r>
              <w:rPr>
                <w:rFonts w:hint="eastAsia" w:ascii="Times New Roman" w:hAnsi="Times New Roman" w:eastAsia="宋体" w:cs="Times New Roman"/>
                <w:color w:val="auto"/>
                <w:sz w:val="21"/>
                <w:szCs w:val="21"/>
              </w:rPr>
              <w:t>％×100</w:t>
            </w:r>
          </w:p>
        </w:tc>
      </w:tr>
    </w:tbl>
    <w:p w14:paraId="4C4B15BA">
      <w:pPr>
        <w:pStyle w:val="14"/>
        <w:keepNext w:val="0"/>
        <w:keepLines w:val="0"/>
        <w:pageBreakBefore w:val="0"/>
        <w:widowControl w:val="0"/>
        <w:kinsoku/>
        <w:wordWrap/>
        <w:overflowPunct/>
        <w:topLinePunct w:val="0"/>
        <w:autoSpaceDE/>
        <w:autoSpaceDN/>
        <w:bidi w:val="0"/>
        <w:adjustRightInd/>
        <w:snapToGrid/>
        <w:spacing w:before="157" w:beforeLines="50" w:after="0"/>
        <w:ind w:left="0" w:leftChars="0" w:firstLine="0" w:firstLineChars="0"/>
        <w:textAlignment w:val="auto"/>
        <w:rPr>
          <w:rFonts w:hint="eastAsia"/>
          <w:color w:val="auto"/>
          <w:highlight w:val="none"/>
          <w:lang w:val="en-US" w:eastAsia="zh-CN"/>
        </w:rPr>
      </w:pPr>
      <w:r>
        <w:rPr>
          <w:rFonts w:hint="eastAsia"/>
          <w:color w:val="auto"/>
          <w:highlight w:val="none"/>
          <w:lang w:val="en-US" w:eastAsia="zh-CN"/>
        </w:rPr>
        <w:t>3.3分值汇总</w:t>
      </w:r>
    </w:p>
    <w:p w14:paraId="6A486990">
      <w:pPr>
        <w:pStyle w:val="14"/>
        <w:ind w:left="0" w:leftChars="0" w:firstLine="0" w:firstLineChars="0"/>
        <w:rPr>
          <w:rFonts w:hint="eastAsia"/>
          <w:color w:val="auto"/>
          <w:highlight w:val="none"/>
          <w:lang w:val="en-US" w:eastAsia="zh-CN"/>
        </w:rPr>
      </w:pPr>
      <w:r>
        <w:rPr>
          <w:rFonts w:hint="eastAsia"/>
          <w:color w:val="auto"/>
          <w:highlight w:val="none"/>
          <w:lang w:val="en-US" w:eastAsia="zh-CN"/>
        </w:rPr>
        <w:t>（1）磋商小组各成员应当独立对每个有效响应的文件进行评价、打分，然后汇总每个供应商每项评分因素的得分，再取各位评委评分之平均值，四舍五入保留至小数点后两位数，得到该供应商的技术资信分。</w:t>
      </w:r>
    </w:p>
    <w:p w14:paraId="4F07A0B1">
      <w:pPr>
        <w:pStyle w:val="14"/>
        <w:ind w:left="0" w:leftChars="0" w:firstLine="0" w:firstLineChars="0"/>
        <w:rPr>
          <w:rFonts w:hint="eastAsia"/>
          <w:color w:val="auto"/>
          <w:highlight w:val="none"/>
          <w:lang w:val="en-US" w:eastAsia="zh-CN"/>
        </w:rPr>
      </w:pPr>
      <w:r>
        <w:rPr>
          <w:rFonts w:hint="eastAsia"/>
          <w:color w:val="auto"/>
          <w:highlight w:val="none"/>
          <w:lang w:val="en-US" w:eastAsia="zh-CN"/>
        </w:rPr>
        <w:t>（2）将每个供应商的技术资信分加上根据上述标准计算出的价格分，即为该供应商的综合总得分。</w:t>
      </w:r>
    </w:p>
    <w:p w14:paraId="2114B15D">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bookmarkStart w:id="54" w:name="_Toc54941341"/>
      <w:bookmarkStart w:id="55" w:name="_Toc8981"/>
      <w:bookmarkStart w:id="56" w:name="_Toc1812"/>
      <w:bookmarkStart w:id="57" w:name="_Toc439316880"/>
      <w:r>
        <w:rPr>
          <w:rFonts w:hint="eastAsia" w:ascii="宋体" w:hAnsi="宋体" w:eastAsia="宋体" w:cs="宋体"/>
          <w:b/>
          <w:bCs/>
          <w:color w:val="auto"/>
          <w:kern w:val="2"/>
          <w:sz w:val="36"/>
          <w:szCs w:val="36"/>
          <w:highlight w:val="none"/>
          <w:lang w:val="en-US" w:eastAsia="zh-CN"/>
        </w:rPr>
        <w:t>第五章  合 同</w:t>
      </w:r>
    </w:p>
    <w:p w14:paraId="163075B1">
      <w:pPr>
        <w:pStyle w:val="18"/>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57002AE6">
      <w:pPr>
        <w:pStyle w:val="18"/>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0E4CF258">
      <w:pPr>
        <w:pStyle w:val="18"/>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610ED54E">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54FE513D">
      <w:pPr>
        <w:pStyle w:val="18"/>
        <w:rPr>
          <w:rFonts w:hint="eastAsia" w:ascii="宋体" w:hAnsi="宋体" w:eastAsia="宋体" w:cs="宋体"/>
          <w:b/>
          <w:bCs/>
          <w:spacing w:val="-20"/>
          <w:kern w:val="44"/>
          <w:sz w:val="24"/>
          <w:szCs w:val="24"/>
          <w:highlight w:val="none"/>
        </w:rPr>
      </w:pPr>
    </w:p>
    <w:p w14:paraId="307D03F5">
      <w:pPr>
        <w:pStyle w:val="18"/>
        <w:rPr>
          <w:rFonts w:hint="eastAsia" w:ascii="宋体" w:hAnsi="宋体" w:eastAsia="宋体" w:cs="宋体"/>
          <w:b/>
          <w:bCs/>
          <w:spacing w:val="-20"/>
          <w:kern w:val="44"/>
          <w:sz w:val="24"/>
          <w:szCs w:val="24"/>
          <w:highlight w:val="none"/>
        </w:rPr>
      </w:pPr>
    </w:p>
    <w:p w14:paraId="361D8C27">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718C8913">
      <w:pPr>
        <w:pageBreakBefore w:val="0"/>
        <w:kinsoku/>
        <w:wordWrap/>
        <w:overflowPunct/>
        <w:topLinePunct w:val="0"/>
        <w:bidi w:val="0"/>
        <w:spacing w:line="360" w:lineRule="auto"/>
        <w:jc w:val="both"/>
        <w:textAlignment w:val="auto"/>
        <w:rPr>
          <w:rFonts w:hint="eastAsia" w:ascii="宋体" w:hAnsi="宋体" w:eastAsia="宋体" w:cs="宋体"/>
          <w:kern w:val="0"/>
          <w:sz w:val="24"/>
          <w:szCs w:val="24"/>
          <w:highlight w:val="none"/>
        </w:rPr>
      </w:pPr>
    </w:p>
    <w:p w14:paraId="390C8467">
      <w:pPr>
        <w:pageBreakBefore w:val="0"/>
        <w:kinsoku/>
        <w:wordWrap/>
        <w:overflowPunct/>
        <w:topLinePunct w:val="0"/>
        <w:bidi w:val="0"/>
        <w:spacing w:line="360" w:lineRule="auto"/>
        <w:jc w:val="both"/>
        <w:textAlignment w:val="auto"/>
        <w:rPr>
          <w:rFonts w:hint="eastAsia" w:ascii="宋体" w:hAnsi="宋体" w:eastAsia="宋体" w:cs="宋体"/>
          <w:kern w:val="0"/>
          <w:sz w:val="24"/>
          <w:szCs w:val="24"/>
          <w:highlight w:val="none"/>
        </w:rPr>
      </w:pPr>
    </w:p>
    <w:p w14:paraId="01A50B0F">
      <w:pPr>
        <w:pageBreakBefore w:val="0"/>
        <w:kinsoku/>
        <w:wordWrap/>
        <w:overflowPunct/>
        <w:topLinePunct w:val="0"/>
        <w:bidi w:val="0"/>
        <w:spacing w:line="360" w:lineRule="auto"/>
        <w:jc w:val="both"/>
        <w:textAlignment w:val="auto"/>
        <w:rPr>
          <w:rFonts w:hint="eastAsia" w:cs="Times New Roman" w:asciiTheme="minorEastAsia" w:hAnsiTheme="minorEastAsia" w:eastAsiaTheme="minorEastAsia"/>
          <w:i/>
          <w:iCs/>
          <w:color w:val="000000" w:themeColor="text1"/>
          <w:sz w:val="24"/>
          <w:szCs w:val="24"/>
          <w:highlight w:val="none"/>
          <w14:textFill>
            <w14:solidFill>
              <w14:schemeClr w14:val="tx1"/>
            </w14:solidFill>
          </w14:textFill>
        </w:rPr>
      </w:pPr>
      <w:r>
        <w:rPr>
          <w:rFonts w:hint="eastAsia" w:ascii="宋体" w:hAnsi="宋体" w:eastAsia="宋体" w:cs="宋体"/>
          <w:kern w:val="0"/>
          <w:sz w:val="24"/>
          <w:szCs w:val="24"/>
          <w:highlight w:val="none"/>
        </w:rPr>
        <w:t>项目名称：</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0A187E39">
      <w:pPr>
        <w:pageBreakBefore w:val="0"/>
        <w:kinsoku/>
        <w:wordWrap/>
        <w:overflowPunct/>
        <w:topLinePunct w:val="0"/>
        <w:bidi w:val="0"/>
        <w:spacing w:line="360" w:lineRule="auto"/>
        <w:ind w:left="420" w:leftChars="200"/>
        <w:jc w:val="both"/>
        <w:textAlignment w:val="auto"/>
        <w:rPr>
          <w:rFonts w:hint="eastAsia" w:ascii="宋体" w:hAnsi="宋体" w:eastAsia="宋体" w:cs="宋体"/>
          <w:sz w:val="24"/>
          <w:szCs w:val="24"/>
          <w:highlight w:val="none"/>
        </w:rPr>
      </w:pPr>
    </w:p>
    <w:p w14:paraId="5BF3BA24">
      <w:pPr>
        <w:pageBreakBefore w:val="0"/>
        <w:kinsoku/>
        <w:wordWrap/>
        <w:overflowPunct/>
        <w:topLinePunct w:val="0"/>
        <w:bidi w:val="0"/>
        <w:spacing w:line="360" w:lineRule="auto"/>
        <w:jc w:val="both"/>
        <w:textAlignment w:val="auto"/>
        <w:rPr>
          <w:rFonts w:hint="eastAsia"/>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56F0F531">
      <w:pPr>
        <w:pageBreakBefore w:val="0"/>
        <w:kinsoku/>
        <w:wordWrap/>
        <w:overflowPunct/>
        <w:topLinePunct w:val="0"/>
        <w:bidi w:val="0"/>
        <w:spacing w:line="360" w:lineRule="auto"/>
        <w:jc w:val="both"/>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16598B53">
      <w:pPr>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甲方（采购人）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7CF21033">
      <w:pPr>
        <w:pageBreakBefore w:val="0"/>
        <w:kinsoku/>
        <w:wordWrap/>
        <w:overflowPunct/>
        <w:topLinePunct w:val="0"/>
        <w:bidi w:val="0"/>
        <w:spacing w:line="360" w:lineRule="auto"/>
        <w:ind w:left="420" w:leftChars="200"/>
        <w:jc w:val="both"/>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095CDD99">
      <w:pPr>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u w:val="singl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乙方（</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成交供应商</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5F7C625B">
      <w:pPr>
        <w:pageBreakBefore w:val="0"/>
        <w:kinsoku/>
        <w:wordWrap/>
        <w:overflowPunct/>
        <w:topLinePunct w:val="0"/>
        <w:bidi w:val="0"/>
        <w:spacing w:line="360" w:lineRule="auto"/>
        <w:ind w:left="420" w:leftChars="200"/>
        <w:jc w:val="both"/>
        <w:textAlignment w:val="auto"/>
        <w:rPr>
          <w:rFonts w:hint="eastAsia" w:ascii="宋体" w:hAnsi="宋体" w:eastAsia="宋体" w:cs="宋体"/>
          <w:sz w:val="24"/>
          <w:szCs w:val="24"/>
          <w:highlight w:val="none"/>
        </w:rPr>
      </w:pPr>
    </w:p>
    <w:p w14:paraId="6A6BE150">
      <w:pPr>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lang w:val="en-US" w:eastAsia="zh-CN"/>
        </w:r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sz w:val="24"/>
          <w:szCs w:val="24"/>
          <w:highlight w:val="none"/>
        </w:rPr>
        <w:t>签订时间：</w:t>
      </w:r>
      <w:r>
        <w:rPr>
          <w:rFonts w:hint="eastAsia" w:ascii="宋体" w:hAnsi="宋体" w:eastAsia="宋体"/>
          <w:sz w:val="24"/>
          <w:highlight w:val="none"/>
          <w:u w:val="single"/>
        </w:rPr>
        <w:t xml:space="preserve">              </w:t>
      </w:r>
      <w:r>
        <w:rPr>
          <w:rFonts w:hint="eastAsia" w:ascii="宋体" w:hAnsi="宋体" w:eastAsia="宋体"/>
          <w:sz w:val="24"/>
          <w:highlight w:val="none"/>
        </w:rPr>
        <w:t>年</w:t>
      </w:r>
      <w:r>
        <w:rPr>
          <w:rFonts w:hint="eastAsia" w:ascii="宋体" w:hAnsi="宋体" w:eastAsia="宋体"/>
          <w:sz w:val="24"/>
          <w:highlight w:val="none"/>
          <w:u w:val="single"/>
        </w:rPr>
        <w:t xml:space="preserve">       </w:t>
      </w:r>
      <w:r>
        <w:rPr>
          <w:rFonts w:hint="eastAsia" w:ascii="宋体" w:hAnsi="宋体" w:eastAsia="宋体"/>
          <w:sz w:val="24"/>
          <w:highlight w:val="none"/>
        </w:rPr>
        <w:t>月</w:t>
      </w:r>
      <w:r>
        <w:rPr>
          <w:rFonts w:hint="eastAsia" w:ascii="宋体" w:hAnsi="宋体" w:eastAsia="宋体"/>
          <w:sz w:val="24"/>
          <w:highlight w:val="none"/>
          <w:u w:val="single"/>
        </w:rPr>
        <w:t xml:space="preserve">      </w:t>
      </w:r>
      <w:r>
        <w:rPr>
          <w:rFonts w:hint="eastAsia" w:ascii="宋体" w:hAnsi="宋体" w:eastAsia="宋体"/>
          <w:sz w:val="24"/>
          <w:highlight w:val="none"/>
          <w:u w:val="none"/>
          <w:lang w:val="en-US" w:eastAsia="zh-CN"/>
        </w:rPr>
        <w:t>日</w:t>
      </w:r>
    </w:p>
    <w:p w14:paraId="1D6CA193">
      <w:pPr>
        <w:spacing w:line="360" w:lineRule="auto"/>
        <w:ind w:firstLine="480" w:firstLineChars="200"/>
        <w:rPr>
          <w:rFonts w:ascii="宋体" w:hAnsi="宋体" w:eastAsia="宋体"/>
          <w:sz w:val="24"/>
          <w:highlight w:val="none"/>
        </w:rPr>
      </w:pP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以下简称：甲方</w:t>
      </w:r>
      <w:r>
        <w:rPr>
          <w:rFonts w:hint="eastAsia" w:ascii="宋体" w:hAnsi="宋体" w:eastAsia="宋体"/>
          <w:sz w:val="24"/>
          <w:highlight w:val="none"/>
        </w:rPr>
        <w:t>）通过</w:t>
      </w:r>
      <w:r>
        <w:rPr>
          <w:rFonts w:hint="eastAsia" w:ascii="宋体" w:hAnsi="宋体" w:eastAsia="宋体"/>
          <w:sz w:val="24"/>
          <w:highlight w:val="none"/>
          <w:u w:val="single"/>
        </w:rPr>
        <w:t xml:space="preserve">               </w:t>
      </w:r>
      <w:r>
        <w:rPr>
          <w:rFonts w:hint="eastAsia" w:ascii="宋体" w:hAnsi="宋体" w:eastAsia="宋体"/>
          <w:sz w:val="24"/>
          <w:highlight w:val="none"/>
        </w:rPr>
        <w:t>组织的</w:t>
      </w:r>
      <w:r>
        <w:rPr>
          <w:rFonts w:hint="eastAsia" w:ascii="宋体" w:hAnsi="宋体" w:eastAsia="宋体"/>
          <w:sz w:val="24"/>
          <w:highlight w:val="none"/>
          <w:u w:val="single"/>
        </w:rPr>
        <w:t>竞争性磋商</w:t>
      </w:r>
      <w:r>
        <w:rPr>
          <w:rFonts w:hint="eastAsia" w:ascii="宋体" w:hAnsi="宋体" w:eastAsia="宋体"/>
          <w:sz w:val="24"/>
          <w:highlight w:val="none"/>
        </w:rPr>
        <w:t>方式采购活动，经</w:t>
      </w:r>
      <w:r>
        <w:rPr>
          <w:rFonts w:hint="eastAsia" w:ascii="宋体" w:hAnsi="宋体" w:eastAsia="宋体"/>
          <w:sz w:val="24"/>
          <w:highlight w:val="none"/>
          <w:u w:val="single"/>
        </w:rPr>
        <w:t>磋商小组</w:t>
      </w:r>
      <w:r>
        <w:rPr>
          <w:rFonts w:hint="eastAsia" w:ascii="宋体" w:hAnsi="宋体" w:eastAsia="宋体"/>
          <w:sz w:val="24"/>
          <w:highlight w:val="none"/>
        </w:rPr>
        <w:t>评定，</w:t>
      </w: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以下简称：乙方</w:t>
      </w:r>
      <w:r>
        <w:rPr>
          <w:rFonts w:hint="eastAsia" w:ascii="宋体" w:hAnsi="宋体" w:eastAsia="宋体"/>
          <w:sz w:val="24"/>
          <w:highlight w:val="none"/>
        </w:rPr>
        <w:t>）为本项目成交供应商，现按照采购文件确定的事项签订本合同。</w:t>
      </w:r>
    </w:p>
    <w:p w14:paraId="0903C70C">
      <w:pPr>
        <w:spacing w:line="360" w:lineRule="auto"/>
        <w:ind w:firstLine="435"/>
        <w:rPr>
          <w:rFonts w:ascii="宋体" w:hAnsi="宋体" w:eastAsia="宋体"/>
          <w:sz w:val="24"/>
          <w:highlight w:val="none"/>
          <w:lang w:val="zh-CN"/>
        </w:rPr>
      </w:pPr>
      <w:r>
        <w:rPr>
          <w:rFonts w:hint="eastAsia" w:ascii="宋体" w:hAnsi="宋体" w:eastAsia="宋体"/>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1BAFD38E">
      <w:pPr>
        <w:spacing w:line="360" w:lineRule="auto"/>
        <w:ind w:firstLine="437"/>
        <w:outlineLvl w:val="2"/>
        <w:rPr>
          <w:rFonts w:ascii="宋体" w:hAnsi="宋体" w:eastAsia="宋体"/>
          <w:b/>
          <w:bCs/>
          <w:sz w:val="24"/>
          <w:highlight w:val="none"/>
          <w:lang w:val="zh-CN"/>
        </w:rPr>
      </w:pPr>
      <w:bookmarkStart w:id="58" w:name="_Toc3029"/>
      <w:bookmarkStart w:id="59" w:name="_Toc24059"/>
      <w:bookmarkStart w:id="60" w:name="_Toc2232"/>
      <w:r>
        <w:rPr>
          <w:rFonts w:hint="eastAsia" w:ascii="宋体" w:hAnsi="宋体" w:eastAsia="宋体"/>
          <w:b/>
          <w:bCs/>
          <w:sz w:val="24"/>
          <w:highlight w:val="none"/>
          <w:lang w:val="zh-CN"/>
        </w:rPr>
        <w:t>1</w:t>
      </w:r>
      <w:r>
        <w:rPr>
          <w:rFonts w:ascii="宋体" w:hAnsi="宋体" w:eastAsia="宋体"/>
          <w:b/>
          <w:bCs/>
          <w:sz w:val="24"/>
          <w:highlight w:val="none"/>
          <w:lang w:val="zh-CN"/>
        </w:rPr>
        <w:t xml:space="preserve"> </w:t>
      </w:r>
      <w:r>
        <w:rPr>
          <w:rFonts w:hint="eastAsia" w:ascii="宋体" w:hAnsi="宋体" w:eastAsia="宋体"/>
          <w:b/>
          <w:bCs/>
          <w:sz w:val="24"/>
          <w:highlight w:val="none"/>
          <w:lang w:val="zh-CN"/>
        </w:rPr>
        <w:t>合同组成部分</w:t>
      </w:r>
      <w:bookmarkEnd w:id="58"/>
      <w:bookmarkEnd w:id="59"/>
      <w:bookmarkEnd w:id="60"/>
    </w:p>
    <w:p w14:paraId="0A86F7A5">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6BE01506">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1.1本合同及其补充合同、变更协议；</w:t>
      </w:r>
    </w:p>
    <w:p w14:paraId="45414318">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1.2成交通知书；</w:t>
      </w:r>
    </w:p>
    <w:p w14:paraId="7E58A307">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1.3响应文件（含澄清或者说明文件）；</w:t>
      </w:r>
    </w:p>
    <w:p w14:paraId="360EB513">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1.4磋商文件（含澄清或者修改文件）；</w:t>
      </w:r>
    </w:p>
    <w:p w14:paraId="519C6529">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1.5其他相关采购文件。</w:t>
      </w:r>
    </w:p>
    <w:p w14:paraId="5A12C8EF">
      <w:pPr>
        <w:spacing w:line="360" w:lineRule="auto"/>
        <w:ind w:firstLine="437"/>
        <w:outlineLvl w:val="2"/>
        <w:rPr>
          <w:rFonts w:ascii="宋体" w:hAnsi="宋体" w:eastAsia="宋体"/>
          <w:b/>
          <w:bCs/>
          <w:sz w:val="24"/>
          <w:highlight w:val="none"/>
          <w:lang w:val="zh-CN"/>
        </w:rPr>
      </w:pPr>
      <w:bookmarkStart w:id="61" w:name="_Toc2918"/>
      <w:bookmarkStart w:id="62" w:name="_Toc18585"/>
      <w:bookmarkStart w:id="63" w:name="_Toc22185"/>
      <w:bookmarkStart w:id="64" w:name="_Toc6311"/>
      <w:bookmarkStart w:id="65" w:name="_Toc6773"/>
      <w:r>
        <w:rPr>
          <w:rFonts w:hint="eastAsia" w:ascii="宋体" w:hAnsi="宋体" w:eastAsia="宋体"/>
          <w:b/>
          <w:bCs/>
          <w:sz w:val="24"/>
          <w:highlight w:val="none"/>
          <w:lang w:val="zh-CN"/>
        </w:rPr>
        <w:t xml:space="preserve">2 </w:t>
      </w:r>
      <w:bookmarkEnd w:id="61"/>
      <w:bookmarkEnd w:id="62"/>
      <w:bookmarkEnd w:id="63"/>
      <w:bookmarkEnd w:id="64"/>
      <w:bookmarkEnd w:id="65"/>
      <w:r>
        <w:rPr>
          <w:rFonts w:hint="eastAsia" w:ascii="宋体" w:hAnsi="宋体" w:eastAsia="宋体"/>
          <w:b/>
          <w:bCs/>
          <w:sz w:val="24"/>
          <w:highlight w:val="none"/>
          <w:lang w:val="zh-CN"/>
        </w:rPr>
        <w:t>服务</w:t>
      </w:r>
    </w:p>
    <w:p w14:paraId="3B0C6DB3">
      <w:pPr>
        <w:spacing w:line="360" w:lineRule="auto"/>
        <w:ind w:firstLine="435"/>
        <w:rPr>
          <w:rFonts w:ascii="宋体" w:hAnsi="宋体" w:eastAsia="宋体"/>
          <w:sz w:val="24"/>
          <w:highlight w:val="none"/>
          <w:u w:val="single"/>
        </w:rPr>
      </w:pPr>
      <w:r>
        <w:rPr>
          <w:rFonts w:hint="eastAsia" w:ascii="宋体" w:hAnsi="宋体" w:eastAsia="宋体"/>
          <w:sz w:val="24"/>
          <w:highlight w:val="none"/>
        </w:rPr>
        <w:t>2.1服务</w:t>
      </w:r>
      <w:r>
        <w:rPr>
          <w:rFonts w:ascii="宋体" w:hAnsi="宋体" w:eastAsia="宋体"/>
          <w:sz w:val="24"/>
          <w:highlight w:val="none"/>
        </w:rPr>
        <w:t>名称：</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313F6109">
      <w:pPr>
        <w:spacing w:line="360" w:lineRule="auto"/>
        <w:ind w:firstLine="435"/>
        <w:rPr>
          <w:rFonts w:ascii="宋体" w:hAnsi="宋体" w:eastAsia="宋体"/>
          <w:sz w:val="24"/>
          <w:highlight w:val="none"/>
          <w:u w:val="single"/>
        </w:rPr>
      </w:pPr>
      <w:r>
        <w:rPr>
          <w:rFonts w:hint="eastAsia" w:ascii="宋体" w:hAnsi="宋体" w:eastAsia="宋体"/>
          <w:sz w:val="24"/>
          <w:highlight w:val="none"/>
        </w:rPr>
        <w:t>2.2服务内容</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567D7AF2">
      <w:pPr>
        <w:spacing w:line="360" w:lineRule="auto"/>
        <w:ind w:firstLine="435"/>
        <w:rPr>
          <w:rFonts w:ascii="宋体" w:hAnsi="宋体" w:eastAsia="宋体"/>
          <w:sz w:val="24"/>
          <w:highlight w:val="none"/>
        </w:rPr>
      </w:pPr>
      <w:r>
        <w:rPr>
          <w:rFonts w:hint="eastAsia" w:ascii="宋体" w:hAnsi="宋体" w:eastAsia="宋体"/>
          <w:sz w:val="24"/>
          <w:highlight w:val="none"/>
        </w:rPr>
        <w:t>2.3服务质量：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682EBAE7">
      <w:pPr>
        <w:spacing w:line="360" w:lineRule="auto"/>
        <w:ind w:firstLine="437"/>
        <w:outlineLvl w:val="2"/>
        <w:rPr>
          <w:rFonts w:ascii="宋体" w:hAnsi="宋体" w:eastAsia="宋体"/>
          <w:b/>
          <w:bCs/>
          <w:sz w:val="24"/>
          <w:highlight w:val="none"/>
          <w:lang w:val="zh-CN"/>
        </w:rPr>
      </w:pPr>
      <w:bookmarkStart w:id="66" w:name="_Toc21551"/>
      <w:bookmarkStart w:id="67" w:name="_Toc23292"/>
      <w:bookmarkStart w:id="68" w:name="_Toc21631"/>
      <w:r>
        <w:rPr>
          <w:rFonts w:ascii="宋体" w:hAnsi="宋体" w:eastAsia="宋体"/>
          <w:b/>
          <w:bCs/>
          <w:sz w:val="24"/>
          <w:highlight w:val="none"/>
          <w:lang w:val="zh-CN"/>
        </w:rPr>
        <w:t xml:space="preserve">3 </w:t>
      </w:r>
      <w:r>
        <w:rPr>
          <w:rFonts w:hint="eastAsia" w:ascii="宋体" w:hAnsi="宋体" w:eastAsia="宋体"/>
          <w:b/>
          <w:bCs/>
          <w:sz w:val="24"/>
          <w:highlight w:val="none"/>
          <w:lang w:val="zh-CN"/>
        </w:rPr>
        <w:t>价款</w:t>
      </w:r>
      <w:bookmarkEnd w:id="66"/>
      <w:bookmarkEnd w:id="67"/>
      <w:bookmarkEnd w:id="68"/>
    </w:p>
    <w:p w14:paraId="5837E2CD">
      <w:pPr>
        <w:spacing w:line="360" w:lineRule="auto"/>
        <w:ind w:firstLine="435"/>
        <w:rPr>
          <w:rFonts w:ascii="宋体" w:hAnsi="宋体" w:eastAsia="宋体"/>
          <w:sz w:val="24"/>
          <w:highlight w:val="none"/>
        </w:rPr>
      </w:pPr>
      <w:r>
        <w:rPr>
          <w:rFonts w:ascii="宋体" w:hAnsi="宋体" w:eastAsia="宋体"/>
          <w:sz w:val="24"/>
          <w:highlight w:val="none"/>
        </w:rPr>
        <w:t>本合同总价为</w:t>
      </w:r>
      <w:r>
        <w:rPr>
          <w:rFonts w:hint="eastAsia" w:ascii="宋体" w:hAnsi="宋体" w:eastAsia="宋体"/>
          <w:sz w:val="24"/>
          <w:highlight w:val="none"/>
        </w:rPr>
        <w:t>：￥</w:t>
      </w:r>
      <w:r>
        <w:rPr>
          <w:rFonts w:hint="eastAsia" w:ascii="宋体" w:hAnsi="宋体" w:eastAsia="宋体"/>
          <w:sz w:val="24"/>
          <w:highlight w:val="none"/>
          <w:u w:val="single"/>
        </w:rPr>
        <w:t xml:space="preserve">           </w:t>
      </w:r>
      <w:r>
        <w:rPr>
          <w:rFonts w:ascii="宋体" w:hAnsi="宋体" w:eastAsia="宋体"/>
          <w:sz w:val="24"/>
          <w:highlight w:val="none"/>
        </w:rPr>
        <w:t>元</w:t>
      </w:r>
      <w:r>
        <w:rPr>
          <w:rFonts w:hint="eastAsia" w:ascii="宋体" w:hAnsi="宋体" w:eastAsia="宋体"/>
          <w:sz w:val="24"/>
          <w:highlight w:val="none"/>
        </w:rPr>
        <w:t>（大写：人民币</w:t>
      </w:r>
      <w:r>
        <w:rPr>
          <w:rFonts w:hint="eastAsia" w:ascii="宋体" w:hAnsi="宋体" w:eastAsia="宋体"/>
          <w:sz w:val="24"/>
          <w:highlight w:val="none"/>
          <w:u w:val="single"/>
        </w:rPr>
        <w:t xml:space="preserve">                 </w:t>
      </w:r>
      <w:r>
        <w:rPr>
          <w:rFonts w:hint="eastAsia" w:ascii="宋体" w:hAnsi="宋体" w:eastAsia="宋体"/>
          <w:sz w:val="24"/>
          <w:highlight w:val="none"/>
        </w:rPr>
        <w:t>元）</w:t>
      </w:r>
      <w:r>
        <w:rPr>
          <w:rFonts w:ascii="宋体" w:hAnsi="宋体" w:eastAsia="宋体"/>
          <w:sz w:val="24"/>
          <w:highlight w:val="none"/>
        </w:rPr>
        <w:t>。</w:t>
      </w:r>
    </w:p>
    <w:p w14:paraId="061275F7">
      <w:pPr>
        <w:spacing w:line="360" w:lineRule="auto"/>
        <w:ind w:firstLine="437"/>
        <w:outlineLvl w:val="2"/>
        <w:rPr>
          <w:rFonts w:ascii="宋体" w:hAnsi="宋体" w:eastAsia="宋体"/>
          <w:b/>
          <w:bCs/>
          <w:sz w:val="24"/>
          <w:highlight w:val="none"/>
          <w:lang w:val="zh-CN"/>
        </w:rPr>
      </w:pPr>
      <w:bookmarkStart w:id="69" w:name="_Toc10340"/>
      <w:bookmarkStart w:id="70" w:name="_Toc22618"/>
      <w:bookmarkStart w:id="71" w:name="_Toc1814"/>
      <w:r>
        <w:rPr>
          <w:rFonts w:ascii="宋体" w:hAnsi="宋体" w:eastAsia="宋体"/>
          <w:b/>
          <w:bCs/>
          <w:sz w:val="24"/>
          <w:highlight w:val="none"/>
          <w:lang w:val="zh-CN"/>
        </w:rPr>
        <w:t>4 付款方式和发票开具方式</w:t>
      </w:r>
      <w:bookmarkEnd w:id="69"/>
      <w:bookmarkEnd w:id="70"/>
      <w:bookmarkEnd w:id="71"/>
    </w:p>
    <w:p w14:paraId="71BA608B">
      <w:pPr>
        <w:spacing w:line="360" w:lineRule="auto"/>
        <w:ind w:firstLine="435"/>
        <w:rPr>
          <w:rFonts w:ascii="宋体" w:hAnsi="宋体" w:eastAsia="宋体"/>
          <w:sz w:val="24"/>
          <w:highlight w:val="none"/>
        </w:rPr>
      </w:pPr>
      <w:r>
        <w:rPr>
          <w:rFonts w:hint="eastAsia" w:ascii="宋体" w:hAnsi="宋体" w:eastAsia="宋体"/>
          <w:sz w:val="24"/>
          <w:highlight w:val="none"/>
        </w:rPr>
        <w:t>4.1</w:t>
      </w:r>
      <w:r>
        <w:rPr>
          <w:rFonts w:ascii="宋体" w:hAnsi="宋体" w:eastAsia="宋体"/>
          <w:sz w:val="24"/>
          <w:highlight w:val="none"/>
        </w:rPr>
        <w:t>付款方式：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4EF80F62">
      <w:pPr>
        <w:spacing w:line="360" w:lineRule="auto"/>
        <w:ind w:firstLine="435"/>
        <w:rPr>
          <w:rFonts w:ascii="宋体" w:hAnsi="宋体" w:eastAsia="宋体"/>
          <w:sz w:val="24"/>
          <w:highlight w:val="none"/>
        </w:rPr>
      </w:pPr>
      <w:r>
        <w:rPr>
          <w:rFonts w:hint="eastAsia" w:ascii="宋体" w:hAnsi="宋体" w:eastAsia="宋体"/>
          <w:sz w:val="24"/>
          <w:highlight w:val="none"/>
        </w:rPr>
        <w:t>4.2发票开具方式：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220564D3">
      <w:pPr>
        <w:spacing w:line="360" w:lineRule="auto"/>
        <w:ind w:firstLine="437"/>
        <w:outlineLvl w:val="2"/>
        <w:rPr>
          <w:rFonts w:ascii="宋体" w:hAnsi="宋体" w:eastAsia="宋体"/>
          <w:b/>
          <w:bCs/>
          <w:sz w:val="24"/>
          <w:highlight w:val="none"/>
          <w:lang w:val="zh-CN"/>
        </w:rPr>
      </w:pPr>
      <w:bookmarkStart w:id="72" w:name="_Toc19304"/>
      <w:bookmarkStart w:id="73" w:name="_Toc2846"/>
      <w:bookmarkStart w:id="74" w:name="_Toc32071"/>
      <w:r>
        <w:rPr>
          <w:rFonts w:ascii="宋体" w:hAnsi="宋体" w:eastAsia="宋体"/>
          <w:b/>
          <w:bCs/>
          <w:sz w:val="24"/>
          <w:highlight w:val="none"/>
          <w:lang w:val="zh-CN"/>
        </w:rPr>
        <w:t xml:space="preserve">5 </w:t>
      </w:r>
      <w:r>
        <w:rPr>
          <w:rFonts w:hint="eastAsia" w:ascii="宋体" w:hAnsi="宋体" w:eastAsia="宋体"/>
          <w:b/>
          <w:bCs/>
          <w:sz w:val="24"/>
          <w:highlight w:val="none"/>
          <w:lang w:val="zh-CN"/>
        </w:rPr>
        <w:t>服务</w:t>
      </w:r>
      <w:r>
        <w:rPr>
          <w:rFonts w:ascii="宋体" w:hAnsi="宋体" w:eastAsia="宋体"/>
          <w:b/>
          <w:bCs/>
          <w:sz w:val="24"/>
          <w:highlight w:val="none"/>
          <w:lang w:val="zh-CN"/>
        </w:rPr>
        <w:t>期限</w:t>
      </w:r>
      <w:r>
        <w:rPr>
          <w:rFonts w:hint="eastAsia" w:ascii="宋体" w:hAnsi="宋体" w:eastAsia="宋体"/>
          <w:b/>
          <w:bCs/>
          <w:sz w:val="24"/>
          <w:highlight w:val="none"/>
          <w:lang w:val="zh-CN"/>
        </w:rPr>
        <w:t>、地点和方式</w:t>
      </w:r>
      <w:bookmarkEnd w:id="72"/>
      <w:bookmarkEnd w:id="73"/>
      <w:bookmarkEnd w:id="74"/>
    </w:p>
    <w:p w14:paraId="52FD8320">
      <w:pPr>
        <w:spacing w:line="360" w:lineRule="auto"/>
        <w:ind w:firstLine="435"/>
        <w:rPr>
          <w:rFonts w:ascii="宋体" w:hAnsi="宋体" w:eastAsia="宋体"/>
          <w:sz w:val="24"/>
          <w:highlight w:val="none"/>
          <w:u w:val="single"/>
        </w:rPr>
      </w:pPr>
      <w:r>
        <w:rPr>
          <w:rFonts w:hint="eastAsia" w:ascii="宋体" w:hAnsi="宋体" w:eastAsia="宋体"/>
          <w:sz w:val="24"/>
          <w:highlight w:val="none"/>
        </w:rPr>
        <w:t>5.1服务期限</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78834CCF">
      <w:pPr>
        <w:spacing w:line="360" w:lineRule="auto"/>
        <w:ind w:firstLine="435"/>
        <w:rPr>
          <w:rFonts w:ascii="宋体" w:hAnsi="宋体" w:eastAsia="宋体"/>
          <w:sz w:val="24"/>
          <w:highlight w:val="none"/>
        </w:rPr>
      </w:pPr>
      <w:r>
        <w:rPr>
          <w:rFonts w:hint="eastAsia" w:ascii="宋体" w:hAnsi="宋体" w:eastAsia="宋体"/>
          <w:sz w:val="24"/>
          <w:highlight w:val="none"/>
        </w:rPr>
        <w:t>1.5.2服务地点</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C9EDF90">
      <w:pPr>
        <w:spacing w:line="360" w:lineRule="auto"/>
        <w:ind w:firstLine="435"/>
        <w:rPr>
          <w:rFonts w:ascii="宋体" w:hAnsi="宋体" w:eastAsia="宋体"/>
          <w:sz w:val="24"/>
          <w:highlight w:val="none"/>
        </w:rPr>
      </w:pPr>
      <w:r>
        <w:rPr>
          <w:rFonts w:hint="eastAsia" w:ascii="宋体" w:hAnsi="宋体" w:eastAsia="宋体"/>
          <w:sz w:val="24"/>
          <w:highlight w:val="none"/>
        </w:rPr>
        <w:t>1.5.3服务方式：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22B4E2C">
      <w:pPr>
        <w:spacing w:line="360" w:lineRule="auto"/>
        <w:ind w:firstLine="437"/>
        <w:outlineLvl w:val="2"/>
        <w:rPr>
          <w:rFonts w:ascii="宋体" w:hAnsi="宋体" w:eastAsia="宋体"/>
          <w:b/>
          <w:bCs/>
          <w:sz w:val="24"/>
          <w:highlight w:val="none"/>
          <w:lang w:val="zh-CN"/>
        </w:rPr>
      </w:pPr>
      <w:bookmarkStart w:id="75" w:name="_Toc21423"/>
      <w:bookmarkStart w:id="76" w:name="_Toc27250"/>
      <w:bookmarkStart w:id="77" w:name="_Toc19554"/>
      <w:r>
        <w:rPr>
          <w:rFonts w:hint="eastAsia" w:ascii="宋体" w:hAnsi="宋体" w:eastAsia="宋体"/>
          <w:b/>
          <w:bCs/>
          <w:sz w:val="24"/>
          <w:highlight w:val="none"/>
          <w:lang w:val="zh-CN"/>
        </w:rPr>
        <w:t>6 违约责任</w:t>
      </w:r>
      <w:bookmarkEnd w:id="75"/>
      <w:bookmarkEnd w:id="76"/>
      <w:bookmarkEnd w:id="77"/>
    </w:p>
    <w:p w14:paraId="4AA07172">
      <w:pPr>
        <w:spacing w:line="360" w:lineRule="auto"/>
        <w:ind w:firstLine="435"/>
        <w:rPr>
          <w:rFonts w:ascii="宋体" w:hAnsi="宋体" w:eastAsia="宋体"/>
          <w:sz w:val="24"/>
          <w:highlight w:val="none"/>
        </w:rPr>
      </w:pPr>
      <w:bookmarkStart w:id="78" w:name="_Toc15583"/>
      <w:bookmarkStart w:id="79" w:name="_Toc16021"/>
      <w:bookmarkStart w:id="80" w:name="_Toc28375"/>
      <w:r>
        <w:rPr>
          <w:rFonts w:hint="eastAsia" w:ascii="宋体" w:hAnsi="宋体" w:eastAsia="宋体"/>
          <w:sz w:val="24"/>
          <w:highlight w:val="none"/>
        </w:rPr>
        <w:t>6.1</w:t>
      </w:r>
      <w:r>
        <w:rPr>
          <w:rFonts w:ascii="宋体" w:hAnsi="宋体" w:eastAsia="宋体"/>
          <w:sz w:val="24"/>
          <w:highlight w:val="none"/>
        </w:rPr>
        <w:t>除不可抗力外，如果乙方没有按照本合同约定的期限</w:t>
      </w:r>
      <w:r>
        <w:rPr>
          <w:rFonts w:hint="eastAsia" w:ascii="宋体" w:hAnsi="宋体" w:eastAsia="宋体"/>
          <w:sz w:val="24"/>
          <w:highlight w:val="none"/>
        </w:rPr>
        <w:t>、</w:t>
      </w:r>
      <w:r>
        <w:rPr>
          <w:rFonts w:ascii="宋体" w:hAnsi="宋体" w:eastAsia="宋体"/>
          <w:sz w:val="24"/>
          <w:highlight w:val="none"/>
        </w:rPr>
        <w:t>地点和方式</w:t>
      </w:r>
      <w:r>
        <w:rPr>
          <w:rFonts w:hint="eastAsia" w:ascii="宋体" w:hAnsi="宋体" w:eastAsia="宋体"/>
          <w:sz w:val="24"/>
          <w:highlight w:val="none"/>
        </w:rPr>
        <w:t>履行</w:t>
      </w:r>
      <w:r>
        <w:rPr>
          <w:rFonts w:ascii="宋体" w:hAnsi="宋体" w:eastAsia="宋体"/>
          <w:sz w:val="24"/>
          <w:highlight w:val="none"/>
        </w:rPr>
        <w:t>，那么甲方可要求乙方支付违约金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履行</w:t>
      </w:r>
      <w:r>
        <w:rPr>
          <w:rFonts w:ascii="宋体" w:hAnsi="宋体" w:eastAsia="宋体"/>
          <w:sz w:val="24"/>
          <w:highlight w:val="none"/>
        </w:rPr>
        <w:t>一日的应提供而未</w:t>
      </w:r>
      <w:r>
        <w:rPr>
          <w:rFonts w:hint="eastAsia" w:ascii="宋体" w:hAnsi="宋体" w:eastAsia="宋体"/>
          <w:sz w:val="24"/>
          <w:highlight w:val="none"/>
        </w:rPr>
        <w:t>提供</w:t>
      </w:r>
      <w:r>
        <w:rPr>
          <w:rFonts w:ascii="宋体" w:hAnsi="宋体" w:eastAsia="宋体"/>
          <w:sz w:val="24"/>
          <w:highlight w:val="none"/>
        </w:rPr>
        <w:t>服务价格的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0.3</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30 </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履行</w:t>
      </w:r>
      <w:r>
        <w:rPr>
          <w:rFonts w:ascii="宋体" w:hAnsi="宋体" w:eastAsia="宋体"/>
          <w:sz w:val="24"/>
          <w:highlight w:val="none"/>
        </w:rPr>
        <w:t>的违约金计算数额达到前述最高限额之日起</w:t>
      </w:r>
      <w:r>
        <w:rPr>
          <w:rFonts w:hint="eastAsia" w:ascii="宋体" w:hAnsi="宋体" w:eastAsia="宋体"/>
          <w:sz w:val="24"/>
          <w:highlight w:val="none"/>
        </w:rPr>
        <w:t>，</w:t>
      </w:r>
      <w:r>
        <w:rPr>
          <w:rFonts w:ascii="宋体" w:hAnsi="宋体" w:eastAsia="宋体"/>
          <w:sz w:val="24"/>
          <w:highlight w:val="none"/>
        </w:rPr>
        <w:t>甲方有权在要求乙方支付违约金的同时</w:t>
      </w:r>
      <w:r>
        <w:rPr>
          <w:rFonts w:hint="eastAsia" w:ascii="宋体" w:hAnsi="宋体" w:eastAsia="宋体"/>
          <w:sz w:val="24"/>
          <w:highlight w:val="none"/>
        </w:rPr>
        <w:t>，书面通知乙方</w:t>
      </w:r>
      <w:r>
        <w:rPr>
          <w:rFonts w:ascii="宋体" w:hAnsi="宋体" w:eastAsia="宋体"/>
          <w:sz w:val="24"/>
          <w:highlight w:val="none"/>
        </w:rPr>
        <w:t>解除本合同</w:t>
      </w:r>
      <w:r>
        <w:rPr>
          <w:rFonts w:hint="eastAsia" w:ascii="宋体" w:hAnsi="宋体" w:eastAsia="宋体"/>
          <w:sz w:val="24"/>
          <w:highlight w:val="none"/>
        </w:rPr>
        <w:t>；</w:t>
      </w:r>
    </w:p>
    <w:p w14:paraId="7972BFFF">
      <w:pPr>
        <w:spacing w:line="360" w:lineRule="auto"/>
        <w:ind w:firstLine="435"/>
        <w:rPr>
          <w:rFonts w:ascii="宋体" w:hAnsi="宋体" w:eastAsia="宋体"/>
          <w:sz w:val="24"/>
          <w:highlight w:val="none"/>
        </w:rPr>
      </w:pPr>
      <w:r>
        <w:rPr>
          <w:rFonts w:hint="eastAsia" w:ascii="宋体" w:hAnsi="宋体" w:eastAsia="宋体"/>
          <w:sz w:val="24"/>
          <w:highlight w:val="none"/>
        </w:rPr>
        <w:t>6.2</w:t>
      </w:r>
      <w:r>
        <w:rPr>
          <w:rFonts w:ascii="宋体" w:hAnsi="宋体" w:eastAsia="宋体"/>
          <w:sz w:val="24"/>
          <w:highlight w:val="none"/>
        </w:rPr>
        <w:t>除不可抗力外，如果甲方没有按照本合同约定的付款方式付款，那么乙方可要求甲方支付违约金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付款</w:t>
      </w:r>
      <w:r>
        <w:rPr>
          <w:rFonts w:ascii="宋体" w:hAnsi="宋体" w:eastAsia="宋体"/>
          <w:sz w:val="24"/>
          <w:highlight w:val="none"/>
        </w:rPr>
        <w:t>一日的应付而未付款的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0.3 </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 30 </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付款</w:t>
      </w:r>
      <w:r>
        <w:rPr>
          <w:rFonts w:ascii="宋体" w:hAnsi="宋体" w:eastAsia="宋体"/>
          <w:sz w:val="24"/>
          <w:highlight w:val="none"/>
        </w:rPr>
        <w:t>的违约金计算数额达到前述最高限额之日起</w:t>
      </w:r>
      <w:r>
        <w:rPr>
          <w:rFonts w:hint="eastAsia" w:ascii="宋体" w:hAnsi="宋体" w:eastAsia="宋体"/>
          <w:sz w:val="24"/>
          <w:highlight w:val="none"/>
        </w:rPr>
        <w:t>，乙</w:t>
      </w:r>
      <w:r>
        <w:rPr>
          <w:rFonts w:ascii="宋体" w:hAnsi="宋体" w:eastAsia="宋体"/>
          <w:sz w:val="24"/>
          <w:highlight w:val="none"/>
        </w:rPr>
        <w:t>方有权在要求甲方支付违约金的同时</w:t>
      </w:r>
      <w:r>
        <w:rPr>
          <w:rFonts w:hint="eastAsia" w:ascii="宋体" w:hAnsi="宋体" w:eastAsia="宋体"/>
          <w:sz w:val="24"/>
          <w:highlight w:val="none"/>
        </w:rPr>
        <w:t>，书面通知甲方</w:t>
      </w:r>
      <w:r>
        <w:rPr>
          <w:rFonts w:ascii="宋体" w:hAnsi="宋体" w:eastAsia="宋体"/>
          <w:sz w:val="24"/>
          <w:highlight w:val="none"/>
        </w:rPr>
        <w:t>解除本合同</w:t>
      </w:r>
      <w:r>
        <w:rPr>
          <w:rFonts w:hint="eastAsia" w:ascii="宋体" w:hAnsi="宋体" w:eastAsia="宋体"/>
          <w:sz w:val="24"/>
          <w:highlight w:val="none"/>
        </w:rPr>
        <w:t>；</w:t>
      </w:r>
    </w:p>
    <w:p w14:paraId="668EEA43">
      <w:pPr>
        <w:spacing w:line="360" w:lineRule="auto"/>
        <w:ind w:firstLine="435"/>
        <w:rPr>
          <w:rFonts w:ascii="宋体" w:hAnsi="宋体" w:eastAsia="宋体"/>
          <w:sz w:val="24"/>
          <w:highlight w:val="none"/>
        </w:rPr>
      </w:pPr>
      <w:r>
        <w:rPr>
          <w:rFonts w:hint="eastAsia" w:ascii="宋体" w:hAnsi="宋体" w:eastAsia="宋体"/>
          <w:sz w:val="24"/>
          <w:highlight w:val="none"/>
        </w:rPr>
        <w:t>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1B9F64A">
      <w:pPr>
        <w:spacing w:line="360" w:lineRule="auto"/>
        <w:ind w:firstLine="435"/>
        <w:rPr>
          <w:rFonts w:ascii="宋体" w:hAnsi="宋体" w:eastAsia="宋体"/>
          <w:sz w:val="24"/>
          <w:highlight w:val="none"/>
        </w:rPr>
      </w:pPr>
      <w:r>
        <w:rPr>
          <w:rFonts w:hint="eastAsia" w:ascii="宋体" w:hAnsi="宋体" w:eastAsia="宋体"/>
          <w:sz w:val="24"/>
          <w:highlight w:val="none"/>
        </w:rPr>
        <w:t>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8D7D082">
      <w:pPr>
        <w:spacing w:line="360" w:lineRule="auto"/>
        <w:ind w:firstLine="435"/>
        <w:rPr>
          <w:rFonts w:ascii="宋体" w:hAnsi="宋体" w:eastAsia="宋体"/>
          <w:sz w:val="24"/>
          <w:highlight w:val="none"/>
        </w:rPr>
      </w:pPr>
      <w:r>
        <w:rPr>
          <w:rFonts w:hint="eastAsia" w:ascii="宋体" w:hAnsi="宋体" w:eastAsia="宋体"/>
          <w:sz w:val="24"/>
          <w:highlight w:val="none"/>
        </w:rPr>
        <w:t>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5B930AF">
      <w:pPr>
        <w:spacing w:line="360" w:lineRule="auto"/>
        <w:ind w:firstLine="435"/>
        <w:rPr>
          <w:rFonts w:ascii="宋体" w:hAnsi="宋体" w:eastAsia="宋体"/>
          <w:sz w:val="24"/>
          <w:highlight w:val="none"/>
        </w:rPr>
      </w:pPr>
      <w:r>
        <w:rPr>
          <w:rFonts w:hint="eastAsia" w:ascii="宋体" w:hAnsi="宋体" w:eastAsia="宋体"/>
          <w:sz w:val="24"/>
          <w:highlight w:val="none"/>
        </w:rPr>
        <w:t>6.6如果出现政府采购监督管理部门在处理投诉事项期间，书面通知甲方暂停采购活动的情形，或者询问或质疑事项可能影响成交结果的，导致甲方中止履行合同的情形，均不视为甲方违约。</w:t>
      </w:r>
    </w:p>
    <w:p w14:paraId="69569A1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1.6.7因甲方未按合同约定支付价款、未按合同约定受领标的物、擅自解除合同</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逾期退还履约保证金</w:t>
      </w:r>
      <w:r>
        <w:rPr>
          <w:rFonts w:hint="eastAsia" w:asciiTheme="minorEastAsia" w:hAnsiTheme="minorEastAsia" w:eastAsiaTheme="minorEastAsia"/>
          <w:sz w:val="24"/>
          <w:highlight w:val="none"/>
        </w:rPr>
        <w:t>导致乙方遭受的直接损失，乙方可向甲方申请赔偿，赔偿金额由双方协商一致；针对因政策变化等原因不能签订合同或解除合同时，造成乙方合法利益受损的情形，可以给予乙方合理补偿，补偿金额不得超过乙方的直接损失。</w:t>
      </w:r>
    </w:p>
    <w:p w14:paraId="30DB20F6">
      <w:pPr>
        <w:snapToGrid w:val="0"/>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7.合同争议的解决</w:t>
      </w:r>
      <w:bookmarkEnd w:id="78"/>
      <w:bookmarkEnd w:id="79"/>
      <w:bookmarkEnd w:id="80"/>
    </w:p>
    <w:p w14:paraId="4705AFF1">
      <w:pPr>
        <w:snapToGrid w:val="0"/>
        <w:spacing w:line="360" w:lineRule="auto"/>
        <w:ind w:firstLine="720" w:firstLineChars="300"/>
      </w:pPr>
      <w:r>
        <w:rPr>
          <w:rFonts w:hint="eastAsia" w:ascii="宋体" w:hAnsi="宋体" w:cs="宋体"/>
          <w:sz w:val="24"/>
          <w:szCs w:val="24"/>
        </w:rPr>
        <w:t>本合同如发生争议，买卖双方应当及时协商解决，协商不成时，按以下方式处理：向</w:t>
      </w:r>
      <w:r>
        <w:rPr>
          <w:rFonts w:hint="eastAsia" w:ascii="宋体" w:hAnsi="宋体" w:cs="宋体"/>
          <w:sz w:val="24"/>
          <w:szCs w:val="24"/>
          <w:u w:val="single"/>
        </w:rPr>
        <w:t xml:space="preserve">  桐城市 </w:t>
      </w:r>
      <w:r>
        <w:rPr>
          <w:rFonts w:hint="eastAsia" w:ascii="宋体" w:hAnsi="宋体" w:cs="宋体"/>
          <w:sz w:val="24"/>
          <w:szCs w:val="24"/>
        </w:rPr>
        <w:t>人民法院起诉。</w:t>
      </w:r>
    </w:p>
    <w:p w14:paraId="69E60C15">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8.合同生效</w:t>
      </w:r>
    </w:p>
    <w:p w14:paraId="13CE017B">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本合同自</w:t>
      </w:r>
      <w:r>
        <w:rPr>
          <w:rFonts w:hint="eastAsia" w:ascii="宋体" w:hAnsi="宋体" w:cs="宋体"/>
          <w:sz w:val="24"/>
          <w:szCs w:val="24"/>
          <w:u w:val="single"/>
        </w:rPr>
        <w:t xml:space="preserve"> 签字盖章之日起 </w:t>
      </w:r>
      <w:r>
        <w:rPr>
          <w:rFonts w:hint="eastAsia" w:ascii="宋体" w:hAnsi="宋体" w:cs="宋体"/>
          <w:sz w:val="24"/>
          <w:szCs w:val="24"/>
        </w:rPr>
        <w:t>生效。</w:t>
      </w:r>
    </w:p>
    <w:p w14:paraId="5D398840">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9.合同份数</w:t>
      </w:r>
    </w:p>
    <w:p w14:paraId="1B426596">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本合同一式</w:t>
      </w:r>
      <w:r>
        <w:rPr>
          <w:rFonts w:hint="eastAsia" w:ascii="宋体" w:hAnsi="宋体" w:cs="宋体"/>
          <w:sz w:val="24"/>
          <w:szCs w:val="24"/>
          <w:u w:val="single"/>
        </w:rPr>
        <w:t xml:space="preserve"> 叁 </w:t>
      </w:r>
      <w:r>
        <w:rPr>
          <w:rFonts w:hint="eastAsia" w:ascii="宋体" w:hAnsi="宋体" w:cs="宋体"/>
          <w:sz w:val="24"/>
          <w:szCs w:val="24"/>
        </w:rPr>
        <w:t>份，甲方执</w:t>
      </w:r>
      <w:r>
        <w:rPr>
          <w:rFonts w:hint="eastAsia" w:ascii="宋体" w:hAnsi="宋体" w:cs="宋体"/>
          <w:sz w:val="24"/>
          <w:szCs w:val="24"/>
          <w:u w:val="single"/>
        </w:rPr>
        <w:t xml:space="preserve"> 贰 </w:t>
      </w:r>
      <w:r>
        <w:rPr>
          <w:rFonts w:hint="eastAsia" w:ascii="宋体" w:hAnsi="宋体" w:cs="宋体"/>
          <w:sz w:val="24"/>
          <w:szCs w:val="24"/>
        </w:rPr>
        <w:t>份，乙方执</w:t>
      </w:r>
      <w:r>
        <w:rPr>
          <w:rFonts w:hint="eastAsia" w:ascii="宋体" w:hAnsi="宋体" w:cs="宋体"/>
          <w:sz w:val="24"/>
          <w:szCs w:val="24"/>
          <w:u w:val="single"/>
        </w:rPr>
        <w:t xml:space="preserve"> 壹 </w:t>
      </w:r>
      <w:r>
        <w:rPr>
          <w:rFonts w:hint="eastAsia" w:ascii="宋体" w:hAnsi="宋体" w:cs="宋体"/>
          <w:sz w:val="24"/>
          <w:szCs w:val="24"/>
        </w:rPr>
        <w:t>份，均具有同等法律效力。</w:t>
      </w:r>
    </w:p>
    <w:p w14:paraId="72616708">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合同订立时间：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567CDE52">
      <w:pPr>
        <w:snapToGrid w:val="0"/>
        <w:spacing w:line="360" w:lineRule="auto"/>
        <w:ind w:firstLine="480" w:firstLineChars="200"/>
        <w:rPr>
          <w:rFonts w:hint="eastAsia" w:ascii="宋体" w:hAnsi="宋体" w:cs="宋体"/>
          <w:sz w:val="24"/>
          <w:szCs w:val="24"/>
          <w:u w:val="single"/>
        </w:rPr>
      </w:pPr>
      <w:r>
        <w:rPr>
          <w:rFonts w:hint="eastAsia" w:ascii="宋体" w:hAnsi="宋体" w:cs="宋体"/>
          <w:sz w:val="24"/>
          <w:szCs w:val="24"/>
        </w:rPr>
        <w:t>合同订立地点：</w:t>
      </w:r>
      <w:r>
        <w:rPr>
          <w:rFonts w:hint="eastAsia" w:ascii="宋体" w:hAnsi="宋体" w:cs="宋体"/>
          <w:sz w:val="24"/>
          <w:szCs w:val="24"/>
          <w:u w:val="single"/>
        </w:rPr>
        <w:t xml:space="preserve"> 桐城师范高等专科学校 </w:t>
      </w:r>
    </w:p>
    <w:p w14:paraId="727E8C58">
      <w:pPr>
        <w:pStyle w:val="18"/>
      </w:pPr>
    </w:p>
    <w:p w14:paraId="5EF188A8">
      <w:pPr>
        <w:autoSpaceDE w:val="0"/>
        <w:autoSpaceDN w:val="0"/>
        <w:adjustRightInd w:val="0"/>
        <w:spacing w:line="560" w:lineRule="exact"/>
        <w:rPr>
          <w:rFonts w:cs="Times New Roman" w:asciiTheme="minorEastAsia" w:hAnsiTheme="minorEastAsia" w:eastAsiaTheme="minorEastAsia"/>
          <w:bCs/>
          <w:sz w:val="24"/>
          <w:szCs w:val="24"/>
          <w:highlight w:val="none"/>
          <w:lang w:val="zh-CN"/>
        </w:rPr>
      </w:pPr>
      <w:r>
        <w:rPr>
          <w:rFonts w:hint="eastAsia" w:cs="Times New Roman" w:asciiTheme="minorEastAsia" w:hAnsiTheme="minorEastAsia" w:eastAsiaTheme="minorEastAsia"/>
          <w:bCs/>
          <w:sz w:val="24"/>
          <w:szCs w:val="24"/>
          <w:highlight w:val="none"/>
          <w:lang w:val="zh-CN"/>
        </w:rPr>
        <w:t xml:space="preserve">甲 </w:t>
      </w:r>
      <w:r>
        <w:rPr>
          <w:rFonts w:cs="Times New Roman" w:asciiTheme="minorEastAsia" w:hAnsiTheme="minorEastAsia" w:eastAsiaTheme="minorEastAsia"/>
          <w:bCs/>
          <w:sz w:val="24"/>
          <w:szCs w:val="24"/>
          <w:highlight w:val="none"/>
          <w:lang w:val="zh-CN"/>
        </w:rPr>
        <w:t xml:space="preserve">   </w:t>
      </w:r>
      <w:r>
        <w:rPr>
          <w:rFonts w:hint="eastAsia" w:cs="Times New Roman" w:asciiTheme="minorEastAsia" w:hAnsiTheme="minorEastAsia" w:eastAsiaTheme="minorEastAsia"/>
          <w:bCs/>
          <w:sz w:val="24"/>
          <w:szCs w:val="24"/>
          <w:highlight w:val="none"/>
          <w:lang w:val="zh-CN"/>
        </w:rPr>
        <w:t>方：</w:t>
      </w:r>
      <w:r>
        <w:rPr>
          <w:rFonts w:hint="eastAsia" w:cs="Times New Roman" w:asciiTheme="minorEastAsia" w:hAnsiTheme="minorEastAsia" w:eastAsiaTheme="minorEastAsia"/>
          <w:bCs/>
          <w:sz w:val="24"/>
          <w:szCs w:val="24"/>
          <w:highlight w:val="none"/>
          <w:u w:val="single"/>
          <w:lang w:val="zh-CN"/>
        </w:rPr>
        <w:t xml:space="preserve">    （单位盖章）     </w:t>
      </w:r>
      <w:r>
        <w:rPr>
          <w:rFonts w:hint="eastAsia" w:cs="Times New Roman" w:asciiTheme="minorEastAsia" w:hAnsiTheme="minorEastAsia" w:eastAsiaTheme="minorEastAsia"/>
          <w:bCs/>
          <w:sz w:val="24"/>
          <w:szCs w:val="24"/>
          <w:highlight w:val="none"/>
          <w:lang w:val="zh-CN"/>
        </w:rPr>
        <w:t xml:space="preserve">          乙方：</w:t>
      </w:r>
      <w:r>
        <w:rPr>
          <w:rFonts w:hint="eastAsia" w:cs="Times New Roman" w:asciiTheme="minorEastAsia" w:hAnsiTheme="minorEastAsia" w:eastAsiaTheme="minorEastAsia"/>
          <w:bCs/>
          <w:sz w:val="24"/>
          <w:szCs w:val="24"/>
          <w:highlight w:val="none"/>
          <w:u w:val="single"/>
          <w:lang w:val="zh-CN"/>
        </w:rPr>
        <w:t xml:space="preserve">    （单位盖章）     </w:t>
      </w:r>
    </w:p>
    <w:p w14:paraId="08C3CFD4">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 xml:space="preserve">法定代表人                             </w:t>
      </w:r>
      <w:r>
        <w:rPr>
          <w:rFonts w:cs="Times New Roman" w:asciiTheme="minorEastAsia" w:hAnsiTheme="minorEastAsia" w:eastAsiaTheme="minorEastAsia"/>
          <w:sz w:val="24"/>
          <w:szCs w:val="24"/>
          <w:highlight w:val="none"/>
          <w:lang w:val="zh-CN"/>
        </w:rPr>
        <w:t xml:space="preserve">  </w:t>
      </w:r>
      <w:r>
        <w:rPr>
          <w:rFonts w:hint="eastAsia" w:cs="Times New Roman" w:asciiTheme="minorEastAsia" w:hAnsiTheme="minorEastAsia" w:eastAsiaTheme="minorEastAsia"/>
          <w:sz w:val="24"/>
          <w:szCs w:val="24"/>
          <w:highlight w:val="none"/>
          <w:lang w:val="zh-CN"/>
        </w:rPr>
        <w:t>法定代表人</w:t>
      </w:r>
    </w:p>
    <w:p w14:paraId="19559207">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或授权代表（签字）：                      或授权代表（签字）：</w:t>
      </w:r>
    </w:p>
    <w:p w14:paraId="7CB3795D">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               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w:t>
      </w:r>
    </w:p>
    <w:p w14:paraId="6BF04849">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乙方账户信息</w:t>
      </w:r>
    </w:p>
    <w:p w14:paraId="6D7F7D11">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户名：</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0D6C75C3">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 xml:space="preserve"> 账号：</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53DF2DB9">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 xml:space="preserve"> 开户银行：</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7EF9B88A">
      <w:pPr>
        <w:widowControl/>
        <w:spacing w:line="560" w:lineRule="exact"/>
        <w:jc w:val="left"/>
        <w:rPr>
          <w:rFonts w:hint="eastAsia"/>
          <w:lang w:val="zh-CN"/>
        </w:rPr>
      </w:pPr>
      <w:r>
        <w:rPr>
          <w:rFonts w:hint="eastAsia" w:ascii="宋体" w:hAnsi="宋体" w:eastAsia="宋体" w:cs="宋体"/>
          <w:sz w:val="24"/>
          <w:szCs w:val="24"/>
          <w:highlight w:val="none"/>
          <w:u w:val="single"/>
        </w:rPr>
        <w:br w:type="page"/>
      </w:r>
    </w:p>
    <w:bookmarkEnd w:id="54"/>
    <w:bookmarkEnd w:id="55"/>
    <w:bookmarkEnd w:id="56"/>
    <w:bookmarkEnd w:id="57"/>
    <w:p w14:paraId="3BD274A0">
      <w:pPr>
        <w:pStyle w:val="3"/>
        <w:tabs>
          <w:tab w:val="left" w:pos="1440"/>
          <w:tab w:val="left" w:pos="5670"/>
        </w:tabs>
        <w:spacing w:before="62" w:beforeLines="20" w:after="62" w:afterLines="20" w:line="480" w:lineRule="exact"/>
        <w:ind w:firstLine="0" w:firstLineChars="0"/>
        <w:jc w:val="center"/>
        <w:rPr>
          <w:rFonts w:ascii="Arial" w:hAnsi="Arial"/>
          <w:color w:val="auto"/>
          <w:kern w:val="2"/>
          <w:sz w:val="36"/>
          <w:szCs w:val="36"/>
          <w:highlight w:val="none"/>
        </w:rPr>
      </w:pPr>
      <w:r>
        <w:rPr>
          <w:rFonts w:hint="eastAsia" w:ascii="Arial" w:hAnsi="Arial"/>
          <w:color w:val="auto"/>
          <w:kern w:val="2"/>
          <w:sz w:val="36"/>
          <w:szCs w:val="36"/>
          <w:highlight w:val="none"/>
          <w:lang w:val="zh-CN"/>
        </w:rPr>
        <w:t>第</w:t>
      </w:r>
      <w:r>
        <w:rPr>
          <w:rFonts w:hint="eastAsia" w:ascii="Arial" w:hAnsi="Arial"/>
          <w:color w:val="auto"/>
          <w:kern w:val="2"/>
          <w:sz w:val="36"/>
          <w:szCs w:val="36"/>
          <w:highlight w:val="none"/>
          <w:lang w:val="en-US" w:eastAsia="zh-CN"/>
        </w:rPr>
        <w:t>六</w:t>
      </w:r>
      <w:r>
        <w:rPr>
          <w:rFonts w:hint="eastAsia" w:ascii="Arial" w:hAnsi="Arial"/>
          <w:color w:val="auto"/>
          <w:kern w:val="2"/>
          <w:sz w:val="36"/>
          <w:szCs w:val="36"/>
          <w:highlight w:val="none"/>
          <w:lang w:val="zh-CN"/>
        </w:rPr>
        <w:t>章</w:t>
      </w:r>
      <w:r>
        <w:rPr>
          <w:rFonts w:ascii="Arial" w:hAnsi="Arial"/>
          <w:color w:val="auto"/>
          <w:kern w:val="2"/>
          <w:sz w:val="36"/>
          <w:szCs w:val="36"/>
          <w:highlight w:val="none"/>
          <w:lang w:val="zh-CN"/>
        </w:rPr>
        <w:t xml:space="preserve">  </w:t>
      </w:r>
      <w:bookmarkStart w:id="81" w:name="_Toc417656001"/>
      <w:r>
        <w:rPr>
          <w:rFonts w:hint="eastAsia" w:ascii="Arial" w:hAnsi="Arial"/>
          <w:color w:val="auto"/>
          <w:kern w:val="2"/>
          <w:sz w:val="36"/>
          <w:szCs w:val="36"/>
          <w:highlight w:val="none"/>
        </w:rPr>
        <w:t>响应文件格式</w:t>
      </w:r>
      <w:bookmarkEnd w:id="81"/>
    </w:p>
    <w:p w14:paraId="6F61B9AA">
      <w:pPr>
        <w:spacing w:line="360" w:lineRule="auto"/>
        <w:jc w:val="center"/>
        <w:rPr>
          <w:rFonts w:ascii="仿宋" w:hAnsi="仿宋" w:eastAsia="仿宋"/>
          <w:b/>
          <w:color w:val="auto"/>
          <w:spacing w:val="20"/>
          <w:sz w:val="36"/>
          <w:szCs w:val="36"/>
          <w:highlight w:val="none"/>
          <w:u w:val="single"/>
        </w:rPr>
      </w:pPr>
    </w:p>
    <w:p w14:paraId="77CB8270">
      <w:pPr>
        <w:spacing w:line="480" w:lineRule="auto"/>
        <w:jc w:val="center"/>
        <w:rPr>
          <w:rFonts w:ascii="宋体"/>
          <w:b/>
          <w:color w:val="auto"/>
          <w:sz w:val="72"/>
          <w:szCs w:val="72"/>
          <w:highlight w:val="none"/>
        </w:rPr>
      </w:pPr>
      <w:r>
        <w:rPr>
          <w:rFonts w:hint="eastAsia" w:ascii="宋体" w:hAnsi="宋体"/>
          <w:b/>
          <w:color w:val="auto"/>
          <w:sz w:val="72"/>
          <w:szCs w:val="72"/>
          <w:highlight w:val="none"/>
        </w:rPr>
        <w:t>响</w:t>
      </w:r>
    </w:p>
    <w:p w14:paraId="41851454">
      <w:pPr>
        <w:spacing w:line="480" w:lineRule="auto"/>
        <w:jc w:val="center"/>
        <w:rPr>
          <w:rFonts w:ascii="宋体"/>
          <w:b/>
          <w:color w:val="auto"/>
          <w:sz w:val="72"/>
          <w:szCs w:val="72"/>
          <w:highlight w:val="none"/>
        </w:rPr>
      </w:pPr>
      <w:r>
        <w:rPr>
          <w:rFonts w:hint="eastAsia" w:ascii="宋体" w:hAnsi="宋体"/>
          <w:b/>
          <w:color w:val="auto"/>
          <w:sz w:val="72"/>
          <w:szCs w:val="72"/>
          <w:highlight w:val="none"/>
        </w:rPr>
        <w:t>应</w:t>
      </w:r>
    </w:p>
    <w:p w14:paraId="5570D467">
      <w:pPr>
        <w:spacing w:line="480" w:lineRule="auto"/>
        <w:jc w:val="center"/>
        <w:rPr>
          <w:rFonts w:ascii="宋体"/>
          <w:b/>
          <w:color w:val="auto"/>
          <w:sz w:val="72"/>
          <w:szCs w:val="72"/>
          <w:highlight w:val="none"/>
        </w:rPr>
      </w:pPr>
      <w:r>
        <w:rPr>
          <w:rFonts w:hint="eastAsia" w:ascii="宋体" w:hAnsi="宋体"/>
          <w:b/>
          <w:color w:val="auto"/>
          <w:sz w:val="72"/>
          <w:szCs w:val="72"/>
          <w:highlight w:val="none"/>
        </w:rPr>
        <w:t>文</w:t>
      </w:r>
    </w:p>
    <w:p w14:paraId="693F3B23">
      <w:pPr>
        <w:spacing w:line="480" w:lineRule="auto"/>
        <w:jc w:val="center"/>
        <w:rPr>
          <w:rFonts w:ascii="宋体"/>
          <w:b/>
          <w:color w:val="auto"/>
          <w:sz w:val="72"/>
          <w:szCs w:val="72"/>
          <w:highlight w:val="none"/>
        </w:rPr>
      </w:pPr>
      <w:r>
        <w:rPr>
          <w:rFonts w:hint="eastAsia" w:ascii="宋体" w:hAnsi="宋体"/>
          <w:b/>
          <w:color w:val="auto"/>
          <w:sz w:val="72"/>
          <w:szCs w:val="72"/>
          <w:highlight w:val="none"/>
        </w:rPr>
        <w:t>件</w:t>
      </w:r>
    </w:p>
    <w:p w14:paraId="10B9FA7C">
      <w:pPr>
        <w:pStyle w:val="50"/>
        <w:ind w:left="0" w:leftChars="0" w:firstLine="0" w:firstLineChars="0"/>
        <w:rPr>
          <w:rFonts w:ascii="宋体"/>
          <w:color w:val="auto"/>
          <w:sz w:val="24"/>
          <w:highlight w:val="none"/>
        </w:rPr>
      </w:pPr>
    </w:p>
    <w:p w14:paraId="72A1B507">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51AC5DAF">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81D6926">
      <w:pPr>
        <w:spacing w:line="360" w:lineRule="auto"/>
        <w:ind w:firstLine="602" w:firstLineChars="200"/>
        <w:rPr>
          <w:rFonts w:ascii="宋体"/>
          <w:b/>
          <w:color w:val="auto"/>
          <w:sz w:val="30"/>
          <w:szCs w:val="30"/>
          <w:highlight w:val="none"/>
        </w:rPr>
      </w:pPr>
      <w:r>
        <w:rPr>
          <w:rFonts w:hint="eastAsia" w:ascii="宋体" w:hAnsi="宋体"/>
          <w:b/>
          <w:color w:val="auto"/>
          <w:sz w:val="30"/>
          <w:szCs w:val="30"/>
          <w:highlight w:val="none"/>
          <w:lang w:val="en-US" w:eastAsia="zh-CN"/>
        </w:rPr>
        <w:t>供应商</w:t>
      </w:r>
      <w:r>
        <w:rPr>
          <w:rFonts w:hint="eastAsia" w:ascii="宋体" w:hAnsi="宋体"/>
          <w:b/>
          <w:color w:val="auto"/>
          <w:sz w:val="30"/>
          <w:szCs w:val="30"/>
          <w:highlight w:val="none"/>
        </w:rPr>
        <w:t>名称：</w:t>
      </w:r>
      <w:r>
        <w:rPr>
          <w:rFonts w:ascii="宋体" w:hAnsi="宋体"/>
          <w:b/>
          <w:color w:val="auto"/>
          <w:sz w:val="30"/>
          <w:szCs w:val="30"/>
          <w:highlight w:val="none"/>
        </w:rPr>
        <w:t xml:space="preserve"> </w:t>
      </w:r>
      <w:r>
        <w:rPr>
          <w:rFonts w:ascii="宋体" w:hAnsi="宋体"/>
          <w:b/>
          <w:color w:val="auto"/>
          <w:sz w:val="30"/>
          <w:szCs w:val="30"/>
          <w:highlight w:val="none"/>
          <w:u w:val="single"/>
        </w:rPr>
        <w:t xml:space="preserve">              </w:t>
      </w:r>
      <w:r>
        <w:rPr>
          <w:rFonts w:hint="eastAsia" w:ascii="宋体" w:hAnsi="宋体"/>
          <w:b/>
          <w:color w:val="auto"/>
          <w:sz w:val="30"/>
          <w:szCs w:val="30"/>
          <w:highlight w:val="none"/>
          <w:u w:val="single"/>
          <w:lang w:eastAsia="zh-CN"/>
        </w:rPr>
        <w:t>（</w:t>
      </w:r>
      <w:r>
        <w:rPr>
          <w:rFonts w:hint="eastAsia" w:ascii="宋体" w:hAnsi="宋体"/>
          <w:b/>
          <w:color w:val="auto"/>
          <w:sz w:val="30"/>
          <w:szCs w:val="30"/>
          <w:highlight w:val="none"/>
          <w:u w:val="single"/>
          <w:lang w:val="en-US" w:eastAsia="zh-CN"/>
        </w:rPr>
        <w:t>盖 章</w:t>
      </w:r>
      <w:r>
        <w:rPr>
          <w:rFonts w:hint="eastAsia" w:ascii="宋体" w:hAnsi="宋体"/>
          <w:b/>
          <w:color w:val="auto"/>
          <w:sz w:val="30"/>
          <w:szCs w:val="30"/>
          <w:highlight w:val="none"/>
          <w:u w:val="single"/>
          <w:lang w:eastAsia="zh-CN"/>
        </w:rPr>
        <w:t>）</w:t>
      </w:r>
    </w:p>
    <w:p w14:paraId="5925B018">
      <w:pPr>
        <w:spacing w:line="360" w:lineRule="auto"/>
        <w:rPr>
          <w:rFonts w:ascii="仿宋_GB2312" w:eastAsia="仿宋_GB2312"/>
          <w:color w:val="auto"/>
          <w:sz w:val="30"/>
          <w:szCs w:val="30"/>
          <w:highlight w:val="none"/>
        </w:rPr>
      </w:pPr>
    </w:p>
    <w:p w14:paraId="2356CC2F">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日期：</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年</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月</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日</w:t>
      </w:r>
    </w:p>
    <w:p w14:paraId="161C2C49">
      <w:pPr>
        <w:spacing w:line="480" w:lineRule="exact"/>
        <w:jc w:val="center"/>
        <w:rPr>
          <w:rFonts w:ascii="宋体" w:hAnsi="宋体"/>
          <w:b/>
          <w:color w:val="auto"/>
          <w:sz w:val="30"/>
          <w:szCs w:val="30"/>
          <w:highlight w:val="none"/>
        </w:rPr>
      </w:pPr>
    </w:p>
    <w:p w14:paraId="54D5A13D">
      <w:pPr>
        <w:spacing w:line="480" w:lineRule="exact"/>
        <w:rPr>
          <w:rFonts w:ascii="黑体" w:eastAsia="黑体"/>
          <w:b/>
          <w:bCs/>
          <w:color w:val="auto"/>
          <w:szCs w:val="21"/>
          <w:highlight w:val="none"/>
        </w:rPr>
      </w:pPr>
    </w:p>
    <w:p w14:paraId="01FCE25C">
      <w:pPr>
        <w:pStyle w:val="2"/>
      </w:pPr>
    </w:p>
    <w:p w14:paraId="28878E0F">
      <w:pPr>
        <w:rPr>
          <w:color w:val="auto"/>
          <w:highlight w:val="none"/>
        </w:rPr>
      </w:pPr>
    </w:p>
    <w:p w14:paraId="4DB001B2">
      <w:pPr>
        <w:jc w:val="center"/>
        <w:rPr>
          <w:rFonts w:hint="eastAsia" w:ascii="宋体" w:hAnsi="宋体" w:cs="宋体"/>
          <w:b/>
          <w:color w:val="auto"/>
          <w:sz w:val="32"/>
          <w:szCs w:val="32"/>
          <w:highlight w:val="none"/>
        </w:rPr>
      </w:pPr>
    </w:p>
    <w:p w14:paraId="19B9598F">
      <w:pPr>
        <w:spacing w:line="360" w:lineRule="auto"/>
        <w:jc w:val="center"/>
        <w:outlineLvl w:val="1"/>
        <w:rPr>
          <w:rFonts w:asciiTheme="minorEastAsia" w:hAnsiTheme="minorEastAsia" w:eastAsiaTheme="minorEastAsia"/>
          <w:b/>
          <w:color w:val="auto"/>
          <w:sz w:val="24"/>
          <w:highlight w:val="none"/>
        </w:rPr>
      </w:pPr>
      <w:bookmarkStart w:id="82" w:name="_Toc461056631"/>
      <w:bookmarkStart w:id="83" w:name="_Toc461053086"/>
      <w:bookmarkStart w:id="84" w:name="_Toc520983587"/>
      <w:bookmarkStart w:id="85" w:name="_Toc26791"/>
      <w:bookmarkStart w:id="86" w:name="_Toc5881"/>
      <w:r>
        <w:rPr>
          <w:rFonts w:hint="eastAsia" w:asciiTheme="minorEastAsia" w:hAnsiTheme="minorEastAsia" w:eastAsiaTheme="minorEastAsia"/>
          <w:b/>
          <w:color w:val="auto"/>
          <w:sz w:val="24"/>
          <w:highlight w:val="none"/>
        </w:rPr>
        <w:t>一</w:t>
      </w:r>
      <w:bookmarkEnd w:id="82"/>
      <w:bookmarkEnd w:id="83"/>
      <w:r>
        <w:rPr>
          <w:rFonts w:hint="eastAsia" w:asciiTheme="minorEastAsia" w:hAnsiTheme="minorEastAsia" w:eastAsiaTheme="minorEastAsia"/>
          <w:b/>
          <w:color w:val="auto"/>
          <w:sz w:val="24"/>
          <w:highlight w:val="none"/>
        </w:rPr>
        <w:t>、报价表格式</w:t>
      </w:r>
      <w:bookmarkEnd w:id="84"/>
      <w:bookmarkEnd w:id="85"/>
      <w:bookmarkEnd w:id="86"/>
    </w:p>
    <w:p w14:paraId="446639F9">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737EF59F">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A1E5EC7">
      <w:pPr>
        <w:snapToGrid w:val="0"/>
        <w:spacing w:after="156" w:afterLines="50" w:line="360" w:lineRule="auto"/>
        <w:jc w:val="left"/>
        <w:rPr>
          <w:rFonts w:ascii="宋体" w:hAnsi="宋体" w:eastAsia="宋体"/>
          <w:b/>
          <w:bCs/>
          <w:color w:val="auto"/>
          <w:sz w:val="24"/>
          <w:szCs w:val="28"/>
          <w:highlight w:val="none"/>
          <w:u w:val="singl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648"/>
      </w:tblGrid>
      <w:tr w14:paraId="587CC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7B4C9337">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728BE9F4">
            <w:pPr>
              <w:spacing w:line="360" w:lineRule="auto"/>
              <w:rPr>
                <w:rFonts w:ascii="宋体" w:hAnsi="宋体" w:eastAsia="宋体"/>
                <w:b/>
                <w:color w:val="auto"/>
                <w:sz w:val="24"/>
                <w:highlight w:val="none"/>
              </w:rPr>
            </w:pPr>
          </w:p>
        </w:tc>
      </w:tr>
      <w:tr w14:paraId="63DC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090EC5DA">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磋商范围</w:t>
            </w:r>
          </w:p>
        </w:tc>
        <w:tc>
          <w:tcPr>
            <w:tcW w:w="3557" w:type="pct"/>
            <w:tcBorders>
              <w:left w:val="single" w:color="auto" w:sz="4" w:space="0"/>
            </w:tcBorders>
            <w:vAlign w:val="center"/>
          </w:tcPr>
          <w:p w14:paraId="314BE3B2">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34B1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4BA11716">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69F337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11263759">
            <w:pPr>
              <w:snapToGrid w:val="0"/>
              <w:spacing w:line="360" w:lineRule="auto"/>
              <w:rPr>
                <w:rFonts w:ascii="宋体" w:hAnsi="宋体" w:eastAsia="宋体"/>
                <w:color w:val="auto"/>
                <w:sz w:val="24"/>
                <w:szCs w:val="28"/>
                <w:highlight w:val="none"/>
              </w:rPr>
            </w:pPr>
          </w:p>
          <w:p w14:paraId="00CEDBB2">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10315E39">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4936452F">
            <w:pPr>
              <w:snapToGrid w:val="0"/>
              <w:spacing w:line="360" w:lineRule="auto"/>
              <w:rPr>
                <w:rFonts w:ascii="宋体" w:hAnsi="宋体" w:eastAsia="宋体"/>
                <w:b/>
                <w:color w:val="auto"/>
                <w:sz w:val="24"/>
                <w:highlight w:val="none"/>
              </w:rPr>
            </w:pPr>
          </w:p>
        </w:tc>
      </w:tr>
      <w:tr w14:paraId="3E62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1A22BEBF">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28B5F88B">
            <w:pPr>
              <w:spacing w:line="360" w:lineRule="auto"/>
              <w:rPr>
                <w:rFonts w:ascii="宋体" w:hAnsi="宋体" w:eastAsia="宋体"/>
                <w:b/>
                <w:color w:val="auto"/>
                <w:sz w:val="24"/>
                <w:highlight w:val="none"/>
              </w:rPr>
            </w:pPr>
          </w:p>
        </w:tc>
      </w:tr>
    </w:tbl>
    <w:p w14:paraId="136B28F6">
      <w:pPr>
        <w:spacing w:line="360" w:lineRule="auto"/>
        <w:ind w:firstLine="4800" w:firstLineChars="2000"/>
        <w:rPr>
          <w:rFonts w:hint="eastAsia" w:ascii="宋体" w:hAnsi="宋体" w:eastAsia="宋体"/>
          <w:color w:val="auto"/>
          <w:sz w:val="24"/>
          <w:highlight w:val="none"/>
        </w:rPr>
      </w:pPr>
    </w:p>
    <w:p w14:paraId="01C994F2">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0B66485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6EA74FCE">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2B3E707C">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磋商文件要求包括了服务及其配套的设计、采购、制造、检测、试验、运输、保险、仓储、税费以及现场落地、安装及安装耗损、调试、培训、技术服务（包括技术资料、图纸的提供）质保期内的售后服务保障等所有费用。</w:t>
      </w:r>
    </w:p>
    <w:p w14:paraId="3EA70ECA">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22822C07">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ascii="宋体" w:hAnsi="宋体" w:eastAsia="宋体"/>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3D78A417">
      <w:pPr>
        <w:widowControl/>
        <w:jc w:val="left"/>
        <w:rPr>
          <w:rFonts w:ascii="宋体" w:hAnsi="宋体" w:eastAsia="宋体"/>
          <w:b/>
          <w:bCs/>
          <w:color w:val="auto"/>
          <w:sz w:val="24"/>
          <w:szCs w:val="28"/>
          <w:highlight w:val="none"/>
        </w:rPr>
      </w:pPr>
      <w:r>
        <w:rPr>
          <w:rFonts w:ascii="宋体" w:hAnsi="宋体" w:eastAsia="宋体"/>
          <w:b/>
          <w:bCs/>
          <w:color w:val="auto"/>
          <w:sz w:val="24"/>
          <w:szCs w:val="28"/>
          <w:highlight w:val="none"/>
        </w:rPr>
        <w:br w:type="page"/>
      </w:r>
    </w:p>
    <w:p w14:paraId="50D2A78E">
      <w:pPr>
        <w:spacing w:before="156" w:beforeLines="50" w:after="156" w:afterLines="50" w:line="360" w:lineRule="auto"/>
        <w:jc w:val="left"/>
        <w:outlineLvl w:val="2"/>
        <w:rPr>
          <w:rFonts w:ascii="宋体" w:hAnsi="宋体" w:eastAsia="宋体"/>
          <w:b/>
          <w:sz w:val="24"/>
          <w:szCs w:val="28"/>
          <w:highlight w:val="none"/>
        </w:rPr>
      </w:pPr>
      <w:r>
        <w:rPr>
          <w:rFonts w:hint="eastAsia" w:ascii="宋体" w:hAnsi="宋体" w:eastAsia="宋体"/>
          <w:b/>
          <w:sz w:val="24"/>
          <w:szCs w:val="28"/>
          <w:highlight w:val="none"/>
        </w:rPr>
        <w:t>1-2 分项报价明细表</w:t>
      </w:r>
    </w:p>
    <w:tbl>
      <w:tblPr>
        <w:tblStyle w:val="41"/>
        <w:tblW w:w="50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3465"/>
        <w:gridCol w:w="1512"/>
        <w:gridCol w:w="1892"/>
        <w:gridCol w:w="1748"/>
      </w:tblGrid>
      <w:tr w14:paraId="4DDA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6" w:hRule="atLeast"/>
          <w:jc w:val="center"/>
        </w:trPr>
        <w:tc>
          <w:tcPr>
            <w:tcW w:w="463" w:type="pct"/>
            <w:noWrap w:val="0"/>
            <w:vAlign w:val="center"/>
          </w:tcPr>
          <w:p w14:paraId="05AF215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序号</w:t>
            </w:r>
          </w:p>
        </w:tc>
        <w:tc>
          <w:tcPr>
            <w:tcW w:w="1824" w:type="pct"/>
            <w:noWrap w:val="0"/>
            <w:vAlign w:val="center"/>
          </w:tcPr>
          <w:p w14:paraId="3BDB2FC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服务内容</w:t>
            </w:r>
          </w:p>
        </w:tc>
        <w:tc>
          <w:tcPr>
            <w:tcW w:w="796" w:type="pct"/>
            <w:noWrap w:val="0"/>
            <w:vAlign w:val="center"/>
          </w:tcPr>
          <w:p w14:paraId="5868306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项</w:t>
            </w:r>
          </w:p>
        </w:tc>
        <w:tc>
          <w:tcPr>
            <w:tcW w:w="996" w:type="pct"/>
            <w:noWrap w:val="0"/>
            <w:vAlign w:val="center"/>
          </w:tcPr>
          <w:p w14:paraId="7934227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单价</w:t>
            </w:r>
          </w:p>
        </w:tc>
        <w:tc>
          <w:tcPr>
            <w:tcW w:w="920" w:type="pct"/>
            <w:noWrap w:val="0"/>
            <w:vAlign w:val="center"/>
          </w:tcPr>
          <w:p w14:paraId="639A001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小计（元）</w:t>
            </w:r>
          </w:p>
        </w:tc>
      </w:tr>
      <w:tr w14:paraId="7667D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463" w:type="pct"/>
            <w:tcBorders>
              <w:bottom w:val="single" w:color="auto" w:sz="4" w:space="0"/>
            </w:tcBorders>
            <w:noWrap w:val="0"/>
            <w:vAlign w:val="center"/>
          </w:tcPr>
          <w:p w14:paraId="0E2044D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sz w:val="24"/>
                <w:highlight w:val="none"/>
              </w:rPr>
              <w:t>1</w:t>
            </w:r>
          </w:p>
        </w:tc>
        <w:tc>
          <w:tcPr>
            <w:tcW w:w="1824" w:type="pct"/>
            <w:noWrap w:val="0"/>
            <w:vAlign w:val="center"/>
          </w:tcPr>
          <w:p w14:paraId="7880AC6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Theme="minorEastAsia" w:hAnsiTheme="minorEastAsia" w:eastAsiaTheme="minorEastAsia" w:cstheme="minorEastAsia"/>
                <w:b w:val="0"/>
                <w:bCs/>
                <w:color w:val="auto"/>
                <w:kern w:val="0"/>
                <w:sz w:val="24"/>
                <w:szCs w:val="24"/>
                <w:highlight w:val="none"/>
                <w:lang w:val="en-US" w:eastAsia="zh-CN" w:bidi="ar-SA"/>
              </w:rPr>
              <w:t>校门口通行设备及系统维保</w:t>
            </w:r>
          </w:p>
        </w:tc>
        <w:tc>
          <w:tcPr>
            <w:tcW w:w="796" w:type="pct"/>
            <w:noWrap w:val="0"/>
            <w:vAlign w:val="center"/>
          </w:tcPr>
          <w:p w14:paraId="637F73F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highlight w:val="none"/>
                <w:lang w:val="en-US" w:eastAsia="zh-CN"/>
              </w:rPr>
            </w:pPr>
            <w:r>
              <w:rPr>
                <w:rFonts w:hint="eastAsia" w:ascii="宋体" w:hAnsi="宋体"/>
                <w:sz w:val="24"/>
                <w:highlight w:val="none"/>
                <w:lang w:val="en-US" w:eastAsia="zh-CN"/>
              </w:rPr>
              <w:t>1</w:t>
            </w:r>
          </w:p>
        </w:tc>
        <w:tc>
          <w:tcPr>
            <w:tcW w:w="996" w:type="pct"/>
            <w:noWrap w:val="0"/>
            <w:vAlign w:val="center"/>
          </w:tcPr>
          <w:p w14:paraId="1EA2F8B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20" w:type="pct"/>
            <w:noWrap w:val="0"/>
            <w:vAlign w:val="center"/>
          </w:tcPr>
          <w:p w14:paraId="60206FF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62A44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atLeast"/>
          <w:jc w:val="center"/>
        </w:trPr>
        <w:tc>
          <w:tcPr>
            <w:tcW w:w="463" w:type="pct"/>
            <w:noWrap w:val="0"/>
            <w:vAlign w:val="center"/>
          </w:tcPr>
          <w:p w14:paraId="552E171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sz w:val="24"/>
                <w:highlight w:val="none"/>
              </w:rPr>
              <w:t>2</w:t>
            </w:r>
          </w:p>
        </w:tc>
        <w:tc>
          <w:tcPr>
            <w:tcW w:w="1824" w:type="pct"/>
            <w:noWrap w:val="0"/>
            <w:vAlign w:val="center"/>
          </w:tcPr>
          <w:p w14:paraId="3F742D3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Theme="minorEastAsia" w:hAnsiTheme="minorEastAsia" w:eastAsiaTheme="minorEastAsia" w:cstheme="minorEastAsia"/>
                <w:b w:val="0"/>
                <w:bCs/>
                <w:color w:val="auto"/>
                <w:kern w:val="0"/>
                <w:sz w:val="24"/>
                <w:szCs w:val="24"/>
                <w:highlight w:val="none"/>
                <w:lang w:val="en-US" w:eastAsia="zh-CN" w:bidi="ar-SA"/>
              </w:rPr>
              <w:t>学生宿舍通行设备及系统维保</w:t>
            </w:r>
          </w:p>
        </w:tc>
        <w:tc>
          <w:tcPr>
            <w:tcW w:w="796" w:type="pct"/>
            <w:noWrap w:val="0"/>
            <w:vAlign w:val="center"/>
          </w:tcPr>
          <w:p w14:paraId="6B39482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highlight w:val="none"/>
                <w:lang w:val="en-US" w:eastAsia="zh-CN"/>
              </w:rPr>
            </w:pPr>
            <w:r>
              <w:rPr>
                <w:rFonts w:hint="eastAsia" w:ascii="宋体" w:hAnsi="宋体"/>
                <w:sz w:val="24"/>
                <w:highlight w:val="none"/>
                <w:lang w:val="en-US" w:eastAsia="zh-CN"/>
              </w:rPr>
              <w:t>1</w:t>
            </w:r>
          </w:p>
        </w:tc>
        <w:tc>
          <w:tcPr>
            <w:tcW w:w="996" w:type="pct"/>
            <w:noWrap w:val="0"/>
            <w:vAlign w:val="center"/>
          </w:tcPr>
          <w:p w14:paraId="036157F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20" w:type="pct"/>
            <w:noWrap w:val="0"/>
            <w:vAlign w:val="center"/>
          </w:tcPr>
          <w:p w14:paraId="5AAEBA9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51A5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jc w:val="center"/>
        </w:trPr>
        <w:tc>
          <w:tcPr>
            <w:tcW w:w="4079" w:type="pct"/>
            <w:gridSpan w:val="4"/>
            <w:noWrap w:val="0"/>
            <w:vAlign w:val="center"/>
          </w:tcPr>
          <w:p w14:paraId="4C32EFE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b/>
                <w:sz w:val="24"/>
                <w:highlight w:val="none"/>
              </w:rPr>
              <w:t>合计金额（元）</w:t>
            </w:r>
          </w:p>
        </w:tc>
        <w:tc>
          <w:tcPr>
            <w:tcW w:w="920" w:type="pct"/>
            <w:noWrap w:val="0"/>
            <w:vAlign w:val="center"/>
          </w:tcPr>
          <w:p w14:paraId="56C4B51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bl>
    <w:p w14:paraId="6ACAA8D5">
      <w:pPr>
        <w:spacing w:line="360" w:lineRule="auto"/>
        <w:rPr>
          <w:rFonts w:hint="default" w:ascii="宋体" w:hAnsi="宋体" w:eastAsia="宋体"/>
          <w:color w:val="auto"/>
          <w:sz w:val="24"/>
          <w:highlight w:val="none"/>
          <w:lang w:val="en-US" w:eastAsia="zh-CN"/>
        </w:rPr>
      </w:pPr>
    </w:p>
    <w:p w14:paraId="0AB78D99">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1F352856">
      <w:pPr>
        <w:tabs>
          <w:tab w:val="left" w:pos="630"/>
        </w:tabs>
        <w:spacing w:line="360" w:lineRule="auto"/>
        <w:ind w:firstLine="4800" w:firstLineChars="2000"/>
        <w:rPr>
          <w:rFonts w:ascii="宋体" w:hAnsi="宋体" w:eastAsia="宋体"/>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683FB1A4">
      <w:pPr>
        <w:spacing w:line="360" w:lineRule="auto"/>
        <w:ind w:firstLine="435"/>
        <w:jc w:val="right"/>
        <w:rPr>
          <w:rFonts w:hint="eastAsia" w:ascii="宋体" w:hAnsi="宋体" w:eastAsia="宋体"/>
          <w:bCs/>
          <w:sz w:val="24"/>
          <w:szCs w:val="28"/>
          <w:highlight w:val="none"/>
          <w:u w:val="single"/>
        </w:rPr>
      </w:pPr>
    </w:p>
    <w:p w14:paraId="5978ADA8">
      <w:pPr>
        <w:spacing w:line="360" w:lineRule="auto"/>
        <w:ind w:firstLine="435"/>
        <w:jc w:val="right"/>
        <w:rPr>
          <w:rFonts w:hint="eastAsia" w:ascii="宋体" w:hAnsi="宋体" w:eastAsia="宋体"/>
          <w:bCs/>
          <w:sz w:val="24"/>
          <w:szCs w:val="28"/>
          <w:highlight w:val="none"/>
          <w:u w:val="single"/>
        </w:rPr>
      </w:pPr>
    </w:p>
    <w:p w14:paraId="4EDFFC87">
      <w:pPr>
        <w:spacing w:line="360" w:lineRule="auto"/>
        <w:ind w:firstLine="435"/>
        <w:jc w:val="right"/>
        <w:rPr>
          <w:rFonts w:hint="eastAsia" w:ascii="宋体" w:hAnsi="宋体" w:eastAsia="宋体"/>
          <w:bCs/>
          <w:sz w:val="24"/>
          <w:szCs w:val="28"/>
          <w:highlight w:val="none"/>
          <w:u w:val="single"/>
        </w:rPr>
      </w:pPr>
    </w:p>
    <w:p w14:paraId="01DC9F39">
      <w:pPr>
        <w:spacing w:line="360" w:lineRule="auto"/>
        <w:ind w:firstLine="435"/>
        <w:jc w:val="right"/>
        <w:rPr>
          <w:rFonts w:ascii="宋体" w:hAnsi="宋体" w:eastAsia="宋体"/>
          <w:b/>
          <w:bCs/>
          <w:sz w:val="24"/>
          <w:szCs w:val="28"/>
          <w:highlight w:val="none"/>
        </w:rPr>
      </w:pPr>
      <w:r>
        <w:rPr>
          <w:rFonts w:hint="eastAsia" w:ascii="宋体" w:hAnsi="宋体" w:eastAsia="宋体"/>
          <w:bCs/>
          <w:sz w:val="24"/>
          <w:szCs w:val="28"/>
          <w:highlight w:val="none"/>
          <w:u w:val="single"/>
        </w:rPr>
        <w:t xml:space="preserve">       </w:t>
      </w:r>
    </w:p>
    <w:p w14:paraId="052B0EC2">
      <w:pPr>
        <w:spacing w:line="360" w:lineRule="auto"/>
        <w:rPr>
          <w:rFonts w:hint="eastAsia" w:asciiTheme="minorEastAsia" w:hAnsiTheme="minorEastAsia" w:eastAsiaTheme="minorEastAsia"/>
          <w:b/>
          <w:bCs/>
          <w:sz w:val="21"/>
          <w:szCs w:val="21"/>
          <w:highlight w:val="none"/>
          <w:lang w:eastAsia="zh-CN"/>
        </w:rPr>
      </w:pPr>
      <w:r>
        <w:rPr>
          <w:rFonts w:hint="eastAsia" w:asciiTheme="minorEastAsia" w:hAnsiTheme="minorEastAsia" w:eastAsiaTheme="minorEastAsia"/>
          <w:b/>
          <w:bCs/>
          <w:sz w:val="21"/>
          <w:szCs w:val="21"/>
          <w:highlight w:val="none"/>
          <w:lang w:eastAsia="zh-CN"/>
        </w:rPr>
        <w:t>注：</w:t>
      </w:r>
    </w:p>
    <w:p w14:paraId="165D26D6">
      <w:pPr>
        <w:spacing w:line="360" w:lineRule="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1.表1-2-1</w:t>
      </w:r>
      <w:r>
        <w:rPr>
          <w:rFonts w:hint="eastAsia" w:asciiTheme="minorEastAsia" w:hAnsiTheme="minorEastAsia" w:eastAsiaTheme="minorEastAsia"/>
          <w:sz w:val="21"/>
          <w:szCs w:val="21"/>
          <w:highlight w:val="none"/>
        </w:rPr>
        <w:t>中须明确列出所投产品的货物名称、品牌、型号规格、原产地及生产厂商</w:t>
      </w:r>
      <w:r>
        <w:rPr>
          <w:rFonts w:hint="eastAsia" w:asciiTheme="minorEastAsia" w:hAnsiTheme="minorEastAsia" w:eastAsiaTheme="minorEastAsia"/>
          <w:sz w:val="21"/>
          <w:szCs w:val="21"/>
          <w:highlight w:val="none"/>
          <w:lang w:eastAsia="zh-CN"/>
        </w:rPr>
        <w:t>（</w:t>
      </w:r>
      <w:r>
        <w:rPr>
          <w:rFonts w:hint="eastAsia" w:asciiTheme="minorEastAsia" w:hAnsiTheme="minorEastAsia" w:eastAsiaTheme="minorEastAsia"/>
          <w:sz w:val="21"/>
          <w:szCs w:val="21"/>
          <w:highlight w:val="none"/>
          <w:lang w:val="en-US" w:eastAsia="zh-CN"/>
        </w:rPr>
        <w:t>如有</w:t>
      </w:r>
      <w:r>
        <w:rPr>
          <w:rFonts w:hint="eastAsia" w:asciiTheme="minorEastAsia" w:hAnsiTheme="minorEastAsia" w:eastAsiaTheme="minorEastAsia"/>
          <w:sz w:val="21"/>
          <w:szCs w:val="21"/>
          <w:highlight w:val="none"/>
          <w:lang w:eastAsia="zh-CN"/>
        </w:rPr>
        <w:t>）</w:t>
      </w:r>
      <w:r>
        <w:rPr>
          <w:rFonts w:hint="eastAsia" w:asciiTheme="minorEastAsia" w:hAnsiTheme="minorEastAsia" w:eastAsiaTheme="minorEastAsia"/>
          <w:sz w:val="21"/>
          <w:szCs w:val="21"/>
          <w:highlight w:val="none"/>
        </w:rPr>
        <w:t>，否则可能导致</w:t>
      </w:r>
      <w:r>
        <w:rPr>
          <w:rFonts w:hint="eastAsia" w:asciiTheme="minorEastAsia" w:hAnsiTheme="minorEastAsia" w:eastAsiaTheme="minorEastAsia"/>
          <w:b/>
          <w:bCs/>
          <w:sz w:val="21"/>
          <w:szCs w:val="21"/>
          <w:highlight w:val="none"/>
          <w:lang w:val="en-US" w:eastAsia="zh-CN"/>
        </w:rPr>
        <w:t>响应</w:t>
      </w:r>
      <w:r>
        <w:rPr>
          <w:rFonts w:hint="eastAsia" w:asciiTheme="minorEastAsia" w:hAnsiTheme="minorEastAsia" w:eastAsiaTheme="minorEastAsia"/>
          <w:b/>
          <w:bCs/>
          <w:sz w:val="21"/>
          <w:szCs w:val="21"/>
          <w:highlight w:val="none"/>
        </w:rPr>
        <w:t>无效</w:t>
      </w:r>
      <w:r>
        <w:rPr>
          <w:rFonts w:hint="eastAsia" w:asciiTheme="minorEastAsia" w:hAnsiTheme="minorEastAsia" w:eastAsiaTheme="minorEastAsia"/>
          <w:b/>
          <w:bCs/>
          <w:sz w:val="21"/>
          <w:szCs w:val="21"/>
          <w:highlight w:val="none"/>
          <w:lang w:eastAsia="zh-CN"/>
        </w:rPr>
        <w:t>。</w:t>
      </w:r>
    </w:p>
    <w:p w14:paraId="6D55F71D">
      <w:pPr>
        <w:spacing w:line="360" w:lineRule="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2.上述报价为供应商完成本项目内容的全部费用（总报价为表1-2-1（如有）和表1-2-2合计金额之和），</w:t>
      </w:r>
      <w:r>
        <w:rPr>
          <w:rFonts w:hint="eastAsia" w:asciiTheme="minorEastAsia" w:hAnsiTheme="minorEastAsia" w:eastAsiaTheme="minorEastAsia"/>
          <w:sz w:val="21"/>
          <w:szCs w:val="21"/>
          <w:highlight w:val="none"/>
        </w:rPr>
        <w:t>如有漏项或缺项，</w:t>
      </w:r>
      <w:r>
        <w:rPr>
          <w:rFonts w:hint="eastAsia" w:asciiTheme="minorEastAsia" w:hAnsiTheme="minorEastAsia" w:eastAsiaTheme="minorEastAsia"/>
          <w:sz w:val="21"/>
          <w:szCs w:val="21"/>
          <w:highlight w:val="none"/>
          <w:lang w:val="en-US" w:eastAsia="zh-CN"/>
        </w:rPr>
        <w:t>自行</w:t>
      </w:r>
      <w:r>
        <w:rPr>
          <w:rFonts w:hint="eastAsia" w:asciiTheme="minorEastAsia" w:hAnsiTheme="minorEastAsia" w:eastAsiaTheme="minorEastAsia"/>
          <w:sz w:val="21"/>
          <w:szCs w:val="21"/>
          <w:highlight w:val="none"/>
        </w:rPr>
        <w:t>承担全部责任。</w:t>
      </w:r>
    </w:p>
    <w:p w14:paraId="2FEFAA11">
      <w:pPr>
        <w:widowControl/>
        <w:jc w:val="left"/>
        <w:rPr>
          <w:rFonts w:ascii="宋体" w:hAnsi="宋体" w:eastAsia="宋体"/>
          <w:b/>
          <w:bCs/>
          <w:color w:val="auto"/>
          <w:sz w:val="24"/>
          <w:szCs w:val="28"/>
          <w:highlight w:val="none"/>
        </w:rPr>
      </w:pPr>
      <w:r>
        <w:rPr>
          <w:rFonts w:ascii="宋体" w:hAnsi="宋体" w:eastAsia="宋体"/>
          <w:b/>
          <w:bCs/>
          <w:color w:val="auto"/>
          <w:sz w:val="24"/>
          <w:szCs w:val="28"/>
          <w:highlight w:val="none"/>
        </w:rPr>
        <w:br w:type="page"/>
      </w:r>
    </w:p>
    <w:p w14:paraId="68A4208E">
      <w:pPr>
        <w:spacing w:line="360" w:lineRule="auto"/>
        <w:jc w:val="center"/>
        <w:outlineLvl w:val="1"/>
        <w:rPr>
          <w:rFonts w:asciiTheme="minorEastAsia" w:hAnsiTheme="minorEastAsia" w:eastAsiaTheme="minorEastAsia"/>
          <w:b/>
          <w:color w:val="auto"/>
          <w:sz w:val="24"/>
          <w:highlight w:val="none"/>
        </w:rPr>
      </w:pPr>
      <w:bookmarkStart w:id="87" w:name="_Toc461053087"/>
      <w:bookmarkStart w:id="88" w:name="_Toc461056632"/>
      <w:bookmarkStart w:id="89" w:name="_Toc28695"/>
      <w:bookmarkStart w:id="90" w:name="_Toc520983588"/>
      <w:bookmarkStart w:id="91" w:name="_Toc32436"/>
      <w:r>
        <w:rPr>
          <w:rFonts w:hint="eastAsia" w:asciiTheme="minorEastAsia" w:hAnsiTheme="minorEastAsia" w:eastAsiaTheme="minorEastAsia"/>
          <w:b/>
          <w:color w:val="auto"/>
          <w:sz w:val="24"/>
          <w:highlight w:val="none"/>
        </w:rPr>
        <w:t>二</w:t>
      </w:r>
      <w:bookmarkEnd w:id="87"/>
      <w:bookmarkEnd w:id="88"/>
      <w:r>
        <w:rPr>
          <w:rFonts w:hint="eastAsia" w:asciiTheme="minorEastAsia" w:hAnsiTheme="minorEastAsia" w:eastAsiaTheme="minorEastAsia"/>
          <w:b/>
          <w:color w:val="auto"/>
          <w:sz w:val="24"/>
          <w:highlight w:val="none"/>
        </w:rPr>
        <w:t>、最后承诺报价表</w:t>
      </w:r>
      <w:bookmarkEnd w:id="89"/>
      <w:bookmarkEnd w:id="90"/>
      <w:bookmarkEnd w:id="91"/>
    </w:p>
    <w:p w14:paraId="7E649E58">
      <w:pPr>
        <w:spacing w:before="156" w:beforeLines="50" w:after="156" w:afterLines="50" w:line="360" w:lineRule="auto"/>
        <w:ind w:firstLine="236" w:firstLineChars="98"/>
        <w:jc w:val="center"/>
        <w:rPr>
          <w:rFonts w:ascii="宋体" w:hAnsi="宋体" w:eastAsia="宋体"/>
          <w:b/>
          <w:color w:val="auto"/>
          <w:sz w:val="24"/>
          <w:szCs w:val="28"/>
          <w:highlight w:val="none"/>
        </w:rPr>
      </w:pPr>
      <w:r>
        <w:rPr>
          <w:rFonts w:hint="eastAsia" w:ascii="宋体" w:hAnsi="宋体" w:eastAsia="宋体"/>
          <w:b/>
          <w:color w:val="auto"/>
          <w:sz w:val="24"/>
          <w:szCs w:val="28"/>
          <w:highlight w:val="none"/>
        </w:rPr>
        <w:t>（第</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rPr>
        <w:t>次报价书）</w:t>
      </w:r>
    </w:p>
    <w:p w14:paraId="195FD5AE">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7FCD52A">
      <w:pPr>
        <w:snapToGrid w:val="0"/>
        <w:spacing w:after="156" w:afterLines="50" w:line="360" w:lineRule="auto"/>
        <w:jc w:val="left"/>
        <w:rPr>
          <w:rFonts w:ascii="宋体" w:hAnsi="宋体" w:eastAsia="宋体"/>
          <w:b/>
          <w:bCs/>
          <w:color w:val="auto"/>
          <w:sz w:val="24"/>
          <w:szCs w:val="28"/>
          <w:highlight w:val="non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648"/>
      </w:tblGrid>
      <w:tr w14:paraId="547A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25345D11">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6" w:type="pct"/>
            <w:tcBorders>
              <w:left w:val="single" w:color="auto" w:sz="4" w:space="0"/>
            </w:tcBorders>
          </w:tcPr>
          <w:p w14:paraId="7D6166BF">
            <w:pPr>
              <w:spacing w:line="360" w:lineRule="auto"/>
              <w:rPr>
                <w:rFonts w:ascii="宋体" w:hAnsi="宋体" w:eastAsia="宋体"/>
                <w:b/>
                <w:color w:val="auto"/>
                <w:sz w:val="24"/>
                <w:highlight w:val="none"/>
              </w:rPr>
            </w:pPr>
          </w:p>
        </w:tc>
      </w:tr>
      <w:tr w14:paraId="0FD6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A9F6FFB">
            <w:pPr>
              <w:spacing w:line="360" w:lineRule="exact"/>
              <w:jc w:val="center"/>
              <w:rPr>
                <w:rFonts w:ascii="宋体" w:hAnsi="宋体" w:eastAsia="宋体"/>
                <w:b/>
                <w:color w:val="auto"/>
                <w:sz w:val="24"/>
                <w:highlight w:val="none"/>
              </w:rPr>
            </w:pPr>
            <w:r>
              <w:rPr>
                <w:rFonts w:hint="eastAsia" w:ascii="宋体" w:hAnsi="宋体" w:eastAsia="宋体"/>
                <w:b/>
                <w:bCs/>
                <w:color w:val="auto"/>
                <w:sz w:val="24"/>
                <w:szCs w:val="28"/>
                <w:highlight w:val="none"/>
              </w:rPr>
              <w:t>磋商</w:t>
            </w:r>
            <w:r>
              <w:rPr>
                <w:rFonts w:hint="eastAsia" w:ascii="宋体" w:hAnsi="宋体" w:eastAsia="宋体"/>
                <w:b/>
                <w:color w:val="auto"/>
                <w:sz w:val="24"/>
                <w:highlight w:val="none"/>
              </w:rPr>
              <w:t>范围</w:t>
            </w:r>
          </w:p>
        </w:tc>
        <w:tc>
          <w:tcPr>
            <w:tcW w:w="3556" w:type="pct"/>
            <w:tcBorders>
              <w:left w:val="single" w:color="auto" w:sz="4" w:space="0"/>
            </w:tcBorders>
            <w:vAlign w:val="center"/>
          </w:tcPr>
          <w:p w14:paraId="3FD963C8">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3045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6273E375">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0374BC0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6" w:type="pct"/>
            <w:vAlign w:val="center"/>
          </w:tcPr>
          <w:p w14:paraId="6A57BBC0">
            <w:pPr>
              <w:snapToGrid w:val="0"/>
              <w:spacing w:line="360" w:lineRule="auto"/>
              <w:rPr>
                <w:rFonts w:ascii="宋体" w:hAnsi="宋体" w:eastAsia="宋体"/>
                <w:color w:val="auto"/>
                <w:sz w:val="24"/>
                <w:szCs w:val="28"/>
                <w:highlight w:val="none"/>
              </w:rPr>
            </w:pPr>
          </w:p>
          <w:p w14:paraId="48D29B02">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人民币大写：</w:t>
            </w:r>
            <w:r>
              <w:rPr>
                <w:rFonts w:hint="eastAsia" w:ascii="宋体" w:hAnsi="宋体" w:eastAsia="宋体" w:cs="宋体"/>
                <w:bCs/>
                <w:color w:val="auto"/>
                <w:sz w:val="24"/>
                <w:szCs w:val="24"/>
                <w:highlight w:val="none"/>
                <w:u w:val="single"/>
              </w:rPr>
              <w:t xml:space="preserve">                     </w:t>
            </w:r>
          </w:p>
          <w:p w14:paraId="45A1A035">
            <w:pPr>
              <w:spacing w:line="360" w:lineRule="auto"/>
              <w:ind w:right="-670"/>
              <w:rPr>
                <w:rFonts w:ascii="宋体" w:hAnsi="宋体" w:eastAsia="宋体"/>
                <w:b/>
                <w:color w:val="auto"/>
                <w:sz w:val="24"/>
                <w:highlight w:val="none"/>
              </w:rPr>
            </w:pPr>
            <w:r>
              <w:rPr>
                <w:rFonts w:hint="eastAsia" w:ascii="宋体" w:hAnsi="宋体" w:eastAsia="宋体" w:cs="宋体"/>
                <w:bCs/>
                <w:color w:val="auto"/>
                <w:sz w:val="24"/>
                <w:szCs w:val="24"/>
                <w:highlight w:val="none"/>
              </w:rPr>
              <w:t>人民币小写：</w:t>
            </w:r>
            <w:r>
              <w:rPr>
                <w:rFonts w:hint="eastAsia" w:ascii="宋体" w:hAnsi="宋体" w:eastAsia="宋体" w:cs="宋体"/>
                <w:bCs/>
                <w:color w:val="auto"/>
                <w:sz w:val="24"/>
                <w:szCs w:val="24"/>
                <w:highlight w:val="none"/>
                <w:u w:val="single"/>
              </w:rPr>
              <w:t xml:space="preserve">                     </w:t>
            </w:r>
          </w:p>
        </w:tc>
      </w:tr>
      <w:tr w14:paraId="0BF4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1443" w:type="pct"/>
            <w:vAlign w:val="center"/>
          </w:tcPr>
          <w:p w14:paraId="186225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6" w:type="pct"/>
          </w:tcPr>
          <w:p w14:paraId="54E98CD2">
            <w:pPr>
              <w:spacing w:line="360" w:lineRule="auto"/>
              <w:rPr>
                <w:rFonts w:ascii="宋体" w:hAnsi="宋体" w:eastAsia="宋体"/>
                <w:b/>
                <w:color w:val="auto"/>
                <w:sz w:val="24"/>
                <w:highlight w:val="none"/>
              </w:rPr>
            </w:pPr>
          </w:p>
        </w:tc>
      </w:tr>
    </w:tbl>
    <w:p w14:paraId="6B17390E">
      <w:pPr>
        <w:spacing w:line="360" w:lineRule="auto"/>
        <w:ind w:firstLine="3600" w:firstLineChars="1500"/>
        <w:jc w:val="left"/>
        <w:rPr>
          <w:rFonts w:hint="eastAsia" w:ascii="宋体" w:hAnsi="宋体" w:eastAsia="宋体"/>
          <w:color w:val="auto"/>
          <w:sz w:val="24"/>
          <w:highlight w:val="none"/>
        </w:rPr>
      </w:pPr>
    </w:p>
    <w:p w14:paraId="5E31BF6B">
      <w:pPr>
        <w:spacing w:line="360" w:lineRule="auto"/>
        <w:ind w:firstLine="3600" w:firstLineChars="1500"/>
        <w:jc w:val="left"/>
        <w:rPr>
          <w:rFonts w:ascii="宋体" w:hAnsi="宋体" w:eastAsia="宋体"/>
          <w:color w:val="auto"/>
          <w:sz w:val="24"/>
          <w:highlight w:val="none"/>
        </w:rPr>
      </w:pPr>
      <w:r>
        <w:rPr>
          <w:rFonts w:hint="eastAsia" w:ascii="宋体" w:hAnsi="宋体" w:eastAsia="宋体"/>
          <w:color w:val="auto"/>
          <w:sz w:val="24"/>
          <w:highlight w:val="none"/>
        </w:rPr>
        <w:t>供应商公章或授权代表签字：</w:t>
      </w:r>
      <w:r>
        <w:rPr>
          <w:rFonts w:hint="eastAsia" w:ascii="宋体" w:hAnsi="宋体" w:eastAsia="宋体"/>
          <w:color w:val="auto"/>
          <w:sz w:val="24"/>
          <w:highlight w:val="none"/>
          <w:u w:val="single"/>
        </w:rPr>
        <w:t xml:space="preserve">             </w:t>
      </w:r>
    </w:p>
    <w:p w14:paraId="2E3C5689">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0415931">
      <w:pPr>
        <w:spacing w:line="360" w:lineRule="auto"/>
        <w:jc w:val="left"/>
        <w:rPr>
          <w:rFonts w:hint="eastAsia" w:ascii="宋体" w:hAnsi="宋体" w:eastAsia="宋体"/>
          <w:b/>
          <w:bCs/>
          <w:color w:val="auto"/>
          <w:sz w:val="24"/>
          <w:highlight w:val="none"/>
        </w:rPr>
      </w:pPr>
      <w:r>
        <w:rPr>
          <w:rFonts w:hint="eastAsia" w:ascii="宋体" w:hAnsi="宋体" w:eastAsia="宋体"/>
          <w:b/>
          <w:bCs/>
          <w:color w:val="auto"/>
          <w:sz w:val="24"/>
          <w:highlight w:val="none"/>
        </w:rPr>
        <w:t>注：</w:t>
      </w:r>
    </w:p>
    <w:p w14:paraId="0C6A350F">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bCs/>
          <w:color w:val="auto"/>
          <w:sz w:val="24"/>
          <w:highlight w:val="none"/>
        </w:rPr>
      </w:pPr>
      <w:r>
        <w:rPr>
          <w:rFonts w:hint="eastAsia" w:ascii="宋体" w:hAnsi="宋体" w:eastAsia="宋体"/>
          <w:b/>
          <w:bCs/>
          <w:color w:val="auto"/>
          <w:sz w:val="24"/>
          <w:highlight w:val="none"/>
          <w:lang w:val="en-US" w:eastAsia="zh-CN"/>
        </w:rPr>
        <w:t>1.</w:t>
      </w:r>
      <w:r>
        <w:rPr>
          <w:rFonts w:hint="eastAsia" w:ascii="宋体" w:hAnsi="宋体" w:eastAsia="宋体"/>
          <w:b/>
          <w:bCs/>
          <w:color w:val="auto"/>
          <w:sz w:val="24"/>
          <w:highlight w:val="none"/>
        </w:rPr>
        <w:t>本页《报价表》由供应商在接到报价通知后依据磋商情况填写,并在规定时间内提交。</w:t>
      </w:r>
      <w:r>
        <w:rPr>
          <w:rFonts w:hint="eastAsia" w:ascii="宋体" w:hAnsi="宋体" w:eastAsia="宋体"/>
          <w:color w:val="auto"/>
          <w:sz w:val="24"/>
          <w:highlight w:val="none"/>
        </w:rPr>
        <w:t>考虑磋商报价的方便，供应商在填写最后承诺报价后，（第一次报价-最后承诺报价）除以第一次报价后得出的优惠率视同为需求表中全部分项设备、工程量或服务的优惠浮动值（特定分项优惠除外），而不考虑措施项目清单和规费税金清单的金额改变。</w:t>
      </w:r>
      <w:r>
        <w:rPr>
          <w:rFonts w:hint="eastAsia" w:ascii="宋体" w:hAnsi="宋体" w:eastAsia="宋体"/>
          <w:bCs/>
          <w:color w:val="auto"/>
          <w:sz w:val="24"/>
          <w:highlight w:val="none"/>
        </w:rPr>
        <w:t>此优惠率调整原则适用于合同内价格的计算及项目增减、变更时价格的计算。</w:t>
      </w:r>
    </w:p>
    <w:p w14:paraId="55C885D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b/>
          <w:bCs/>
          <w:color w:val="auto"/>
          <w:sz w:val="24"/>
          <w:szCs w:val="28"/>
          <w:highlight w:val="none"/>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.表中大写金额与小写金额不一致的，以大写金额为准。</w:t>
      </w:r>
    </w:p>
    <w:p w14:paraId="54F6424B">
      <w:pPr>
        <w:spacing w:line="360" w:lineRule="auto"/>
        <w:ind w:firstLine="482" w:firstLineChars="200"/>
        <w:rPr>
          <w:rFonts w:hint="eastAsia" w:asciiTheme="minorEastAsia" w:hAnsiTheme="minorEastAsia" w:eastAsiaTheme="minorEastAsia"/>
          <w:b/>
          <w:color w:val="auto"/>
          <w:sz w:val="24"/>
          <w:highlight w:val="none"/>
        </w:rPr>
      </w:pPr>
      <w:r>
        <w:rPr>
          <w:rFonts w:hint="eastAsia" w:ascii="宋体" w:hAnsi="宋体" w:eastAsia="宋体"/>
          <w:b/>
          <w:bCs/>
          <w:color w:val="auto"/>
          <w:sz w:val="24"/>
          <w:szCs w:val="28"/>
          <w:highlight w:val="none"/>
          <w:lang w:val="en-US" w:eastAsia="zh-CN"/>
        </w:rPr>
        <w:t>3.</w:t>
      </w:r>
      <w:r>
        <w:rPr>
          <w:rFonts w:hint="eastAsia" w:ascii="宋体" w:hAnsi="宋体"/>
          <w:b/>
          <w:sz w:val="24"/>
        </w:rPr>
        <w:t>此表请各供应商多准备几份，并加盖供应商公章，以便在</w:t>
      </w:r>
      <w:r>
        <w:rPr>
          <w:rFonts w:hint="eastAsia" w:ascii="宋体" w:hAnsi="宋体"/>
          <w:b/>
          <w:sz w:val="24"/>
          <w:lang w:val="en-US" w:eastAsia="zh-CN"/>
        </w:rPr>
        <w:t>谈判</w:t>
      </w:r>
      <w:r>
        <w:rPr>
          <w:rFonts w:hint="eastAsia" w:ascii="宋体" w:hAnsi="宋体"/>
          <w:b/>
          <w:sz w:val="24"/>
        </w:rPr>
        <w:t>时报价使用。（此表由供应商</w:t>
      </w:r>
      <w:r>
        <w:rPr>
          <w:rFonts w:hint="eastAsia" w:ascii="宋体" w:hAnsi="宋体"/>
          <w:b/>
          <w:sz w:val="24"/>
          <w:lang w:val="en-US" w:eastAsia="zh-CN"/>
        </w:rPr>
        <w:t>谈判</w:t>
      </w:r>
      <w:r>
        <w:rPr>
          <w:rFonts w:hint="eastAsia" w:ascii="宋体" w:hAnsi="宋体"/>
          <w:b/>
          <w:sz w:val="24"/>
        </w:rPr>
        <w:t>现场递交）</w:t>
      </w:r>
    </w:p>
    <w:p w14:paraId="50B72D77">
      <w:pPr>
        <w:pStyle w:val="18"/>
        <w:ind w:firstLine="420" w:firstLineChars="200"/>
        <w:rPr>
          <w:rFonts w:hint="default" w:eastAsia="宋体"/>
          <w:lang w:val="en-US" w:eastAsia="zh-CN"/>
        </w:rPr>
      </w:pPr>
    </w:p>
    <w:p w14:paraId="74523BB0">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166BBDFA">
      <w:pPr>
        <w:spacing w:line="360" w:lineRule="auto"/>
        <w:jc w:val="center"/>
        <w:outlineLvl w:val="1"/>
        <w:rPr>
          <w:rFonts w:asciiTheme="minorEastAsia" w:hAnsiTheme="minorEastAsia" w:eastAsiaTheme="minorEastAsia"/>
          <w:b/>
          <w:color w:val="auto"/>
          <w:sz w:val="24"/>
          <w:highlight w:val="none"/>
        </w:rPr>
      </w:pPr>
      <w:bookmarkStart w:id="92" w:name="_Toc32385"/>
      <w:bookmarkStart w:id="93" w:name="_Toc520983591"/>
      <w:bookmarkStart w:id="94" w:name="_Toc11500"/>
      <w:r>
        <w:rPr>
          <w:rFonts w:hint="eastAsia" w:asciiTheme="minorEastAsia" w:hAnsiTheme="minorEastAsia" w:eastAsiaTheme="minorEastAsia"/>
          <w:b/>
          <w:color w:val="auto"/>
          <w:sz w:val="24"/>
          <w:highlight w:val="none"/>
        </w:rPr>
        <w:t>三、磋商响应函</w:t>
      </w:r>
      <w:bookmarkEnd w:id="92"/>
      <w:bookmarkEnd w:id="93"/>
      <w:bookmarkEnd w:id="94"/>
    </w:p>
    <w:p w14:paraId="5FCDD945">
      <w:pPr>
        <w:pStyle w:val="24"/>
        <w:spacing w:line="360" w:lineRule="auto"/>
        <w:ind w:left="0" w:leftChars="0" w:firstLine="0" w:firstLineChars="0"/>
        <w:rPr>
          <w:rFonts w:hint="eastAsia" w:ascii="宋体" w:hAnsi="宋体" w:eastAsia="宋体"/>
          <w:color w:val="auto"/>
          <w:sz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lang w:val="en-US" w:eastAsia="zh-CN"/>
        </w:rPr>
        <w:t>采购人</w:t>
      </w:r>
    </w:p>
    <w:p w14:paraId="5ADEBF28">
      <w:pPr>
        <w:spacing w:line="360" w:lineRule="auto"/>
        <w:ind w:firstLine="480" w:firstLineChars="200"/>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95" w:name="_Hlk44287543"/>
      <w:r>
        <w:rPr>
          <w:rFonts w:hint="eastAsia" w:ascii="宋体" w:hAnsi="宋体" w:eastAsia="宋体"/>
          <w:color w:val="auto"/>
          <w:sz w:val="24"/>
          <w:highlight w:val="none"/>
        </w:rPr>
        <w:t>竞争性磋商公告和磋商邀请</w:t>
      </w:r>
      <w:bookmarkEnd w:id="95"/>
      <w:r>
        <w:rPr>
          <w:rFonts w:hint="eastAsia" w:ascii="宋体" w:hAnsi="宋体" w:eastAsia="宋体"/>
          <w:color w:val="auto"/>
          <w:sz w:val="24"/>
          <w:highlight w:val="none"/>
        </w:rPr>
        <w:t>，我方兹宣布同意如下：</w:t>
      </w:r>
    </w:p>
    <w:p w14:paraId="382E69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文件的规定，严格履行合同的责任和义务,并保证于买方要求的日期内完成，并通过买方验收。</w:t>
      </w:r>
    </w:p>
    <w:p w14:paraId="096EDAF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文件，包括</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附件及更正公告</w:t>
      </w:r>
      <w:r>
        <w:rPr>
          <w:rFonts w:hint="eastAsia" w:asciiTheme="minorEastAsia" w:hAnsiTheme="minorEastAsia" w:eastAsiaTheme="minorEastAsia"/>
          <w:color w:val="auto"/>
          <w:sz w:val="24"/>
          <w:highlight w:val="none"/>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我方正式认可并遵守本次</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文件各项条款、规定及要求均无异议。</w:t>
      </w:r>
    </w:p>
    <w:p w14:paraId="7261F9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日期起遵循本</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文件，并在</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有效期之前均具有约束力。</w:t>
      </w:r>
    </w:p>
    <w:p w14:paraId="72F6565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有关的任何证据、数据或资料。</w:t>
      </w:r>
    </w:p>
    <w:p w14:paraId="5F0FC154">
      <w:pPr>
        <w:spacing w:line="360" w:lineRule="auto"/>
        <w:ind w:firstLine="480" w:firstLineChars="200"/>
        <w:rPr>
          <w:rFonts w:ascii="宋体" w:hAnsi="宋体" w:eastAsia="宋体"/>
          <w:color w:val="auto"/>
          <w:sz w:val="24"/>
          <w:highlight w:val="none"/>
        </w:rPr>
      </w:pPr>
    </w:p>
    <w:p w14:paraId="5F4F6F74">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37D08BAA">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36A6F00">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1F2AB499">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96" w:name="_Toc21328"/>
      <w:r>
        <w:rPr>
          <w:rFonts w:hint="eastAsia" w:asciiTheme="minorEastAsia" w:hAnsiTheme="minorEastAsia" w:eastAsiaTheme="minorEastAsia"/>
          <w:b/>
          <w:color w:val="auto"/>
          <w:sz w:val="24"/>
          <w:highlight w:val="none"/>
          <w:lang w:val="en-US" w:eastAsia="zh-CN"/>
        </w:rPr>
        <w:t>四、供应商资格声明书</w:t>
      </w:r>
      <w:bookmarkEnd w:id="96"/>
    </w:p>
    <w:p w14:paraId="1EA6E051">
      <w:pPr>
        <w:pStyle w:val="24"/>
        <w:spacing w:line="360" w:lineRule="auto"/>
        <w:ind w:left="0" w:leftChars="0" w:firstLine="0" w:firstLineChars="0"/>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none"/>
          <w:lang w:val="en-US" w:eastAsia="zh-CN"/>
        </w:rPr>
        <w:t>采购人</w:t>
      </w:r>
    </w:p>
    <w:p w14:paraId="64C40B8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在参与本次项目磋商中，我单位承诺：</w:t>
      </w:r>
    </w:p>
    <w:p w14:paraId="7F93854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05359DE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15B01F3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7B9014E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F03343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78A8D5B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4"/>
        <w:gridCol w:w="4501"/>
        <w:gridCol w:w="2681"/>
      </w:tblGrid>
      <w:tr w14:paraId="0330F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19CF51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4501" w:type="dxa"/>
          </w:tcPr>
          <w:p w14:paraId="5DDA946A">
            <w:pPr>
              <w:pStyle w:val="18"/>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2681" w:type="dxa"/>
          </w:tcPr>
          <w:p w14:paraId="28441586">
            <w:pPr>
              <w:pStyle w:val="18"/>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5FAFA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73354442">
            <w:pPr>
              <w:pStyle w:val="18"/>
              <w:jc w:val="center"/>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4501" w:type="dxa"/>
          </w:tcPr>
          <w:p w14:paraId="28258176">
            <w:pPr>
              <w:pStyle w:val="18"/>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681" w:type="dxa"/>
          </w:tcPr>
          <w:p w14:paraId="58E189A1">
            <w:pPr>
              <w:pStyle w:val="18"/>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5FFE4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26B7F91A">
            <w:pPr>
              <w:pStyle w:val="18"/>
              <w:jc w:val="center"/>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4501" w:type="dxa"/>
          </w:tcPr>
          <w:p w14:paraId="4B81DBBB">
            <w:pPr>
              <w:pStyle w:val="18"/>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681" w:type="dxa"/>
          </w:tcPr>
          <w:p w14:paraId="23C42DF3">
            <w:pPr>
              <w:pStyle w:val="18"/>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70F7D5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19FCB01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3A398CF">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0A978556">
      <w:pPr>
        <w:spacing w:line="440" w:lineRule="exact"/>
        <w:ind w:firstLine="4800" w:firstLineChars="2000"/>
        <w:rPr>
          <w:rFonts w:ascii="宋体" w:hAnsi="宋体" w:eastAsia="宋体"/>
          <w:color w:val="auto"/>
          <w:sz w:val="24"/>
          <w:szCs w:val="24"/>
          <w:highlight w:val="none"/>
          <w:u w:val="single"/>
        </w:rPr>
      </w:pPr>
    </w:p>
    <w:p w14:paraId="2CE20A56">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1D1959CE">
      <w:pPr>
        <w:spacing w:line="360" w:lineRule="auto"/>
        <w:jc w:val="center"/>
        <w:outlineLvl w:val="1"/>
        <w:rPr>
          <w:rFonts w:asciiTheme="minorEastAsia" w:hAnsiTheme="minorEastAsia" w:eastAsiaTheme="minorEastAsia"/>
          <w:b/>
          <w:color w:val="auto"/>
          <w:sz w:val="24"/>
          <w:highlight w:val="none"/>
        </w:rPr>
      </w:pPr>
      <w:bookmarkStart w:id="97" w:name="_Toc204594911"/>
      <w:bookmarkStart w:id="98" w:name="_Toc26922"/>
      <w:bookmarkStart w:id="99" w:name="_Toc516969106"/>
      <w:bookmarkStart w:id="100" w:name="_Toc520983594"/>
      <w:bookmarkStart w:id="101" w:name="_Toc121626298"/>
      <w:bookmarkStart w:id="102" w:name="_Toc31518"/>
      <w:r>
        <w:rPr>
          <w:rFonts w:hint="eastAsia" w:asciiTheme="minorEastAsia" w:hAnsiTheme="minorEastAsia" w:eastAsiaTheme="minorEastAsia"/>
          <w:b/>
          <w:color w:val="auto"/>
          <w:sz w:val="24"/>
          <w:highlight w:val="none"/>
        </w:rPr>
        <w:t>五、授权书</w:t>
      </w:r>
      <w:bookmarkEnd w:id="97"/>
      <w:bookmarkEnd w:id="98"/>
      <w:bookmarkEnd w:id="99"/>
      <w:bookmarkEnd w:id="100"/>
      <w:bookmarkEnd w:id="101"/>
      <w:bookmarkEnd w:id="102"/>
    </w:p>
    <w:p w14:paraId="74844012">
      <w:pPr>
        <w:spacing w:line="360" w:lineRule="auto"/>
        <w:jc w:val="center"/>
        <w:rPr>
          <w:rFonts w:asciiTheme="minorEastAsia" w:hAnsiTheme="minorEastAsia" w:eastAsiaTheme="minorEastAsia"/>
          <w:b/>
          <w:color w:val="auto"/>
          <w:sz w:val="24"/>
          <w:highlight w:val="none"/>
        </w:rPr>
      </w:pPr>
    </w:p>
    <w:p w14:paraId="2FFA1621">
      <w:pPr>
        <w:pStyle w:val="22"/>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34E8E3A7">
      <w:pPr>
        <w:pStyle w:val="22"/>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64D25A89">
      <w:pPr>
        <w:pStyle w:val="22"/>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4B2FE112">
      <w:pPr>
        <w:pStyle w:val="22"/>
        <w:snapToGrid w:val="0"/>
        <w:spacing w:line="360" w:lineRule="auto"/>
        <w:ind w:firstLine="480" w:firstLineChars="200"/>
        <w:jc w:val="left"/>
        <w:rPr>
          <w:rFonts w:hAnsi="宋体" w:eastAsia="宋体"/>
          <w:color w:val="auto"/>
          <w:sz w:val="24"/>
          <w:highlight w:val="none"/>
        </w:rPr>
      </w:pPr>
    </w:p>
    <w:p w14:paraId="051E05DE">
      <w:pPr>
        <w:pStyle w:val="22"/>
        <w:snapToGrid w:val="0"/>
        <w:spacing w:line="360" w:lineRule="auto"/>
        <w:ind w:firstLine="480" w:firstLineChars="200"/>
        <w:jc w:val="left"/>
        <w:rPr>
          <w:rFonts w:hAnsi="宋体" w:eastAsia="宋体"/>
          <w:color w:val="auto"/>
          <w:sz w:val="24"/>
          <w:highlight w:val="none"/>
        </w:rPr>
      </w:pPr>
    </w:p>
    <w:p w14:paraId="2C51C88F">
      <w:pPr>
        <w:pStyle w:val="22"/>
        <w:snapToGrid w:val="0"/>
        <w:spacing w:line="360" w:lineRule="auto"/>
        <w:ind w:firstLine="480" w:firstLineChars="200"/>
        <w:jc w:val="left"/>
        <w:rPr>
          <w:rFonts w:hAnsi="宋体" w:eastAsia="宋体"/>
          <w:color w:val="auto"/>
          <w:sz w:val="24"/>
          <w:highlight w:val="none"/>
        </w:rPr>
      </w:pPr>
    </w:p>
    <w:p w14:paraId="2FC590E9">
      <w:pPr>
        <w:pStyle w:val="22"/>
        <w:snapToGrid w:val="0"/>
        <w:spacing w:line="360" w:lineRule="auto"/>
        <w:ind w:firstLine="480" w:firstLineChars="200"/>
        <w:jc w:val="left"/>
        <w:rPr>
          <w:rFonts w:hAnsi="宋体" w:eastAsia="宋体"/>
          <w:color w:val="auto"/>
          <w:sz w:val="24"/>
          <w:highlight w:val="none"/>
        </w:rPr>
      </w:pPr>
    </w:p>
    <w:p w14:paraId="7CB07B64">
      <w:pPr>
        <w:pStyle w:val="22"/>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210D4038">
      <w:pPr>
        <w:pStyle w:val="22"/>
        <w:snapToGrid w:val="0"/>
        <w:spacing w:line="360" w:lineRule="auto"/>
        <w:ind w:firstLine="480" w:firstLineChars="200"/>
        <w:jc w:val="left"/>
        <w:rPr>
          <w:rFonts w:hAnsi="宋体" w:eastAsia="宋体"/>
          <w:color w:val="auto"/>
          <w:sz w:val="24"/>
          <w:szCs w:val="28"/>
          <w:highlight w:val="none"/>
        </w:rPr>
      </w:pPr>
    </w:p>
    <w:p w14:paraId="120F58AB">
      <w:pPr>
        <w:spacing w:line="360" w:lineRule="auto"/>
        <w:ind w:firstLine="360" w:firstLineChars="150"/>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148449A2">
      <w:pPr>
        <w:spacing w:line="360" w:lineRule="auto"/>
        <w:rPr>
          <w:rFonts w:ascii="宋体" w:hAnsi="宋体" w:eastAsia="宋体"/>
          <w:color w:val="auto"/>
          <w:sz w:val="24"/>
          <w:szCs w:val="28"/>
          <w:highlight w:val="none"/>
        </w:rPr>
      </w:pPr>
    </w:p>
    <w:p w14:paraId="0848D97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1A97D23C">
      <w:pPr>
        <w:tabs>
          <w:tab w:val="left" w:pos="630"/>
        </w:tabs>
        <w:spacing w:line="360" w:lineRule="auto"/>
        <w:ind w:firstLine="4800" w:firstLineChars="2000"/>
        <w:rPr>
          <w:rFonts w:ascii="宋体" w:hAnsi="宋体" w:eastAsia="宋体"/>
          <w:color w:val="auto"/>
          <w:sz w:val="24"/>
          <w:szCs w:val="28"/>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4DFFF86B">
      <w:pPr>
        <w:spacing w:line="360" w:lineRule="auto"/>
        <w:rPr>
          <w:rFonts w:ascii="宋体" w:hAnsi="宋体" w:eastAsia="宋体"/>
          <w:color w:val="auto"/>
          <w:sz w:val="24"/>
          <w:szCs w:val="28"/>
          <w:highlight w:val="none"/>
        </w:rPr>
      </w:pPr>
    </w:p>
    <w:p w14:paraId="5F2F2079">
      <w:pPr>
        <w:spacing w:line="360" w:lineRule="auto"/>
        <w:rPr>
          <w:rFonts w:ascii="宋体" w:hAnsi="宋体" w:eastAsia="宋体"/>
          <w:color w:val="auto"/>
          <w:sz w:val="24"/>
          <w:szCs w:val="28"/>
          <w:highlight w:val="none"/>
        </w:rPr>
      </w:pPr>
    </w:p>
    <w:p w14:paraId="121E39B0">
      <w:pPr>
        <w:pStyle w:val="22"/>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52506770">
      <w:pPr>
        <w:pStyle w:val="22"/>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36C5FDCB">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2.法定代表人参加磋商的无需提供授权书，仅提供身份证明扫描件。</w:t>
      </w:r>
    </w:p>
    <w:p w14:paraId="62DC3EBB">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4B903AAF">
      <w:pPr>
        <w:spacing w:line="360" w:lineRule="auto"/>
        <w:jc w:val="center"/>
        <w:outlineLvl w:val="1"/>
        <w:rPr>
          <w:rFonts w:asciiTheme="minorEastAsia" w:hAnsiTheme="minorEastAsia" w:eastAsiaTheme="minorEastAsia"/>
          <w:b/>
          <w:color w:val="auto"/>
          <w:sz w:val="24"/>
          <w:highlight w:val="none"/>
        </w:rPr>
      </w:pPr>
      <w:bookmarkStart w:id="103" w:name="_Toc22233"/>
      <w:bookmarkStart w:id="104" w:name="_Toc28033"/>
      <w:r>
        <w:rPr>
          <w:rFonts w:hint="eastAsia" w:asciiTheme="minorEastAsia" w:hAnsiTheme="minorEastAsia" w:eastAsiaTheme="minorEastAsia"/>
          <w:b/>
          <w:color w:val="auto"/>
          <w:sz w:val="24"/>
          <w:highlight w:val="none"/>
        </w:rPr>
        <w:t>六、</w:t>
      </w:r>
      <w:r>
        <w:rPr>
          <w:rFonts w:hint="eastAsia" w:asciiTheme="minorEastAsia" w:hAnsiTheme="minorEastAsia" w:eastAsiaTheme="minorEastAsia"/>
          <w:b/>
          <w:color w:val="auto"/>
          <w:sz w:val="24"/>
          <w:highlight w:val="none"/>
          <w:lang w:val="en-US" w:eastAsia="zh-CN"/>
        </w:rPr>
        <w:t>磋商</w:t>
      </w:r>
      <w:r>
        <w:rPr>
          <w:rFonts w:hint="eastAsia" w:asciiTheme="minorEastAsia" w:hAnsiTheme="minorEastAsia" w:eastAsiaTheme="minorEastAsia"/>
          <w:b/>
          <w:color w:val="auto"/>
          <w:sz w:val="24"/>
          <w:highlight w:val="none"/>
        </w:rPr>
        <w:t>响应表</w:t>
      </w:r>
      <w:bookmarkEnd w:id="103"/>
      <w:bookmarkEnd w:id="104"/>
    </w:p>
    <w:p w14:paraId="01B07B61">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2102"/>
        <w:gridCol w:w="2739"/>
        <w:gridCol w:w="2823"/>
        <w:gridCol w:w="888"/>
      </w:tblGrid>
      <w:tr w14:paraId="2148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0911BDE6">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3B9596A5">
            <w:pPr>
              <w:pStyle w:val="22"/>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217D3F3E">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磋商文件</w:t>
            </w:r>
            <w:r>
              <w:rPr>
                <w:rFonts w:hint="eastAsia" w:cs="Wingdings" w:asciiTheme="minorEastAsia" w:hAnsiTheme="minorEastAsia"/>
                <w:b/>
                <w:color w:val="auto"/>
                <w:sz w:val="24"/>
                <w:highlight w:val="none"/>
              </w:rPr>
              <w:t>要求</w:t>
            </w:r>
          </w:p>
        </w:tc>
        <w:tc>
          <w:tcPr>
            <w:tcW w:w="1510" w:type="pct"/>
            <w:vAlign w:val="center"/>
          </w:tcPr>
          <w:p w14:paraId="4CB951DC">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供应商</w:t>
            </w:r>
            <w:r>
              <w:rPr>
                <w:rFonts w:hint="eastAsia" w:cs="Wingdings" w:asciiTheme="minorEastAsia" w:hAnsiTheme="minorEastAsia"/>
                <w:b/>
                <w:color w:val="auto"/>
                <w:sz w:val="24"/>
                <w:highlight w:val="none"/>
              </w:rPr>
              <w:t>承诺</w:t>
            </w:r>
          </w:p>
        </w:tc>
        <w:tc>
          <w:tcPr>
            <w:tcW w:w="475" w:type="pct"/>
            <w:vAlign w:val="center"/>
          </w:tcPr>
          <w:p w14:paraId="76582646">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3EAE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5BDD3F7">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10B5D1A8">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6C670635">
            <w:pPr>
              <w:jc w:val="center"/>
              <w:rPr>
                <w:rFonts w:asciiTheme="minorEastAsia" w:hAnsiTheme="minorEastAsia" w:eastAsiaTheme="minorEastAsia"/>
                <w:color w:val="auto"/>
                <w:sz w:val="24"/>
                <w:highlight w:val="none"/>
              </w:rPr>
            </w:pPr>
          </w:p>
        </w:tc>
        <w:tc>
          <w:tcPr>
            <w:tcW w:w="1510" w:type="pct"/>
            <w:vAlign w:val="center"/>
          </w:tcPr>
          <w:p w14:paraId="765BAE84">
            <w:pPr>
              <w:jc w:val="center"/>
              <w:rPr>
                <w:rFonts w:asciiTheme="minorEastAsia" w:hAnsiTheme="minorEastAsia" w:eastAsiaTheme="minorEastAsia"/>
                <w:color w:val="auto"/>
                <w:sz w:val="24"/>
                <w:highlight w:val="none"/>
              </w:rPr>
            </w:pPr>
          </w:p>
        </w:tc>
        <w:tc>
          <w:tcPr>
            <w:tcW w:w="475" w:type="pct"/>
            <w:vAlign w:val="center"/>
          </w:tcPr>
          <w:p w14:paraId="3289A2CD">
            <w:pPr>
              <w:jc w:val="center"/>
              <w:rPr>
                <w:rFonts w:asciiTheme="minorEastAsia" w:hAnsiTheme="minorEastAsia" w:eastAsiaTheme="minorEastAsia"/>
                <w:color w:val="auto"/>
                <w:sz w:val="24"/>
                <w:highlight w:val="none"/>
              </w:rPr>
            </w:pPr>
          </w:p>
        </w:tc>
      </w:tr>
      <w:tr w14:paraId="7218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07C396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5001916D">
            <w:pPr>
              <w:jc w:val="center"/>
              <w:rPr>
                <w:rFonts w:ascii="宋体" w:hAnsi="宋体" w:eastAsia="宋体"/>
                <w:color w:val="auto"/>
                <w:sz w:val="24"/>
                <w:highlight w:val="none"/>
              </w:rPr>
            </w:pPr>
            <w:r>
              <w:rPr>
                <w:rFonts w:hint="eastAsia" w:ascii="宋体" w:hAnsi="宋体" w:eastAsia="宋体"/>
                <w:color w:val="auto"/>
                <w:sz w:val="24"/>
                <w:highlight w:val="none"/>
              </w:rPr>
              <w:t>服务地点</w:t>
            </w:r>
          </w:p>
        </w:tc>
        <w:tc>
          <w:tcPr>
            <w:tcW w:w="1465" w:type="pct"/>
            <w:vAlign w:val="center"/>
          </w:tcPr>
          <w:p w14:paraId="1F74CA59">
            <w:pPr>
              <w:jc w:val="center"/>
              <w:rPr>
                <w:rFonts w:asciiTheme="minorEastAsia" w:hAnsiTheme="minorEastAsia" w:eastAsiaTheme="minorEastAsia"/>
                <w:color w:val="auto"/>
                <w:sz w:val="24"/>
                <w:highlight w:val="none"/>
              </w:rPr>
            </w:pPr>
          </w:p>
        </w:tc>
        <w:tc>
          <w:tcPr>
            <w:tcW w:w="1510" w:type="pct"/>
            <w:vAlign w:val="center"/>
          </w:tcPr>
          <w:p w14:paraId="4451EAA0">
            <w:pPr>
              <w:jc w:val="center"/>
              <w:rPr>
                <w:rFonts w:asciiTheme="minorEastAsia" w:hAnsiTheme="minorEastAsia" w:eastAsiaTheme="minorEastAsia"/>
                <w:color w:val="auto"/>
                <w:sz w:val="24"/>
                <w:highlight w:val="none"/>
              </w:rPr>
            </w:pPr>
          </w:p>
        </w:tc>
        <w:tc>
          <w:tcPr>
            <w:tcW w:w="475" w:type="pct"/>
            <w:vAlign w:val="center"/>
          </w:tcPr>
          <w:p w14:paraId="31B75B0A">
            <w:pPr>
              <w:jc w:val="center"/>
              <w:rPr>
                <w:rFonts w:asciiTheme="minorEastAsia" w:hAnsiTheme="minorEastAsia" w:eastAsiaTheme="minorEastAsia"/>
                <w:color w:val="auto"/>
                <w:sz w:val="24"/>
                <w:highlight w:val="none"/>
              </w:rPr>
            </w:pPr>
          </w:p>
        </w:tc>
      </w:tr>
      <w:tr w14:paraId="3C19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1BDAD07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28AD38BF">
            <w:pPr>
              <w:jc w:val="center"/>
              <w:rPr>
                <w:rFonts w:ascii="宋体" w:hAnsi="宋体" w:eastAsia="宋体"/>
                <w:color w:val="auto"/>
                <w:sz w:val="24"/>
                <w:highlight w:val="none"/>
              </w:rPr>
            </w:pPr>
            <w:r>
              <w:rPr>
                <w:rFonts w:hint="eastAsia" w:ascii="宋体" w:hAnsi="宋体" w:eastAsia="宋体"/>
                <w:color w:val="auto"/>
                <w:sz w:val="24"/>
                <w:highlight w:val="none"/>
              </w:rPr>
              <w:t>服务期限</w:t>
            </w:r>
          </w:p>
        </w:tc>
        <w:tc>
          <w:tcPr>
            <w:tcW w:w="1465" w:type="pct"/>
            <w:vAlign w:val="center"/>
          </w:tcPr>
          <w:p w14:paraId="4F962E68">
            <w:pPr>
              <w:jc w:val="center"/>
              <w:rPr>
                <w:rFonts w:asciiTheme="minorEastAsia" w:hAnsiTheme="minorEastAsia" w:eastAsiaTheme="minorEastAsia"/>
                <w:color w:val="auto"/>
                <w:sz w:val="24"/>
                <w:highlight w:val="none"/>
              </w:rPr>
            </w:pPr>
          </w:p>
        </w:tc>
        <w:tc>
          <w:tcPr>
            <w:tcW w:w="1510" w:type="pct"/>
            <w:vAlign w:val="center"/>
          </w:tcPr>
          <w:p w14:paraId="66A1AFA7">
            <w:pPr>
              <w:pStyle w:val="126"/>
              <w:jc w:val="center"/>
              <w:rPr>
                <w:rFonts w:asciiTheme="minorEastAsia" w:hAnsiTheme="minorEastAsia" w:eastAsiaTheme="minorEastAsia"/>
                <w:color w:val="auto"/>
                <w:highlight w:val="none"/>
              </w:rPr>
            </w:pPr>
          </w:p>
        </w:tc>
        <w:tc>
          <w:tcPr>
            <w:tcW w:w="475" w:type="pct"/>
            <w:vAlign w:val="center"/>
          </w:tcPr>
          <w:p w14:paraId="45E98B20">
            <w:pPr>
              <w:jc w:val="center"/>
              <w:rPr>
                <w:rFonts w:asciiTheme="minorEastAsia" w:hAnsiTheme="minorEastAsia" w:eastAsiaTheme="minorEastAsia"/>
                <w:color w:val="auto"/>
                <w:sz w:val="24"/>
                <w:highlight w:val="none"/>
              </w:rPr>
            </w:pPr>
          </w:p>
        </w:tc>
      </w:tr>
      <w:tr w14:paraId="3474C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A64E10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5B838464">
            <w:pPr>
              <w:jc w:val="center"/>
              <w:rPr>
                <w:rFonts w:ascii="宋体" w:hAnsi="宋体" w:eastAsia="宋体"/>
                <w:color w:val="auto"/>
                <w:sz w:val="24"/>
                <w:highlight w:val="none"/>
              </w:rPr>
            </w:pPr>
          </w:p>
        </w:tc>
        <w:tc>
          <w:tcPr>
            <w:tcW w:w="1465" w:type="pct"/>
            <w:vAlign w:val="center"/>
          </w:tcPr>
          <w:p w14:paraId="1AE59BBC">
            <w:pPr>
              <w:jc w:val="center"/>
              <w:rPr>
                <w:rFonts w:asciiTheme="minorEastAsia" w:hAnsiTheme="minorEastAsia" w:eastAsiaTheme="minorEastAsia"/>
                <w:color w:val="auto"/>
                <w:sz w:val="24"/>
                <w:highlight w:val="none"/>
              </w:rPr>
            </w:pPr>
          </w:p>
        </w:tc>
        <w:tc>
          <w:tcPr>
            <w:tcW w:w="1510" w:type="pct"/>
            <w:vAlign w:val="center"/>
          </w:tcPr>
          <w:p w14:paraId="0FDED007">
            <w:pPr>
              <w:jc w:val="center"/>
              <w:rPr>
                <w:rFonts w:asciiTheme="minorEastAsia" w:hAnsiTheme="minorEastAsia" w:eastAsiaTheme="minorEastAsia"/>
                <w:color w:val="auto"/>
                <w:sz w:val="24"/>
                <w:highlight w:val="none"/>
              </w:rPr>
            </w:pPr>
          </w:p>
        </w:tc>
        <w:tc>
          <w:tcPr>
            <w:tcW w:w="475" w:type="pct"/>
            <w:vAlign w:val="center"/>
          </w:tcPr>
          <w:p w14:paraId="2A39717B">
            <w:pPr>
              <w:jc w:val="center"/>
              <w:rPr>
                <w:rFonts w:asciiTheme="minorEastAsia" w:hAnsiTheme="minorEastAsia" w:eastAsiaTheme="minorEastAsia"/>
                <w:color w:val="auto"/>
                <w:sz w:val="24"/>
                <w:highlight w:val="none"/>
              </w:rPr>
            </w:pPr>
          </w:p>
        </w:tc>
      </w:tr>
    </w:tbl>
    <w:p w14:paraId="6D38DC42">
      <w:pPr>
        <w:spacing w:line="360" w:lineRule="auto"/>
        <w:ind w:firstLine="435"/>
        <w:outlineLvl w:val="2"/>
        <w:rPr>
          <w:rFonts w:hint="eastAsia" w:asciiTheme="minorEastAsia" w:hAnsiTheme="minorEastAsia" w:eastAsiaTheme="minorEastAsia"/>
          <w:b/>
          <w:color w:val="auto"/>
          <w:sz w:val="24"/>
          <w:highlight w:val="none"/>
        </w:rPr>
      </w:pPr>
    </w:p>
    <w:p w14:paraId="2DDA675C">
      <w:pPr>
        <w:spacing w:line="360" w:lineRule="auto"/>
        <w:ind w:firstLine="435"/>
        <w:outlineLvl w:val="2"/>
        <w:rPr>
          <w:rFonts w:asciiTheme="minorEastAsia" w:hAnsiTheme="minorEastAsia" w:eastAsiaTheme="minorEastAsia"/>
          <w:bCs/>
          <w:i/>
          <w:iCs/>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bookmarkStart w:id="105" w:name="_Hlk23622474"/>
      <w:r>
        <w:rPr>
          <w:rFonts w:hint="eastAsia" w:ascii="宋体" w:hAnsi="宋体" w:eastAsia="宋体" w:cs="@仿宋_GB2312"/>
          <w:b w:val="0"/>
          <w:bCs w:val="0"/>
          <w:i/>
          <w:iCs/>
          <w:color w:val="FF0000"/>
          <w:kern w:val="2"/>
          <w:sz w:val="24"/>
          <w:szCs w:val="18"/>
          <w:highlight w:val="none"/>
          <w:lang w:val="en-US" w:eastAsia="zh-CN" w:bidi="ar-SA"/>
        </w:rPr>
        <w:t>（本条可编辑，适用于含货物采购的服务项目，如无需，请删去本条）</w:t>
      </w:r>
      <w:bookmarkEnd w:id="105"/>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711"/>
        <w:gridCol w:w="3141"/>
        <w:gridCol w:w="2722"/>
        <w:gridCol w:w="938"/>
      </w:tblGrid>
      <w:tr w14:paraId="2A567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189A5A47">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915" w:type="pct"/>
            <w:vAlign w:val="center"/>
          </w:tcPr>
          <w:p w14:paraId="46FFA64C">
            <w:pPr>
              <w:pStyle w:val="22"/>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1680" w:type="pct"/>
            <w:vAlign w:val="center"/>
          </w:tcPr>
          <w:p w14:paraId="031D27DD">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磋商文件</w:t>
            </w:r>
            <w:r>
              <w:rPr>
                <w:rFonts w:hint="eastAsia" w:cs="Wingdings" w:asciiTheme="minorEastAsia" w:hAnsiTheme="minorEastAsia"/>
                <w:b/>
                <w:color w:val="auto"/>
                <w:sz w:val="24"/>
                <w:highlight w:val="none"/>
              </w:rPr>
              <w:t>规定的技术参数要求</w:t>
            </w:r>
          </w:p>
        </w:tc>
        <w:tc>
          <w:tcPr>
            <w:tcW w:w="1456" w:type="pct"/>
            <w:vAlign w:val="center"/>
          </w:tcPr>
          <w:p w14:paraId="2EEC4690">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502" w:type="pct"/>
            <w:vAlign w:val="center"/>
          </w:tcPr>
          <w:p w14:paraId="111F4E66">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685CB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CF29CB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915" w:type="pct"/>
            <w:vAlign w:val="center"/>
          </w:tcPr>
          <w:p w14:paraId="77B46558">
            <w:pPr>
              <w:jc w:val="center"/>
              <w:rPr>
                <w:rFonts w:asciiTheme="minorEastAsia" w:hAnsiTheme="minorEastAsia" w:eastAsiaTheme="minorEastAsia"/>
                <w:color w:val="auto"/>
                <w:sz w:val="24"/>
                <w:highlight w:val="none"/>
              </w:rPr>
            </w:pPr>
          </w:p>
        </w:tc>
        <w:tc>
          <w:tcPr>
            <w:tcW w:w="1680" w:type="pct"/>
            <w:vAlign w:val="center"/>
          </w:tcPr>
          <w:p w14:paraId="47F61768">
            <w:pPr>
              <w:jc w:val="center"/>
              <w:rPr>
                <w:rFonts w:asciiTheme="minorEastAsia" w:hAnsiTheme="minorEastAsia" w:eastAsiaTheme="minorEastAsia"/>
                <w:color w:val="auto"/>
                <w:sz w:val="24"/>
                <w:highlight w:val="none"/>
              </w:rPr>
            </w:pPr>
          </w:p>
        </w:tc>
        <w:tc>
          <w:tcPr>
            <w:tcW w:w="1456" w:type="pct"/>
            <w:vAlign w:val="center"/>
          </w:tcPr>
          <w:p w14:paraId="63088945">
            <w:pPr>
              <w:jc w:val="center"/>
              <w:rPr>
                <w:rFonts w:asciiTheme="minorEastAsia" w:hAnsiTheme="minorEastAsia" w:eastAsiaTheme="minorEastAsia"/>
                <w:color w:val="auto"/>
                <w:sz w:val="24"/>
                <w:highlight w:val="none"/>
              </w:rPr>
            </w:pPr>
          </w:p>
        </w:tc>
        <w:tc>
          <w:tcPr>
            <w:tcW w:w="502" w:type="pct"/>
            <w:vAlign w:val="center"/>
          </w:tcPr>
          <w:p w14:paraId="7D9D061D">
            <w:pPr>
              <w:jc w:val="center"/>
              <w:rPr>
                <w:rFonts w:asciiTheme="minorEastAsia" w:hAnsiTheme="minorEastAsia" w:eastAsiaTheme="minorEastAsia"/>
                <w:color w:val="auto"/>
                <w:sz w:val="24"/>
                <w:highlight w:val="none"/>
              </w:rPr>
            </w:pPr>
          </w:p>
        </w:tc>
      </w:tr>
      <w:tr w14:paraId="09BC5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7D30FF6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915" w:type="pct"/>
            <w:vAlign w:val="center"/>
          </w:tcPr>
          <w:p w14:paraId="4C17F2C9">
            <w:pPr>
              <w:jc w:val="center"/>
              <w:rPr>
                <w:rFonts w:asciiTheme="minorEastAsia" w:hAnsiTheme="minorEastAsia" w:eastAsiaTheme="minorEastAsia"/>
                <w:color w:val="auto"/>
                <w:sz w:val="24"/>
                <w:highlight w:val="none"/>
              </w:rPr>
            </w:pPr>
          </w:p>
        </w:tc>
        <w:tc>
          <w:tcPr>
            <w:tcW w:w="1680" w:type="pct"/>
            <w:vAlign w:val="center"/>
          </w:tcPr>
          <w:p w14:paraId="09DC160B">
            <w:pPr>
              <w:jc w:val="center"/>
              <w:rPr>
                <w:rFonts w:asciiTheme="minorEastAsia" w:hAnsiTheme="minorEastAsia" w:eastAsiaTheme="minorEastAsia"/>
                <w:color w:val="auto"/>
                <w:sz w:val="24"/>
                <w:highlight w:val="none"/>
              </w:rPr>
            </w:pPr>
          </w:p>
        </w:tc>
        <w:tc>
          <w:tcPr>
            <w:tcW w:w="1456" w:type="pct"/>
            <w:vAlign w:val="center"/>
          </w:tcPr>
          <w:p w14:paraId="7ADE150E">
            <w:pPr>
              <w:jc w:val="center"/>
              <w:rPr>
                <w:rFonts w:asciiTheme="minorEastAsia" w:hAnsiTheme="minorEastAsia" w:eastAsiaTheme="minorEastAsia"/>
                <w:color w:val="auto"/>
                <w:sz w:val="24"/>
                <w:highlight w:val="none"/>
              </w:rPr>
            </w:pPr>
          </w:p>
        </w:tc>
        <w:tc>
          <w:tcPr>
            <w:tcW w:w="502" w:type="pct"/>
            <w:vAlign w:val="center"/>
          </w:tcPr>
          <w:p w14:paraId="64C2D57D">
            <w:pPr>
              <w:jc w:val="center"/>
              <w:rPr>
                <w:rFonts w:asciiTheme="minorEastAsia" w:hAnsiTheme="minorEastAsia" w:eastAsiaTheme="minorEastAsia"/>
                <w:color w:val="auto"/>
                <w:sz w:val="24"/>
                <w:highlight w:val="none"/>
              </w:rPr>
            </w:pPr>
          </w:p>
        </w:tc>
      </w:tr>
      <w:tr w14:paraId="4C887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6531DE2B">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915" w:type="pct"/>
            <w:vAlign w:val="center"/>
          </w:tcPr>
          <w:p w14:paraId="2AFC8E58">
            <w:pPr>
              <w:jc w:val="center"/>
              <w:rPr>
                <w:rFonts w:asciiTheme="minorEastAsia" w:hAnsiTheme="minorEastAsia" w:eastAsiaTheme="minorEastAsia"/>
                <w:color w:val="auto"/>
                <w:sz w:val="24"/>
                <w:highlight w:val="none"/>
              </w:rPr>
            </w:pPr>
          </w:p>
        </w:tc>
        <w:tc>
          <w:tcPr>
            <w:tcW w:w="1680" w:type="pct"/>
            <w:vAlign w:val="center"/>
          </w:tcPr>
          <w:p w14:paraId="37CDA96A">
            <w:pPr>
              <w:jc w:val="center"/>
              <w:rPr>
                <w:rFonts w:asciiTheme="minorEastAsia" w:hAnsiTheme="minorEastAsia" w:eastAsiaTheme="minorEastAsia"/>
                <w:color w:val="auto"/>
                <w:sz w:val="24"/>
                <w:highlight w:val="none"/>
              </w:rPr>
            </w:pPr>
          </w:p>
        </w:tc>
        <w:tc>
          <w:tcPr>
            <w:tcW w:w="1456" w:type="pct"/>
            <w:vAlign w:val="center"/>
          </w:tcPr>
          <w:p w14:paraId="74DFA974">
            <w:pPr>
              <w:pStyle w:val="126"/>
              <w:jc w:val="center"/>
              <w:rPr>
                <w:rFonts w:asciiTheme="minorEastAsia" w:hAnsiTheme="minorEastAsia" w:eastAsiaTheme="minorEastAsia"/>
                <w:color w:val="auto"/>
                <w:highlight w:val="none"/>
              </w:rPr>
            </w:pPr>
          </w:p>
        </w:tc>
        <w:tc>
          <w:tcPr>
            <w:tcW w:w="502" w:type="pct"/>
            <w:vAlign w:val="center"/>
          </w:tcPr>
          <w:p w14:paraId="1CC02579">
            <w:pPr>
              <w:jc w:val="center"/>
              <w:rPr>
                <w:rFonts w:asciiTheme="minorEastAsia" w:hAnsiTheme="minorEastAsia" w:eastAsiaTheme="minorEastAsia"/>
                <w:color w:val="auto"/>
                <w:sz w:val="24"/>
                <w:highlight w:val="none"/>
              </w:rPr>
            </w:pPr>
          </w:p>
        </w:tc>
      </w:tr>
      <w:tr w14:paraId="627CD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4E39A3A">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915" w:type="pct"/>
            <w:vAlign w:val="center"/>
          </w:tcPr>
          <w:p w14:paraId="6667C76C">
            <w:pPr>
              <w:jc w:val="center"/>
              <w:rPr>
                <w:rFonts w:asciiTheme="minorEastAsia" w:hAnsiTheme="minorEastAsia" w:eastAsiaTheme="minorEastAsia"/>
                <w:color w:val="auto"/>
                <w:sz w:val="24"/>
                <w:highlight w:val="none"/>
              </w:rPr>
            </w:pPr>
          </w:p>
        </w:tc>
        <w:tc>
          <w:tcPr>
            <w:tcW w:w="1680" w:type="pct"/>
            <w:vAlign w:val="center"/>
          </w:tcPr>
          <w:p w14:paraId="1DAC16AA">
            <w:pPr>
              <w:jc w:val="center"/>
              <w:rPr>
                <w:rFonts w:asciiTheme="minorEastAsia" w:hAnsiTheme="minorEastAsia" w:eastAsiaTheme="minorEastAsia"/>
                <w:color w:val="auto"/>
                <w:sz w:val="24"/>
                <w:highlight w:val="none"/>
              </w:rPr>
            </w:pPr>
          </w:p>
        </w:tc>
        <w:tc>
          <w:tcPr>
            <w:tcW w:w="1456" w:type="pct"/>
            <w:vAlign w:val="center"/>
          </w:tcPr>
          <w:p w14:paraId="0A6429B9">
            <w:pPr>
              <w:pStyle w:val="126"/>
              <w:jc w:val="center"/>
              <w:rPr>
                <w:rFonts w:asciiTheme="minorEastAsia" w:hAnsiTheme="minorEastAsia" w:eastAsiaTheme="minorEastAsia"/>
                <w:color w:val="auto"/>
                <w:highlight w:val="none"/>
              </w:rPr>
            </w:pPr>
          </w:p>
        </w:tc>
        <w:tc>
          <w:tcPr>
            <w:tcW w:w="502" w:type="pct"/>
            <w:vAlign w:val="center"/>
          </w:tcPr>
          <w:p w14:paraId="3E49C55E">
            <w:pPr>
              <w:jc w:val="center"/>
              <w:rPr>
                <w:rFonts w:asciiTheme="minorEastAsia" w:hAnsiTheme="minorEastAsia" w:eastAsiaTheme="minorEastAsia"/>
                <w:color w:val="auto"/>
                <w:sz w:val="24"/>
                <w:highlight w:val="none"/>
              </w:rPr>
            </w:pPr>
          </w:p>
        </w:tc>
      </w:tr>
      <w:tr w14:paraId="79433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0110585E">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915" w:type="pct"/>
            <w:vAlign w:val="center"/>
          </w:tcPr>
          <w:p w14:paraId="59A3B75D">
            <w:pPr>
              <w:jc w:val="center"/>
              <w:rPr>
                <w:rFonts w:asciiTheme="minorEastAsia" w:hAnsiTheme="minorEastAsia" w:eastAsiaTheme="minorEastAsia"/>
                <w:color w:val="auto"/>
                <w:sz w:val="24"/>
                <w:highlight w:val="none"/>
              </w:rPr>
            </w:pPr>
          </w:p>
        </w:tc>
        <w:tc>
          <w:tcPr>
            <w:tcW w:w="1680" w:type="pct"/>
            <w:vAlign w:val="center"/>
          </w:tcPr>
          <w:p w14:paraId="46474099">
            <w:pPr>
              <w:jc w:val="center"/>
              <w:rPr>
                <w:rFonts w:asciiTheme="minorEastAsia" w:hAnsiTheme="minorEastAsia" w:eastAsiaTheme="minorEastAsia"/>
                <w:color w:val="auto"/>
                <w:sz w:val="24"/>
                <w:highlight w:val="none"/>
              </w:rPr>
            </w:pPr>
          </w:p>
        </w:tc>
        <w:tc>
          <w:tcPr>
            <w:tcW w:w="1456" w:type="pct"/>
            <w:vAlign w:val="center"/>
          </w:tcPr>
          <w:p w14:paraId="151BEFC7">
            <w:pPr>
              <w:jc w:val="center"/>
              <w:rPr>
                <w:rFonts w:asciiTheme="minorEastAsia" w:hAnsiTheme="minorEastAsia" w:eastAsiaTheme="minorEastAsia"/>
                <w:color w:val="auto"/>
                <w:sz w:val="24"/>
                <w:highlight w:val="none"/>
              </w:rPr>
            </w:pPr>
          </w:p>
        </w:tc>
        <w:tc>
          <w:tcPr>
            <w:tcW w:w="502" w:type="pct"/>
            <w:vAlign w:val="center"/>
          </w:tcPr>
          <w:p w14:paraId="1EC8E183">
            <w:pPr>
              <w:jc w:val="center"/>
              <w:rPr>
                <w:rFonts w:asciiTheme="minorEastAsia" w:hAnsiTheme="minorEastAsia" w:eastAsiaTheme="minorEastAsia"/>
                <w:color w:val="auto"/>
                <w:sz w:val="24"/>
                <w:highlight w:val="none"/>
              </w:rPr>
            </w:pPr>
          </w:p>
        </w:tc>
      </w:tr>
    </w:tbl>
    <w:p w14:paraId="57879636">
      <w:pPr>
        <w:spacing w:line="360" w:lineRule="auto"/>
        <w:ind w:firstLine="4800" w:firstLineChars="2000"/>
        <w:rPr>
          <w:rFonts w:hint="eastAsia" w:ascii="宋体" w:hAnsi="宋体" w:eastAsia="宋体"/>
          <w:color w:val="auto"/>
          <w:sz w:val="24"/>
          <w:highlight w:val="none"/>
          <w:lang w:val="en-US" w:eastAsia="zh-CN"/>
        </w:rPr>
      </w:pPr>
    </w:p>
    <w:p w14:paraId="47ECA676">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E9FFA25">
      <w:pPr>
        <w:tabs>
          <w:tab w:val="left" w:pos="630"/>
        </w:tabs>
        <w:spacing w:line="360" w:lineRule="auto"/>
        <w:ind w:firstLine="4800" w:firstLineChars="2000"/>
        <w:rPr>
          <w:rFonts w:asciiTheme="minorEastAsia" w:hAnsiTheme="minorEastAsia" w:eastAsiaTheme="minorEastAsia"/>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039307A3">
      <w:pPr>
        <w:pStyle w:val="24"/>
        <w:spacing w:line="360" w:lineRule="auto"/>
        <w:ind w:left="0" w:leftChars="0" w:firstLine="0" w:firstLineChars="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8B51F54">
      <w:pPr>
        <w:pStyle w:val="18"/>
        <w:rPr>
          <w:rFonts w:hint="eastAsia" w:asciiTheme="minorEastAsia" w:hAnsiTheme="minorEastAsia" w:eastAsiaTheme="minorEastAsia"/>
          <w:b/>
          <w:bCs/>
          <w:color w:val="auto"/>
          <w:sz w:val="24"/>
          <w:highlight w:val="none"/>
          <w:lang w:eastAsia="zh-CN"/>
        </w:rPr>
        <w:sectPr>
          <w:headerReference r:id="rId10" w:type="default"/>
          <w:footerReference r:id="rId11" w:type="default"/>
          <w:pgSz w:w="11907" w:h="16840"/>
          <w:pgMar w:top="1117" w:right="1078" w:bottom="1060" w:left="1700" w:header="510" w:footer="886" w:gutter="0"/>
          <w:pgNumType w:fmt="decimal"/>
          <w:cols w:space="720" w:num="1"/>
        </w:sectPr>
      </w:pPr>
      <w:bookmarkStart w:id="106" w:name="_Hlk44283017"/>
    </w:p>
    <w:bookmarkEnd w:id="106"/>
    <w:p w14:paraId="37E76ABE">
      <w:pPr>
        <w:rPr>
          <w:rFonts w:hint="eastAsia" w:asciiTheme="minorEastAsia" w:hAnsiTheme="minorEastAsia" w:eastAsiaTheme="minorEastAsia"/>
          <w:b/>
          <w:color w:val="auto"/>
          <w:sz w:val="24"/>
          <w:highlight w:val="none"/>
        </w:rPr>
      </w:pPr>
      <w:bookmarkStart w:id="107" w:name="_Toc2278"/>
      <w:bookmarkStart w:id="108" w:name="_Toc20592"/>
      <w:bookmarkStart w:id="109" w:name="_Hlk44283088"/>
    </w:p>
    <w:p w14:paraId="1AC1F39F">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、诚信履约承诺函</w:t>
      </w:r>
      <w:bookmarkEnd w:id="107"/>
      <w:bookmarkEnd w:id="108"/>
    </w:p>
    <w:p w14:paraId="4400A65A">
      <w:pPr>
        <w:spacing w:line="360" w:lineRule="auto"/>
        <w:rPr>
          <w:rFonts w:asciiTheme="minorEastAsia" w:hAnsiTheme="minorEastAsia" w:eastAsiaTheme="minorEastAsia"/>
          <w:b/>
          <w:bCs/>
          <w:color w:val="auto"/>
          <w:sz w:val="24"/>
          <w:highlight w:val="none"/>
        </w:rPr>
      </w:pPr>
    </w:p>
    <w:p w14:paraId="44F134C2">
      <w:pPr>
        <w:spacing w:line="360" w:lineRule="auto"/>
        <w:rPr>
          <w:rFonts w:hint="eastAsia" w:asciiTheme="minorEastAsia" w:hAnsiTheme="minorEastAsia" w:eastAsiaTheme="minorEastAsia"/>
          <w:b/>
          <w:bCs/>
          <w:color w:val="auto"/>
          <w:sz w:val="24"/>
          <w:highlight w:val="none"/>
          <w:u w:val="single"/>
          <w:lang w:val="en-US"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lang w:val="en-US" w:eastAsia="zh-CN"/>
        </w:rPr>
        <w:t>采购人</w:t>
      </w:r>
    </w:p>
    <w:p w14:paraId="31C4328A">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35A3A244">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0F3D729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1DCD9B4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15C30CF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24B7F73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7E8191C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5818E23">
      <w:pPr>
        <w:spacing w:line="360" w:lineRule="auto"/>
        <w:rPr>
          <w:rFonts w:asciiTheme="minorEastAsia" w:hAnsiTheme="minorEastAsia" w:eastAsiaTheme="minorEastAsia"/>
          <w:bCs/>
          <w:color w:val="auto"/>
          <w:sz w:val="24"/>
          <w:highlight w:val="none"/>
        </w:rPr>
      </w:pPr>
    </w:p>
    <w:p w14:paraId="732BBA0C">
      <w:pPr>
        <w:spacing w:line="360" w:lineRule="auto"/>
        <w:rPr>
          <w:rFonts w:asciiTheme="minorEastAsia" w:hAnsiTheme="minorEastAsia" w:eastAsiaTheme="minorEastAsia"/>
          <w:bCs/>
          <w:color w:val="auto"/>
          <w:sz w:val="24"/>
          <w:highlight w:val="none"/>
        </w:rPr>
      </w:pPr>
    </w:p>
    <w:p w14:paraId="27372F93">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78C7D21E">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9D1A404">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7488D0E2">
      <w:pPr>
        <w:pStyle w:val="18"/>
        <w:spacing w:before="78" w:line="219" w:lineRule="auto"/>
        <w:ind w:left="3195"/>
        <w:outlineLvl w:val="1"/>
        <w:rPr>
          <w:rFonts w:hint="eastAsia" w:asciiTheme="minorEastAsia" w:hAnsiTheme="minorEastAsia" w:eastAsiaTheme="minorEastAsia"/>
          <w:b/>
          <w:color w:val="auto"/>
          <w:sz w:val="24"/>
          <w:highlight w:val="yellow"/>
          <w:lang w:val="en-US" w:eastAsia="zh-CN"/>
        </w:rPr>
      </w:pPr>
    </w:p>
    <w:p w14:paraId="4A11C58B">
      <w:pPr>
        <w:pStyle w:val="18"/>
        <w:spacing w:before="78" w:line="219" w:lineRule="auto"/>
        <w:ind w:left="3195"/>
        <w:outlineLvl w:val="1"/>
        <w:rPr>
          <w:sz w:val="24"/>
          <w:szCs w:val="24"/>
          <w:highlight w:val="yellow"/>
        </w:rPr>
      </w:pPr>
      <w:r>
        <w:rPr>
          <w:rFonts w:hint="eastAsia" w:asciiTheme="minorEastAsia" w:hAnsiTheme="minorEastAsia" w:eastAsiaTheme="minorEastAsia"/>
          <w:b/>
          <w:color w:val="auto"/>
          <w:sz w:val="24"/>
          <w:highlight w:val="yellow"/>
          <w:lang w:val="en-US" w:eastAsia="zh-CN"/>
        </w:rPr>
        <w:t>八、</w:t>
      </w:r>
      <w:r>
        <w:rPr>
          <w:rFonts w:hint="eastAsia"/>
          <w:b/>
          <w:bCs/>
          <w:spacing w:val="-3"/>
          <w:sz w:val="24"/>
          <w:szCs w:val="24"/>
          <w:highlight w:val="yellow"/>
          <w:lang w:val="en-US" w:eastAsia="zh-CN"/>
        </w:rPr>
        <w:t>磋商</w:t>
      </w:r>
      <w:r>
        <w:rPr>
          <w:b/>
          <w:bCs/>
          <w:spacing w:val="-3"/>
          <w:sz w:val="24"/>
          <w:szCs w:val="24"/>
          <w:highlight w:val="yellow"/>
        </w:rPr>
        <w:t>业绩承诺函</w:t>
      </w:r>
    </w:p>
    <w:p w14:paraId="40436738">
      <w:pPr>
        <w:spacing w:line="285" w:lineRule="auto"/>
        <w:rPr>
          <w:rFonts w:ascii="Arial"/>
          <w:sz w:val="21"/>
          <w:highlight w:val="yellow"/>
        </w:rPr>
      </w:pPr>
    </w:p>
    <w:p w14:paraId="3139DCA6">
      <w:pPr>
        <w:pStyle w:val="18"/>
        <w:spacing w:before="256" w:line="480" w:lineRule="auto"/>
        <w:ind w:firstLine="480" w:firstLineChars="200"/>
        <w:rPr>
          <w:spacing w:val="-2"/>
          <w:sz w:val="24"/>
          <w:szCs w:val="24"/>
          <w:highlight w:val="yellow"/>
        </w:rPr>
      </w:pPr>
      <w:r>
        <w:rPr>
          <w:rFonts w:ascii="宋体" w:hAnsi="宋体" w:eastAsia="宋体" w:cs="宋体"/>
          <w:b w:val="0"/>
          <w:bCs w:val="0"/>
          <w:color w:val="000000"/>
          <w:sz w:val="24"/>
          <w:szCs w:val="24"/>
          <w:highlight w:val="yellow"/>
        </w:rPr>
        <w:t>我单位同意</w:t>
      </w:r>
      <w:r>
        <w:rPr>
          <w:rFonts w:hint="eastAsia" w:ascii="宋体" w:hAnsi="宋体" w:eastAsia="宋体" w:cs="宋体"/>
          <w:b w:val="0"/>
          <w:bCs w:val="0"/>
          <w:color w:val="000000"/>
          <w:sz w:val="24"/>
          <w:szCs w:val="24"/>
          <w:highlight w:val="yellow"/>
          <w:lang w:val="en-US" w:eastAsia="zh-CN"/>
        </w:rPr>
        <w:t>成交</w:t>
      </w:r>
      <w:r>
        <w:rPr>
          <w:rFonts w:ascii="宋体" w:hAnsi="宋体" w:eastAsia="宋体" w:cs="宋体"/>
          <w:b w:val="0"/>
          <w:bCs w:val="0"/>
          <w:color w:val="000000"/>
          <w:sz w:val="24"/>
          <w:szCs w:val="24"/>
          <w:highlight w:val="yellow"/>
        </w:rPr>
        <w:t>结果公告中公示以下业绩并承诺：</w:t>
      </w:r>
      <w:r>
        <w:rPr>
          <w:rFonts w:hint="eastAsia" w:ascii="宋体" w:hAnsi="宋体" w:eastAsia="宋体" w:cs="宋体"/>
          <w:b w:val="0"/>
          <w:bCs w:val="0"/>
          <w:color w:val="000000"/>
          <w:sz w:val="24"/>
          <w:szCs w:val="24"/>
          <w:highlight w:val="yellow"/>
          <w:lang w:val="en-US" w:eastAsia="zh-CN"/>
        </w:rPr>
        <w:t>响应</w:t>
      </w:r>
      <w:r>
        <w:rPr>
          <w:rFonts w:ascii="宋体" w:hAnsi="宋体" w:eastAsia="宋体" w:cs="宋体"/>
          <w:b w:val="0"/>
          <w:bCs w:val="0"/>
          <w:color w:val="000000"/>
          <w:sz w:val="24"/>
          <w:szCs w:val="24"/>
          <w:highlight w:val="yellow"/>
        </w:rPr>
        <w:t>文件中所提供的业绩 均真实有效，且不属于与关联公司（如母公司、控股公司、分公司、子公司、同 一法定代表人的公司）之间的业绩，若被发现存在任何虚假</w:t>
      </w:r>
      <w:r>
        <w:rPr>
          <w:rFonts w:hint="eastAsia" w:ascii="宋体" w:hAnsi="宋体" w:eastAsia="宋体" w:cs="宋体"/>
          <w:b w:val="0"/>
          <w:bCs w:val="0"/>
          <w:color w:val="000000"/>
          <w:sz w:val="24"/>
          <w:szCs w:val="24"/>
          <w:highlight w:val="yellow"/>
          <w:lang w:eastAsia="zh-CN"/>
        </w:rPr>
        <w:t>、</w:t>
      </w:r>
      <w:r>
        <w:rPr>
          <w:rFonts w:ascii="宋体" w:hAnsi="宋体" w:eastAsia="宋体" w:cs="宋体"/>
          <w:b w:val="0"/>
          <w:bCs w:val="0"/>
          <w:color w:val="000000"/>
          <w:sz w:val="24"/>
          <w:szCs w:val="24"/>
          <w:highlight w:val="yellow"/>
        </w:rPr>
        <w:t>隐瞒情况，我单位承担由此产生的一切后果。</w:t>
      </w:r>
    </w:p>
    <w:p w14:paraId="13D6FB47">
      <w:pPr>
        <w:pStyle w:val="18"/>
        <w:spacing w:before="78" w:line="219" w:lineRule="auto"/>
        <w:ind w:left="4350"/>
        <w:rPr>
          <w:spacing w:val="-2"/>
          <w:sz w:val="24"/>
          <w:szCs w:val="24"/>
          <w:highlight w:val="yellow"/>
        </w:rPr>
      </w:pPr>
    </w:p>
    <w:p w14:paraId="785F5771">
      <w:pPr>
        <w:pStyle w:val="18"/>
        <w:spacing w:before="78" w:line="219" w:lineRule="auto"/>
        <w:ind w:left="4350"/>
        <w:rPr>
          <w:sz w:val="24"/>
          <w:szCs w:val="24"/>
          <w:highlight w:val="yellow"/>
        </w:rPr>
      </w:pPr>
      <w:r>
        <w:rPr>
          <w:spacing w:val="-2"/>
          <w:sz w:val="24"/>
          <w:szCs w:val="24"/>
          <w:highlight w:val="yellow"/>
        </w:rPr>
        <w:t>供应商签章：</w:t>
      </w:r>
      <w:r>
        <w:rPr>
          <w:sz w:val="24"/>
          <w:szCs w:val="24"/>
          <w:highlight w:val="yellow"/>
          <w:u w:val="single" w:color="auto"/>
        </w:rPr>
        <w:t xml:space="preserve">              </w:t>
      </w:r>
    </w:p>
    <w:p w14:paraId="4E6919FA">
      <w:pPr>
        <w:pStyle w:val="18"/>
        <w:spacing w:before="183" w:line="220" w:lineRule="auto"/>
        <w:ind w:left="4392"/>
        <w:rPr>
          <w:sz w:val="24"/>
          <w:szCs w:val="24"/>
          <w:highlight w:val="yellow"/>
        </w:rPr>
      </w:pPr>
      <w:r>
        <w:rPr>
          <w:spacing w:val="-32"/>
          <w:sz w:val="24"/>
          <w:szCs w:val="24"/>
          <w:highlight w:val="yellow"/>
        </w:rPr>
        <w:t>日</w:t>
      </w:r>
      <w:r>
        <w:rPr>
          <w:spacing w:val="1"/>
          <w:sz w:val="24"/>
          <w:szCs w:val="24"/>
          <w:highlight w:val="yellow"/>
        </w:rPr>
        <w:t xml:space="preserve">      </w:t>
      </w:r>
      <w:r>
        <w:rPr>
          <w:spacing w:val="-32"/>
          <w:sz w:val="24"/>
          <w:szCs w:val="24"/>
          <w:highlight w:val="yellow"/>
        </w:rPr>
        <w:t>期</w:t>
      </w:r>
      <w:r>
        <w:rPr>
          <w:spacing w:val="-2"/>
          <w:sz w:val="24"/>
          <w:szCs w:val="24"/>
          <w:highlight w:val="yellow"/>
        </w:rPr>
        <w:t>：</w:t>
      </w:r>
      <w:r>
        <w:rPr>
          <w:sz w:val="24"/>
          <w:szCs w:val="24"/>
          <w:highlight w:val="yellow"/>
          <w:u w:val="single" w:color="auto"/>
        </w:rPr>
        <w:t xml:space="preserve">      </w:t>
      </w:r>
      <w:r>
        <w:rPr>
          <w:rFonts w:hint="eastAsia"/>
          <w:sz w:val="24"/>
          <w:szCs w:val="24"/>
          <w:highlight w:val="yellow"/>
          <w:u w:val="single" w:color="auto"/>
          <w:lang w:val="en-US" w:eastAsia="zh-CN"/>
        </w:rPr>
        <w:t xml:space="preserve">  </w:t>
      </w:r>
      <w:r>
        <w:rPr>
          <w:sz w:val="24"/>
          <w:szCs w:val="24"/>
          <w:highlight w:val="yellow"/>
          <w:u w:val="single" w:color="auto"/>
        </w:rPr>
        <w:t xml:space="preserve">       </w:t>
      </w:r>
    </w:p>
    <w:p w14:paraId="483000D9">
      <w:pPr>
        <w:spacing w:before="27"/>
        <w:rPr>
          <w:highlight w:val="yellow"/>
        </w:rPr>
      </w:pPr>
    </w:p>
    <w:tbl>
      <w:tblPr>
        <w:tblStyle w:val="141"/>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60"/>
        <w:gridCol w:w="2873"/>
        <w:gridCol w:w="2437"/>
        <w:gridCol w:w="1609"/>
        <w:gridCol w:w="867"/>
      </w:tblGrid>
      <w:tr w14:paraId="479B6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497" w:type="pct"/>
            <w:vAlign w:val="top"/>
          </w:tcPr>
          <w:p w14:paraId="23D05868">
            <w:pPr>
              <w:pStyle w:val="140"/>
              <w:spacing w:before="149" w:line="221" w:lineRule="auto"/>
              <w:ind w:left="238"/>
              <w:rPr>
                <w:highlight w:val="yellow"/>
              </w:rPr>
            </w:pPr>
            <w:r>
              <w:rPr>
                <w:spacing w:val="-5"/>
                <w:highlight w:val="yellow"/>
              </w:rPr>
              <w:t>序号</w:t>
            </w:r>
          </w:p>
        </w:tc>
        <w:tc>
          <w:tcPr>
            <w:tcW w:w="1661" w:type="pct"/>
            <w:vAlign w:val="top"/>
          </w:tcPr>
          <w:p w14:paraId="150FB2FF">
            <w:pPr>
              <w:pStyle w:val="140"/>
              <w:spacing w:before="149" w:line="220" w:lineRule="auto"/>
              <w:jc w:val="center"/>
              <w:rPr>
                <w:highlight w:val="yellow"/>
              </w:rPr>
            </w:pPr>
            <w:r>
              <w:rPr>
                <w:spacing w:val="-4"/>
                <w:highlight w:val="yellow"/>
              </w:rPr>
              <w:t>项目名称</w:t>
            </w:r>
          </w:p>
        </w:tc>
        <w:tc>
          <w:tcPr>
            <w:tcW w:w="1409" w:type="pct"/>
            <w:vAlign w:val="top"/>
          </w:tcPr>
          <w:p w14:paraId="5268FC69">
            <w:pPr>
              <w:pStyle w:val="140"/>
              <w:spacing w:before="150" w:line="219" w:lineRule="auto"/>
              <w:jc w:val="center"/>
              <w:rPr>
                <w:highlight w:val="yellow"/>
              </w:rPr>
            </w:pPr>
            <w:r>
              <w:rPr>
                <w:rFonts w:hint="eastAsia" w:eastAsia="宋体"/>
                <w:spacing w:val="-3"/>
                <w:highlight w:val="yellow"/>
                <w:lang w:val="en-US" w:eastAsia="zh-CN"/>
              </w:rPr>
              <w:t>服务</w:t>
            </w:r>
            <w:r>
              <w:rPr>
                <w:spacing w:val="-3"/>
                <w:highlight w:val="yellow"/>
              </w:rPr>
              <w:t>范围</w:t>
            </w:r>
          </w:p>
        </w:tc>
        <w:tc>
          <w:tcPr>
            <w:tcW w:w="930" w:type="pct"/>
            <w:vAlign w:val="top"/>
          </w:tcPr>
          <w:p w14:paraId="44EBDC04">
            <w:pPr>
              <w:pStyle w:val="140"/>
              <w:spacing w:before="150" w:line="219" w:lineRule="auto"/>
              <w:jc w:val="center"/>
              <w:rPr>
                <w:rFonts w:hint="default" w:eastAsia="宋体"/>
                <w:spacing w:val="-3"/>
                <w:highlight w:val="yellow"/>
                <w:lang w:val="en-US" w:eastAsia="zh-CN"/>
              </w:rPr>
            </w:pPr>
            <w:r>
              <w:rPr>
                <w:rFonts w:hint="eastAsia" w:eastAsia="宋体"/>
                <w:spacing w:val="-3"/>
                <w:highlight w:val="yellow"/>
                <w:lang w:val="en-US" w:eastAsia="zh-CN"/>
              </w:rPr>
              <w:t>是否履约完成</w:t>
            </w:r>
          </w:p>
        </w:tc>
        <w:tc>
          <w:tcPr>
            <w:tcW w:w="501" w:type="pct"/>
            <w:vAlign w:val="top"/>
          </w:tcPr>
          <w:p w14:paraId="283ECCB8">
            <w:pPr>
              <w:pStyle w:val="140"/>
              <w:spacing w:before="149" w:line="221" w:lineRule="auto"/>
              <w:ind w:left="245"/>
              <w:rPr>
                <w:highlight w:val="yellow"/>
              </w:rPr>
            </w:pPr>
            <w:r>
              <w:rPr>
                <w:spacing w:val="-7"/>
                <w:highlight w:val="yellow"/>
              </w:rPr>
              <w:t>备注</w:t>
            </w:r>
          </w:p>
        </w:tc>
      </w:tr>
      <w:tr w14:paraId="1A8CC9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5E3F4C8F">
            <w:pPr>
              <w:pStyle w:val="140"/>
              <w:spacing w:before="115" w:line="241" w:lineRule="auto"/>
              <w:ind w:left="437"/>
              <w:rPr>
                <w:highlight w:val="yellow"/>
              </w:rPr>
            </w:pPr>
            <w:r>
              <w:rPr>
                <w:highlight w:val="yellow"/>
              </w:rPr>
              <w:t>1</w:t>
            </w:r>
          </w:p>
        </w:tc>
        <w:tc>
          <w:tcPr>
            <w:tcW w:w="1661" w:type="pct"/>
            <w:vAlign w:val="top"/>
          </w:tcPr>
          <w:p w14:paraId="2706018D">
            <w:pPr>
              <w:rPr>
                <w:rFonts w:ascii="Arial"/>
                <w:sz w:val="21"/>
                <w:highlight w:val="yellow"/>
              </w:rPr>
            </w:pPr>
          </w:p>
        </w:tc>
        <w:tc>
          <w:tcPr>
            <w:tcW w:w="1409" w:type="pct"/>
            <w:vAlign w:val="top"/>
          </w:tcPr>
          <w:p w14:paraId="42018C30">
            <w:pPr>
              <w:rPr>
                <w:rFonts w:ascii="Arial"/>
                <w:sz w:val="21"/>
                <w:highlight w:val="yellow"/>
              </w:rPr>
            </w:pPr>
          </w:p>
        </w:tc>
        <w:tc>
          <w:tcPr>
            <w:tcW w:w="930" w:type="pct"/>
            <w:vAlign w:val="top"/>
          </w:tcPr>
          <w:p w14:paraId="55DDC6D4">
            <w:pPr>
              <w:rPr>
                <w:rFonts w:ascii="Arial"/>
                <w:sz w:val="21"/>
                <w:highlight w:val="yellow"/>
              </w:rPr>
            </w:pPr>
          </w:p>
        </w:tc>
        <w:tc>
          <w:tcPr>
            <w:tcW w:w="501" w:type="pct"/>
            <w:vAlign w:val="top"/>
          </w:tcPr>
          <w:p w14:paraId="60E21923">
            <w:pPr>
              <w:rPr>
                <w:rFonts w:ascii="Arial"/>
                <w:sz w:val="21"/>
                <w:highlight w:val="yellow"/>
              </w:rPr>
            </w:pPr>
          </w:p>
        </w:tc>
      </w:tr>
      <w:tr w14:paraId="15456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0E5DDC60">
            <w:pPr>
              <w:pStyle w:val="140"/>
              <w:spacing w:before="115" w:line="241" w:lineRule="auto"/>
              <w:ind w:left="422"/>
              <w:rPr>
                <w:highlight w:val="yellow"/>
              </w:rPr>
            </w:pPr>
            <w:r>
              <w:rPr>
                <w:highlight w:val="yellow"/>
              </w:rPr>
              <w:t>2</w:t>
            </w:r>
          </w:p>
        </w:tc>
        <w:tc>
          <w:tcPr>
            <w:tcW w:w="1661" w:type="pct"/>
            <w:vAlign w:val="top"/>
          </w:tcPr>
          <w:p w14:paraId="39536F28">
            <w:pPr>
              <w:rPr>
                <w:rFonts w:ascii="Arial"/>
                <w:sz w:val="21"/>
                <w:highlight w:val="yellow"/>
              </w:rPr>
            </w:pPr>
          </w:p>
        </w:tc>
        <w:tc>
          <w:tcPr>
            <w:tcW w:w="1409" w:type="pct"/>
            <w:vAlign w:val="top"/>
          </w:tcPr>
          <w:p w14:paraId="31B01710">
            <w:pPr>
              <w:rPr>
                <w:rFonts w:ascii="Arial"/>
                <w:sz w:val="21"/>
                <w:highlight w:val="yellow"/>
              </w:rPr>
            </w:pPr>
          </w:p>
        </w:tc>
        <w:tc>
          <w:tcPr>
            <w:tcW w:w="930" w:type="pct"/>
            <w:vAlign w:val="top"/>
          </w:tcPr>
          <w:p w14:paraId="65C4BBB3">
            <w:pPr>
              <w:rPr>
                <w:rFonts w:ascii="Arial"/>
                <w:sz w:val="21"/>
                <w:highlight w:val="yellow"/>
              </w:rPr>
            </w:pPr>
          </w:p>
        </w:tc>
        <w:tc>
          <w:tcPr>
            <w:tcW w:w="501" w:type="pct"/>
            <w:vAlign w:val="top"/>
          </w:tcPr>
          <w:p w14:paraId="34D20A5C">
            <w:pPr>
              <w:rPr>
                <w:rFonts w:ascii="Arial"/>
                <w:sz w:val="21"/>
                <w:highlight w:val="yellow"/>
              </w:rPr>
            </w:pPr>
          </w:p>
        </w:tc>
      </w:tr>
      <w:tr w14:paraId="6D3D3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497" w:type="pct"/>
            <w:vAlign w:val="top"/>
          </w:tcPr>
          <w:p w14:paraId="7DA03297">
            <w:pPr>
              <w:pStyle w:val="140"/>
              <w:spacing w:before="118"/>
              <w:ind w:left="424"/>
              <w:rPr>
                <w:highlight w:val="yellow"/>
              </w:rPr>
            </w:pPr>
            <w:r>
              <w:rPr>
                <w:highlight w:val="yellow"/>
              </w:rPr>
              <w:t>3</w:t>
            </w:r>
          </w:p>
        </w:tc>
        <w:tc>
          <w:tcPr>
            <w:tcW w:w="1661" w:type="pct"/>
            <w:vAlign w:val="top"/>
          </w:tcPr>
          <w:p w14:paraId="19341408">
            <w:pPr>
              <w:rPr>
                <w:rFonts w:ascii="Arial"/>
                <w:sz w:val="21"/>
                <w:highlight w:val="yellow"/>
              </w:rPr>
            </w:pPr>
          </w:p>
        </w:tc>
        <w:tc>
          <w:tcPr>
            <w:tcW w:w="1409" w:type="pct"/>
            <w:vAlign w:val="top"/>
          </w:tcPr>
          <w:p w14:paraId="7452D099">
            <w:pPr>
              <w:rPr>
                <w:rFonts w:ascii="Arial"/>
                <w:sz w:val="21"/>
                <w:highlight w:val="yellow"/>
              </w:rPr>
            </w:pPr>
          </w:p>
        </w:tc>
        <w:tc>
          <w:tcPr>
            <w:tcW w:w="930" w:type="pct"/>
            <w:vAlign w:val="top"/>
          </w:tcPr>
          <w:p w14:paraId="17A47195">
            <w:pPr>
              <w:rPr>
                <w:rFonts w:ascii="Arial"/>
                <w:sz w:val="21"/>
                <w:highlight w:val="yellow"/>
              </w:rPr>
            </w:pPr>
          </w:p>
        </w:tc>
        <w:tc>
          <w:tcPr>
            <w:tcW w:w="501" w:type="pct"/>
            <w:vAlign w:val="top"/>
          </w:tcPr>
          <w:p w14:paraId="3794785C">
            <w:pPr>
              <w:rPr>
                <w:rFonts w:ascii="Arial"/>
                <w:sz w:val="21"/>
                <w:highlight w:val="yellow"/>
              </w:rPr>
            </w:pPr>
          </w:p>
        </w:tc>
      </w:tr>
      <w:tr w14:paraId="77642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7FF4137A">
            <w:pPr>
              <w:pStyle w:val="140"/>
              <w:spacing w:before="118" w:line="241" w:lineRule="auto"/>
              <w:ind w:left="418"/>
              <w:rPr>
                <w:highlight w:val="yellow"/>
              </w:rPr>
            </w:pPr>
            <w:r>
              <w:rPr>
                <w:highlight w:val="yellow"/>
              </w:rPr>
              <w:t>4</w:t>
            </w:r>
          </w:p>
        </w:tc>
        <w:tc>
          <w:tcPr>
            <w:tcW w:w="1661" w:type="pct"/>
            <w:vAlign w:val="top"/>
          </w:tcPr>
          <w:p w14:paraId="24145F21">
            <w:pPr>
              <w:rPr>
                <w:rFonts w:ascii="Arial"/>
                <w:sz w:val="21"/>
                <w:highlight w:val="yellow"/>
              </w:rPr>
            </w:pPr>
          </w:p>
        </w:tc>
        <w:tc>
          <w:tcPr>
            <w:tcW w:w="1409" w:type="pct"/>
            <w:vAlign w:val="top"/>
          </w:tcPr>
          <w:p w14:paraId="23AD9719">
            <w:pPr>
              <w:rPr>
                <w:rFonts w:ascii="Arial"/>
                <w:sz w:val="21"/>
                <w:highlight w:val="yellow"/>
              </w:rPr>
            </w:pPr>
          </w:p>
        </w:tc>
        <w:tc>
          <w:tcPr>
            <w:tcW w:w="930" w:type="pct"/>
            <w:vAlign w:val="top"/>
          </w:tcPr>
          <w:p w14:paraId="20CB4632">
            <w:pPr>
              <w:rPr>
                <w:rFonts w:ascii="Arial"/>
                <w:sz w:val="21"/>
                <w:highlight w:val="yellow"/>
              </w:rPr>
            </w:pPr>
          </w:p>
        </w:tc>
        <w:tc>
          <w:tcPr>
            <w:tcW w:w="501" w:type="pct"/>
            <w:vAlign w:val="top"/>
          </w:tcPr>
          <w:p w14:paraId="63E36A07">
            <w:pPr>
              <w:rPr>
                <w:rFonts w:ascii="Arial"/>
                <w:sz w:val="21"/>
                <w:highlight w:val="yellow"/>
              </w:rPr>
            </w:pPr>
          </w:p>
        </w:tc>
      </w:tr>
      <w:tr w14:paraId="57F27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5094B378">
            <w:pPr>
              <w:pStyle w:val="140"/>
              <w:spacing w:before="118"/>
              <w:ind w:left="424"/>
              <w:rPr>
                <w:highlight w:val="yellow"/>
              </w:rPr>
            </w:pPr>
            <w:r>
              <w:rPr>
                <w:highlight w:val="yellow"/>
              </w:rPr>
              <w:t>5</w:t>
            </w:r>
          </w:p>
        </w:tc>
        <w:tc>
          <w:tcPr>
            <w:tcW w:w="1661" w:type="pct"/>
            <w:vAlign w:val="top"/>
          </w:tcPr>
          <w:p w14:paraId="1C7C2917">
            <w:pPr>
              <w:rPr>
                <w:rFonts w:ascii="Arial"/>
                <w:sz w:val="21"/>
                <w:highlight w:val="yellow"/>
              </w:rPr>
            </w:pPr>
          </w:p>
        </w:tc>
        <w:tc>
          <w:tcPr>
            <w:tcW w:w="1409" w:type="pct"/>
            <w:vAlign w:val="top"/>
          </w:tcPr>
          <w:p w14:paraId="3990632B">
            <w:pPr>
              <w:rPr>
                <w:rFonts w:ascii="Arial"/>
                <w:sz w:val="21"/>
                <w:highlight w:val="yellow"/>
              </w:rPr>
            </w:pPr>
          </w:p>
        </w:tc>
        <w:tc>
          <w:tcPr>
            <w:tcW w:w="930" w:type="pct"/>
            <w:vAlign w:val="top"/>
          </w:tcPr>
          <w:p w14:paraId="09942810">
            <w:pPr>
              <w:rPr>
                <w:rFonts w:ascii="Arial"/>
                <w:sz w:val="21"/>
                <w:highlight w:val="yellow"/>
              </w:rPr>
            </w:pPr>
          </w:p>
        </w:tc>
        <w:tc>
          <w:tcPr>
            <w:tcW w:w="501" w:type="pct"/>
            <w:vAlign w:val="top"/>
          </w:tcPr>
          <w:p w14:paraId="5FB6B056">
            <w:pPr>
              <w:rPr>
                <w:rFonts w:ascii="Arial"/>
                <w:sz w:val="21"/>
                <w:highlight w:val="yellow"/>
              </w:rPr>
            </w:pPr>
          </w:p>
        </w:tc>
      </w:tr>
      <w:tr w14:paraId="7F165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497" w:type="pct"/>
            <w:vAlign w:val="top"/>
          </w:tcPr>
          <w:p w14:paraId="130D3C59">
            <w:pPr>
              <w:pStyle w:val="140"/>
              <w:spacing w:before="119" w:line="348" w:lineRule="exact"/>
              <w:ind w:left="254"/>
              <w:rPr>
                <w:highlight w:val="yellow"/>
              </w:rPr>
            </w:pPr>
            <w:r>
              <w:rPr>
                <w:spacing w:val="-13"/>
                <w:position w:val="2"/>
                <w:highlight w:val="yellow"/>
              </w:rPr>
              <w:t>……</w:t>
            </w:r>
          </w:p>
        </w:tc>
        <w:tc>
          <w:tcPr>
            <w:tcW w:w="1661" w:type="pct"/>
            <w:vAlign w:val="top"/>
          </w:tcPr>
          <w:p w14:paraId="6D9A8292">
            <w:pPr>
              <w:rPr>
                <w:rFonts w:ascii="Arial"/>
                <w:sz w:val="21"/>
                <w:highlight w:val="yellow"/>
              </w:rPr>
            </w:pPr>
          </w:p>
        </w:tc>
        <w:tc>
          <w:tcPr>
            <w:tcW w:w="1409" w:type="pct"/>
            <w:vAlign w:val="top"/>
          </w:tcPr>
          <w:p w14:paraId="27B474F5">
            <w:pPr>
              <w:rPr>
                <w:rFonts w:ascii="Arial"/>
                <w:sz w:val="21"/>
                <w:highlight w:val="yellow"/>
              </w:rPr>
            </w:pPr>
          </w:p>
        </w:tc>
        <w:tc>
          <w:tcPr>
            <w:tcW w:w="930" w:type="pct"/>
            <w:vAlign w:val="top"/>
          </w:tcPr>
          <w:p w14:paraId="7EC16B01">
            <w:pPr>
              <w:rPr>
                <w:rFonts w:ascii="Arial"/>
                <w:sz w:val="21"/>
                <w:highlight w:val="yellow"/>
              </w:rPr>
            </w:pPr>
          </w:p>
        </w:tc>
        <w:tc>
          <w:tcPr>
            <w:tcW w:w="501" w:type="pct"/>
            <w:vAlign w:val="top"/>
          </w:tcPr>
          <w:p w14:paraId="774BD42D">
            <w:pPr>
              <w:rPr>
                <w:rFonts w:ascii="Arial"/>
                <w:sz w:val="21"/>
                <w:highlight w:val="yellow"/>
              </w:rPr>
            </w:pPr>
          </w:p>
        </w:tc>
      </w:tr>
    </w:tbl>
    <w:p w14:paraId="6C7A4F28">
      <w:pPr>
        <w:spacing w:before="26"/>
        <w:rPr>
          <w:highlight w:val="yellow"/>
        </w:rPr>
      </w:pPr>
    </w:p>
    <w:p w14:paraId="4E7F5A21">
      <w:pPr>
        <w:pStyle w:val="18"/>
        <w:spacing w:before="78" w:line="224" w:lineRule="auto"/>
        <w:ind w:firstLine="450" w:firstLineChars="200"/>
        <w:rPr>
          <w:sz w:val="24"/>
          <w:szCs w:val="24"/>
          <w:highlight w:val="yellow"/>
        </w:rPr>
      </w:pPr>
      <w:r>
        <w:rPr>
          <w:b/>
          <w:bCs/>
          <w:spacing w:val="-8"/>
          <w:sz w:val="24"/>
          <w:szCs w:val="24"/>
          <w:highlight w:val="yellow"/>
        </w:rPr>
        <w:t>注：</w:t>
      </w:r>
    </w:p>
    <w:p w14:paraId="6467157E">
      <w:pPr>
        <w:pStyle w:val="18"/>
        <w:spacing w:before="184" w:line="289" w:lineRule="auto"/>
        <w:ind w:left="127" w:right="112" w:firstLine="431"/>
        <w:rPr>
          <w:rFonts w:ascii="@微软简标宋" w:hAnsi="@微软简标宋" w:eastAsia="宋体"/>
          <w:spacing w:val="-2"/>
          <w:sz w:val="24"/>
          <w:szCs w:val="24"/>
          <w:highlight w:val="yellow"/>
        </w:rPr>
      </w:pPr>
      <w:r>
        <w:rPr>
          <w:rFonts w:hint="eastAsia" w:ascii="@微软简标宋" w:hAnsi="@微软简标宋" w:eastAsia="宋体"/>
          <w:spacing w:val="-2"/>
          <w:sz w:val="24"/>
          <w:szCs w:val="24"/>
          <w:highlight w:val="yellow"/>
        </w:rPr>
        <w:t>1.供应商须按上述格式填写所提供的业绩。如未填写或未按格式填写，则该业绩</w:t>
      </w:r>
      <w:r>
        <w:rPr>
          <w:rFonts w:hint="eastAsia" w:ascii="@微软简标宋" w:hAnsi="@微软简标宋" w:eastAsia="宋体"/>
          <w:spacing w:val="-2"/>
          <w:sz w:val="24"/>
          <w:szCs w:val="24"/>
          <w:highlight w:val="yellow"/>
          <w:lang w:eastAsia="zh-CN"/>
        </w:rPr>
        <w:t>评审不予认可</w:t>
      </w:r>
      <w:r>
        <w:rPr>
          <w:rFonts w:hint="eastAsia" w:ascii="@微软简标宋" w:hAnsi="@微软简标宋" w:eastAsia="宋体"/>
          <w:spacing w:val="-2"/>
          <w:sz w:val="24"/>
          <w:szCs w:val="24"/>
          <w:highlight w:val="yellow"/>
        </w:rPr>
        <w:t>；</w:t>
      </w:r>
    </w:p>
    <w:p w14:paraId="2D383FB2">
      <w:pPr>
        <w:pStyle w:val="18"/>
        <w:spacing w:before="184" w:line="289" w:lineRule="auto"/>
        <w:ind w:left="127" w:right="112" w:firstLine="431"/>
        <w:rPr>
          <w:spacing w:val="-2"/>
          <w:sz w:val="24"/>
          <w:szCs w:val="24"/>
          <w:highlight w:val="yellow"/>
          <w:lang w:val="zh-CN" w:eastAsia="zh-CN"/>
        </w:rPr>
        <w:sectPr>
          <w:pgSz w:w="11906" w:h="16839"/>
          <w:pgMar w:top="1166" w:right="1633" w:bottom="1234" w:left="1633" w:header="829" w:footer="985" w:gutter="0"/>
          <w:pgNumType w:fmt="decimal"/>
          <w:cols w:space="720" w:num="1"/>
        </w:sectPr>
      </w:pPr>
      <w:r>
        <w:rPr>
          <w:spacing w:val="-2"/>
          <w:sz w:val="24"/>
          <w:szCs w:val="24"/>
          <w:highlight w:val="yellow"/>
        </w:rPr>
        <w:t>2.</w:t>
      </w:r>
      <w:r>
        <w:rPr>
          <w:rFonts w:hint="eastAsia"/>
          <w:spacing w:val="-2"/>
          <w:sz w:val="24"/>
          <w:szCs w:val="24"/>
          <w:highlight w:val="yellow"/>
          <w:lang w:val="en-US" w:eastAsia="zh-CN"/>
        </w:rPr>
        <w:t xml:space="preserve"> 如磋商文件《供应商须知前附表》有约定的，成交供应商经磋商小组评审认可的相关业绩将按约定随成交公告结果公告同时公告。</w:t>
      </w:r>
    </w:p>
    <w:bookmarkEnd w:id="109"/>
    <w:p w14:paraId="1F4B89C8">
      <w:pPr>
        <w:spacing w:line="360" w:lineRule="auto"/>
        <w:jc w:val="center"/>
        <w:outlineLvl w:val="1"/>
        <w:rPr>
          <w:rFonts w:asciiTheme="minorEastAsia" w:hAnsiTheme="minorEastAsia" w:eastAsiaTheme="minorEastAsia"/>
          <w:b/>
          <w:color w:val="auto"/>
          <w:sz w:val="24"/>
          <w:highlight w:val="none"/>
        </w:rPr>
      </w:pPr>
      <w:bookmarkStart w:id="110" w:name="_Toc7807"/>
      <w:bookmarkStart w:id="111" w:name="_Toc3826"/>
      <w:r>
        <w:rPr>
          <w:rFonts w:hint="eastAsia" w:asciiTheme="minorEastAsia" w:hAnsiTheme="minorEastAsia" w:eastAsiaTheme="minorEastAsia"/>
          <w:b/>
          <w:color w:val="auto"/>
          <w:sz w:val="24"/>
          <w:highlight w:val="none"/>
          <w:lang w:val="en-US" w:eastAsia="zh-CN"/>
        </w:rPr>
        <w:t>九</w:t>
      </w:r>
      <w:r>
        <w:rPr>
          <w:rFonts w:hint="eastAsia" w:asciiTheme="minorEastAsia" w:hAnsiTheme="minorEastAsia" w:eastAsiaTheme="minorEastAsia"/>
          <w:b/>
          <w:color w:val="auto"/>
          <w:sz w:val="24"/>
          <w:highlight w:val="none"/>
        </w:rPr>
        <w:t>、其他相关证明材料</w:t>
      </w:r>
      <w:bookmarkEnd w:id="110"/>
      <w:bookmarkEnd w:id="111"/>
    </w:p>
    <w:p w14:paraId="5E539229">
      <w:pPr>
        <w:tabs>
          <w:tab w:val="left" w:pos="4620"/>
        </w:tabs>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提供符合磋商邀请、采购需求及评审方法和标准规定的相关证明文件</w:t>
      </w:r>
      <w:r>
        <w:rPr>
          <w:rFonts w:hint="eastAsia" w:ascii="宋体" w:hAnsi="宋体" w:eastAsia="宋体"/>
          <w:color w:val="auto"/>
          <w:sz w:val="24"/>
          <w:highlight w:val="none"/>
          <w:lang w:eastAsia="zh-CN"/>
        </w:rPr>
        <w:t>的</w:t>
      </w:r>
      <w:r>
        <w:rPr>
          <w:rFonts w:hint="eastAsia" w:ascii="宋体" w:hAnsi="宋体" w:eastAsia="宋体"/>
          <w:color w:val="auto"/>
          <w:sz w:val="24"/>
          <w:highlight w:val="none"/>
          <w:lang w:val="en-US" w:eastAsia="zh-CN"/>
        </w:rPr>
        <w:t>影印件</w:t>
      </w:r>
      <w:r>
        <w:rPr>
          <w:rFonts w:hint="eastAsia" w:ascii="宋体" w:hAnsi="宋体" w:eastAsia="宋体"/>
          <w:color w:val="auto"/>
          <w:sz w:val="24"/>
          <w:highlight w:val="none"/>
        </w:rPr>
        <w:t>。</w:t>
      </w:r>
    </w:p>
    <w:p w14:paraId="4069CC21">
      <w:pPr>
        <w:spacing w:line="360" w:lineRule="auto"/>
        <w:ind w:firstLine="435"/>
        <w:rPr>
          <w:rFonts w:asciiTheme="minorEastAsia" w:hAnsiTheme="minorEastAsia" w:eastAsiaTheme="minorEastAsia"/>
          <w:color w:val="auto"/>
          <w:sz w:val="24"/>
          <w:highlight w:val="none"/>
        </w:rPr>
      </w:pPr>
    </w:p>
    <w:p w14:paraId="2CB02D42">
      <w:pPr>
        <w:spacing w:line="360" w:lineRule="auto"/>
        <w:ind w:firstLine="480" w:firstLineChars="200"/>
        <w:rPr>
          <w:rFonts w:asciiTheme="minorEastAsia" w:hAnsiTheme="minorEastAsia" w:eastAsiaTheme="minorEastAsia"/>
          <w:color w:val="auto"/>
          <w:sz w:val="24"/>
          <w:highlight w:val="none"/>
        </w:rPr>
      </w:pPr>
    </w:p>
    <w:p w14:paraId="7A089CDF">
      <w:pPr>
        <w:spacing w:line="360" w:lineRule="auto"/>
        <w:jc w:val="center"/>
        <w:rPr>
          <w:rFonts w:asciiTheme="minorEastAsia" w:hAnsiTheme="minorEastAsia" w:eastAsiaTheme="minorEastAsia"/>
          <w:b/>
          <w:color w:val="auto"/>
          <w:sz w:val="24"/>
          <w:highlight w:val="none"/>
        </w:rPr>
      </w:pPr>
    </w:p>
    <w:p w14:paraId="2ED54802">
      <w:pPr>
        <w:widowControl/>
        <w:jc w:val="left"/>
        <w:rPr>
          <w:rFonts w:ascii="宋体" w:hAnsi="宋体" w:eastAsia="宋体"/>
          <w:bCs/>
          <w:color w:val="auto"/>
          <w:sz w:val="24"/>
          <w:highlight w:val="none"/>
        </w:rPr>
      </w:pPr>
      <w:r>
        <w:rPr>
          <w:rFonts w:asciiTheme="minorEastAsia" w:hAnsiTheme="minorEastAsia" w:eastAsiaTheme="minorEastAsia"/>
          <w:color w:val="auto"/>
          <w:sz w:val="24"/>
          <w:highlight w:val="none"/>
        </w:rPr>
        <w:br w:type="page"/>
      </w:r>
    </w:p>
    <w:p w14:paraId="379889EA">
      <w:pPr>
        <w:spacing w:line="360" w:lineRule="auto"/>
        <w:jc w:val="center"/>
        <w:outlineLvl w:val="0"/>
        <w:rPr>
          <w:rFonts w:ascii="宋体" w:hAnsi="宋体" w:eastAsia="宋体"/>
          <w:b/>
          <w:bCs/>
          <w:color w:val="auto"/>
          <w:sz w:val="28"/>
          <w:highlight w:val="none"/>
        </w:rPr>
      </w:pPr>
      <w:bookmarkStart w:id="112" w:name="_Toc63440924"/>
      <w:bookmarkStart w:id="113" w:name="_Toc19418"/>
      <w:r>
        <w:rPr>
          <w:rFonts w:hint="eastAsia" w:ascii="宋体" w:hAnsi="宋体" w:eastAsia="宋体"/>
          <w:b/>
          <w:bCs/>
          <w:color w:val="auto"/>
          <w:sz w:val="28"/>
          <w:highlight w:val="none"/>
        </w:rPr>
        <w:t>第</w:t>
      </w:r>
      <w:r>
        <w:rPr>
          <w:rFonts w:hint="eastAsia" w:ascii="宋体" w:hAnsi="宋体" w:eastAsia="宋体"/>
          <w:b/>
          <w:bCs/>
          <w:color w:val="auto"/>
          <w:sz w:val="28"/>
          <w:highlight w:val="none"/>
          <w:lang w:val="en-US" w:eastAsia="zh-CN"/>
        </w:rPr>
        <w:t>七</w:t>
      </w:r>
      <w:r>
        <w:rPr>
          <w:rFonts w:hint="eastAsia" w:ascii="宋体" w:hAnsi="宋体" w:eastAsia="宋体"/>
          <w:b/>
          <w:bCs/>
          <w:color w:val="auto"/>
          <w:sz w:val="28"/>
          <w:highlight w:val="none"/>
        </w:rPr>
        <w:t>章  政府采购</w:t>
      </w:r>
      <w:bookmarkEnd w:id="112"/>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113"/>
    </w:p>
    <w:p w14:paraId="41FD10DD">
      <w:pPr>
        <w:spacing w:line="360" w:lineRule="auto"/>
        <w:jc w:val="center"/>
        <w:outlineLvl w:val="1"/>
        <w:rPr>
          <w:rFonts w:ascii="仿宋" w:hAnsi="仿宋" w:eastAsia="仿宋" w:cs="仿宋"/>
          <w:b/>
          <w:bCs/>
          <w:color w:val="auto"/>
          <w:sz w:val="32"/>
          <w:szCs w:val="44"/>
          <w:highlight w:val="none"/>
        </w:rPr>
      </w:pPr>
      <w:bookmarkStart w:id="114" w:name="_Toc2142"/>
      <w:bookmarkStart w:id="115" w:name="_Toc8735"/>
      <w:r>
        <w:rPr>
          <w:rFonts w:hint="eastAsia" w:ascii="仿宋" w:hAnsi="仿宋" w:eastAsia="仿宋" w:cs="仿宋"/>
          <w:b/>
          <w:bCs/>
          <w:color w:val="auto"/>
          <w:sz w:val="32"/>
          <w:szCs w:val="44"/>
          <w:highlight w:val="none"/>
        </w:rPr>
        <w:t>询问函范本</w:t>
      </w:r>
      <w:bookmarkEnd w:id="114"/>
      <w:bookmarkEnd w:id="115"/>
    </w:p>
    <w:p w14:paraId="7FF4F453">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（如为对采购文件或采购程序的询问或疑问，请按询问函范本进行提交）</w:t>
      </w:r>
    </w:p>
    <w:p w14:paraId="738BBC9A">
      <w:pPr>
        <w:adjustRightInd w:val="0"/>
        <w:snapToGrid w:val="0"/>
        <w:spacing w:line="360" w:lineRule="auto"/>
        <w:rPr>
          <w:rFonts w:hint="eastAsia" w:cs="仿宋" w:asciiTheme="minorEastAsia" w:hAnsiTheme="minorEastAsia" w:eastAsiaTheme="minorEastAsia"/>
          <w:b/>
          <w:bCs/>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val="en-US" w:eastAsia="zh-CN"/>
        </w:rPr>
        <w:t>采购人</w:t>
      </w:r>
    </w:p>
    <w:p w14:paraId="19F8740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i/>
          <w:iCs/>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rPr>
        <w:t>项目</w:t>
      </w:r>
      <w:r>
        <w:rPr>
          <w:rFonts w:hint="eastAsia" w:cs="仿宋" w:asciiTheme="minorEastAsia" w:hAnsiTheme="minorEastAsia" w:eastAsiaTheme="minorEastAsia"/>
          <w:i/>
          <w:iCs/>
          <w:color w:val="auto"/>
          <w:sz w:val="24"/>
          <w:szCs w:val="24"/>
          <w:highlight w:val="none"/>
          <w:u w:val="none"/>
          <w:lang w:val="en-US" w:eastAsia="zh-CN"/>
        </w:rPr>
        <w:t>名称、</w:t>
      </w:r>
      <w:r>
        <w:rPr>
          <w:rFonts w:hint="eastAsia" w:cs="仿宋" w:asciiTheme="minorEastAsia" w:hAnsiTheme="minorEastAsia" w:eastAsiaTheme="minorEastAsia"/>
          <w:i/>
          <w:iCs/>
          <w:color w:val="auto"/>
          <w:sz w:val="24"/>
          <w:szCs w:val="24"/>
          <w:highlight w:val="none"/>
          <w:u w:val="none"/>
        </w:rPr>
        <w:t>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0FEF962A">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16" w:name="_Toc26386"/>
      <w:bookmarkStart w:id="117" w:name="_Toc9092"/>
      <w:r>
        <w:rPr>
          <w:rFonts w:hint="eastAsia" w:cs="仿宋" w:asciiTheme="minorEastAsia" w:hAnsiTheme="minorEastAsia" w:eastAsiaTheme="minorEastAsia"/>
          <w:color w:val="auto"/>
          <w:sz w:val="24"/>
          <w:szCs w:val="24"/>
          <w:highlight w:val="none"/>
        </w:rPr>
        <w:t>一、(事项一)</w:t>
      </w:r>
      <w:bookmarkEnd w:id="116"/>
      <w:bookmarkEnd w:id="117"/>
    </w:p>
    <w:p w14:paraId="1281EAB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37618FB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3E227F6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6E793BF">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18" w:name="_Toc17582"/>
      <w:bookmarkStart w:id="119" w:name="_Toc9273"/>
      <w:r>
        <w:rPr>
          <w:rFonts w:hint="eastAsia" w:cs="仿宋" w:asciiTheme="minorEastAsia" w:hAnsiTheme="minorEastAsia" w:eastAsiaTheme="minorEastAsia"/>
          <w:color w:val="auto"/>
          <w:sz w:val="24"/>
          <w:szCs w:val="24"/>
          <w:highlight w:val="none"/>
        </w:rPr>
        <w:t>二、(事项二)</w:t>
      </w:r>
      <w:bookmarkEnd w:id="118"/>
      <w:bookmarkEnd w:id="119"/>
    </w:p>
    <w:p w14:paraId="19A5D88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B9C940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4FCB34AA">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12ACE8E9">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7CC9AA14">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55718456">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1714913D">
      <w:pPr>
        <w:jc w:val="center"/>
        <w:outlineLvl w:val="1"/>
        <w:rPr>
          <w:rFonts w:ascii="仿宋" w:hAnsi="仿宋" w:eastAsia="仿宋" w:cs="仿宋"/>
          <w:b/>
          <w:bCs/>
          <w:color w:val="auto"/>
          <w:sz w:val="32"/>
          <w:szCs w:val="44"/>
          <w:highlight w:val="none"/>
        </w:rPr>
      </w:pPr>
      <w:bookmarkStart w:id="120" w:name="_Toc6990"/>
      <w:bookmarkStart w:id="121" w:name="_Toc26673"/>
      <w:r>
        <w:rPr>
          <w:rFonts w:hint="eastAsia" w:ascii="仿宋" w:hAnsi="仿宋" w:eastAsia="仿宋" w:cs="仿宋"/>
          <w:b/>
          <w:bCs/>
          <w:color w:val="auto"/>
          <w:sz w:val="32"/>
          <w:szCs w:val="44"/>
          <w:highlight w:val="none"/>
        </w:rPr>
        <w:t>质疑函范本</w:t>
      </w:r>
      <w:bookmarkEnd w:id="120"/>
      <w:bookmarkEnd w:id="121"/>
    </w:p>
    <w:p w14:paraId="49AD0B40">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122" w:name="_Toc2994"/>
      <w:bookmarkStart w:id="123" w:name="_Toc29510"/>
      <w:r>
        <w:rPr>
          <w:rFonts w:hint="eastAsia" w:cs="仿宋" w:asciiTheme="minorEastAsia" w:hAnsiTheme="minorEastAsia" w:eastAsiaTheme="minorEastAsia"/>
          <w:b/>
          <w:bCs/>
          <w:color w:val="auto"/>
          <w:sz w:val="24"/>
          <w:szCs w:val="24"/>
          <w:highlight w:val="none"/>
        </w:rPr>
        <w:t>一、质疑供应商基本信息</w:t>
      </w:r>
      <w:bookmarkEnd w:id="122"/>
      <w:bookmarkEnd w:id="123"/>
    </w:p>
    <w:p w14:paraId="3F0CCCA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6F6290C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157851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1BE4009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5C098AE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331A894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7AF4CCD">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4" w:name="_Toc28130"/>
      <w:bookmarkStart w:id="125" w:name="_Toc31042"/>
      <w:r>
        <w:rPr>
          <w:rFonts w:hint="eastAsia" w:cs="仿宋" w:asciiTheme="minorEastAsia" w:hAnsiTheme="minorEastAsia" w:eastAsiaTheme="minorEastAsia"/>
          <w:b/>
          <w:bCs/>
          <w:color w:val="auto"/>
          <w:sz w:val="24"/>
          <w:szCs w:val="24"/>
          <w:highlight w:val="none"/>
        </w:rPr>
        <w:t>二、质疑项目基本情况</w:t>
      </w:r>
      <w:bookmarkEnd w:id="124"/>
      <w:bookmarkEnd w:id="125"/>
    </w:p>
    <w:p w14:paraId="3C2E3A4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597E0A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62B9870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F3C89B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6C3AFE7F">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6" w:name="_Toc6486"/>
      <w:bookmarkStart w:id="127" w:name="_Toc20587"/>
      <w:r>
        <w:rPr>
          <w:rFonts w:hint="eastAsia" w:cs="仿宋" w:asciiTheme="minorEastAsia" w:hAnsiTheme="minorEastAsia" w:eastAsiaTheme="minorEastAsia"/>
          <w:b/>
          <w:bCs/>
          <w:color w:val="auto"/>
          <w:sz w:val="24"/>
          <w:szCs w:val="24"/>
          <w:highlight w:val="none"/>
        </w:rPr>
        <w:t>三、质疑事项具体内容</w:t>
      </w:r>
      <w:bookmarkEnd w:id="126"/>
      <w:bookmarkEnd w:id="127"/>
    </w:p>
    <w:p w14:paraId="4F85235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0D7C01D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31E16F8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363EBF6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14E0CD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051089A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7766B30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03A67DC">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8" w:name="_Toc20470"/>
      <w:bookmarkStart w:id="129" w:name="_Toc32755"/>
      <w:r>
        <w:rPr>
          <w:rFonts w:hint="eastAsia" w:cs="仿宋" w:asciiTheme="minorEastAsia" w:hAnsiTheme="minorEastAsia" w:eastAsiaTheme="minorEastAsia"/>
          <w:b/>
          <w:bCs/>
          <w:color w:val="auto"/>
          <w:sz w:val="24"/>
          <w:szCs w:val="24"/>
          <w:highlight w:val="none"/>
        </w:rPr>
        <w:t>四、与质疑事项相关的质疑请求</w:t>
      </w:r>
      <w:bookmarkEnd w:id="128"/>
      <w:bookmarkEnd w:id="129"/>
    </w:p>
    <w:p w14:paraId="0DAA263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517E6B87">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11F9F2AC">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DF509A5">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6A38DDD5">
      <w:pPr>
        <w:outlineLvl w:val="0"/>
        <w:rPr>
          <w:rFonts w:asciiTheme="minorEastAsia" w:hAnsiTheme="minorEastAsia" w:eastAsiaTheme="minorEastAsia"/>
          <w:b/>
          <w:color w:val="auto"/>
          <w:sz w:val="28"/>
          <w:szCs w:val="32"/>
          <w:highlight w:val="none"/>
        </w:rPr>
      </w:pPr>
      <w:bookmarkStart w:id="130" w:name="_Toc21667"/>
      <w:bookmarkStart w:id="131" w:name="_Toc8368"/>
      <w:r>
        <w:rPr>
          <w:rFonts w:hint="eastAsia" w:asciiTheme="minorEastAsia" w:hAnsiTheme="minorEastAsia" w:eastAsiaTheme="minorEastAsia"/>
          <w:b/>
          <w:color w:val="auto"/>
          <w:sz w:val="28"/>
          <w:szCs w:val="32"/>
          <w:highlight w:val="none"/>
        </w:rPr>
        <w:t>质疑函制作说明：</w:t>
      </w:r>
      <w:bookmarkEnd w:id="130"/>
      <w:bookmarkEnd w:id="131"/>
    </w:p>
    <w:p w14:paraId="4C105B0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7C973A2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38948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79CDB3F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361DCB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043FF26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3CB09746">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p w14:paraId="540754C8">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sectPr>
      <w:footerReference r:id="rId12" w:type="default"/>
      <w:pgSz w:w="11906" w:h="16838"/>
      <w:pgMar w:top="1440" w:right="1486" w:bottom="1440" w:left="1800" w:header="454" w:footer="680"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Regular">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D12AF">
    <w:pPr>
      <w:pStyle w:val="27"/>
      <w:jc w:val="both"/>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75178">
    <w:pPr>
      <w:pStyle w:val="27"/>
      <w:jc w:val="center"/>
      <w:rPr>
        <w:rFonts w:ascii="宋体"/>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E89A92">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FE89A92">
                    <w:pPr>
                      <w:pStyle w:val="2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6313A">
    <w:pPr>
      <w:pStyle w:val="27"/>
      <w:jc w:val="center"/>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EE66B">
                          <w:pPr>
                            <w:pStyle w:val="2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04EE66B">
                    <w:pPr>
                      <w:pStyle w:val="2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7EEF4">
    <w:pPr>
      <w:pStyle w:val="2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BA9642">
                          <w:pPr>
                            <w:pStyle w:val="27"/>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9BA9642">
                    <w:pPr>
                      <w:pStyle w:val="27"/>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4AA83">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0656D5">
                          <w:pPr>
                            <w:pStyle w:val="27"/>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90656D5">
                    <w:pPr>
                      <w:pStyle w:val="27"/>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3D8C">
    <w:pPr>
      <w:pStyle w:val="27"/>
      <w:jc w:val="center"/>
      <w:rPr>
        <w:rFonts w:hint="default" w:eastAsiaTheme="minorEastAsia"/>
        <w:sz w:val="17"/>
        <w:szCs w:val="17"/>
        <w:lang w:val="en-US" w:eastAsia="zh-CN"/>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86094B">
                          <w:pPr>
                            <w:pStyle w:val="27"/>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786094B">
                    <w:pPr>
                      <w:pStyle w:val="27"/>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BEE6B">
    <w:pPr>
      <w:pStyle w:val="29"/>
      <w:pBdr>
        <w:bottom w:val="none" w:color="auto" w:sz="0" w:space="1"/>
      </w:pBdr>
      <w:jc w:val="both"/>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F3248">
    <w:pPr>
      <w:pStyle w:val="29"/>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竞争性磋商文件</w:t>
    </w:r>
    <w:r>
      <w:rPr>
        <w:rFonts w:hint="eastAsia" w:asciiTheme="minorEastAsia" w:hAnsiTheme="minorEastAsia" w:eastAsiaTheme="minorEastAsia"/>
        <w:lang w:eastAsia="zh-CN"/>
      </w:rPr>
      <w:t>示范文本（</w:t>
    </w:r>
    <w:r>
      <w:rPr>
        <w:rFonts w:hint="eastAsia" w:asciiTheme="minorEastAsia" w:hAnsiTheme="minorEastAsia" w:eastAsiaTheme="minorEastAsia"/>
      </w:rPr>
      <w:t>服务类</w:t>
    </w:r>
    <w:r>
      <w:rPr>
        <w:rFonts w:hint="eastAsia" w:asciiTheme="minorEastAsia" w:hAnsiTheme="minorEastAsia" w:eastAsiaTheme="minor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AB2737"/>
    <w:multiLevelType w:val="singleLevel"/>
    <w:tmpl w:val="7AAB273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NDljOTA3NGJiZTQwZDk2ZGY5NGRmMTgwNWM3NTQifQ=="/>
  </w:docVars>
  <w:rsids>
    <w:rsidRoot w:val="00EA16A9"/>
    <w:rsid w:val="00003D9F"/>
    <w:rsid w:val="00013E8C"/>
    <w:rsid w:val="00015CFD"/>
    <w:rsid w:val="00016C93"/>
    <w:rsid w:val="000219D3"/>
    <w:rsid w:val="00031E09"/>
    <w:rsid w:val="00032409"/>
    <w:rsid w:val="00032FC2"/>
    <w:rsid w:val="0003630F"/>
    <w:rsid w:val="0004381B"/>
    <w:rsid w:val="00046FE7"/>
    <w:rsid w:val="00052213"/>
    <w:rsid w:val="00053BFF"/>
    <w:rsid w:val="00054675"/>
    <w:rsid w:val="000549D2"/>
    <w:rsid w:val="000577E1"/>
    <w:rsid w:val="000602E0"/>
    <w:rsid w:val="00061A4D"/>
    <w:rsid w:val="000625C0"/>
    <w:rsid w:val="000725CE"/>
    <w:rsid w:val="00076CC8"/>
    <w:rsid w:val="00081261"/>
    <w:rsid w:val="00081D62"/>
    <w:rsid w:val="00081F82"/>
    <w:rsid w:val="00082193"/>
    <w:rsid w:val="00082F6E"/>
    <w:rsid w:val="00083247"/>
    <w:rsid w:val="00085A29"/>
    <w:rsid w:val="00087B7D"/>
    <w:rsid w:val="00094168"/>
    <w:rsid w:val="00094553"/>
    <w:rsid w:val="00096AC2"/>
    <w:rsid w:val="00097368"/>
    <w:rsid w:val="000A4760"/>
    <w:rsid w:val="000A516B"/>
    <w:rsid w:val="000A6591"/>
    <w:rsid w:val="000A768B"/>
    <w:rsid w:val="000A7C40"/>
    <w:rsid w:val="000B42DA"/>
    <w:rsid w:val="000B7B51"/>
    <w:rsid w:val="000C18CF"/>
    <w:rsid w:val="000C3C34"/>
    <w:rsid w:val="000C51AA"/>
    <w:rsid w:val="000C6C52"/>
    <w:rsid w:val="000D05E8"/>
    <w:rsid w:val="000D3095"/>
    <w:rsid w:val="000D319D"/>
    <w:rsid w:val="000D50F4"/>
    <w:rsid w:val="000D76D6"/>
    <w:rsid w:val="000E0118"/>
    <w:rsid w:val="000E2790"/>
    <w:rsid w:val="000E4655"/>
    <w:rsid w:val="000E596C"/>
    <w:rsid w:val="000F43B5"/>
    <w:rsid w:val="000F6DE0"/>
    <w:rsid w:val="000F7E7B"/>
    <w:rsid w:val="00100182"/>
    <w:rsid w:val="001005F4"/>
    <w:rsid w:val="001023A4"/>
    <w:rsid w:val="00102D0F"/>
    <w:rsid w:val="00104B47"/>
    <w:rsid w:val="00110E23"/>
    <w:rsid w:val="00111430"/>
    <w:rsid w:val="00111B2D"/>
    <w:rsid w:val="00114F4D"/>
    <w:rsid w:val="00116531"/>
    <w:rsid w:val="001267B0"/>
    <w:rsid w:val="0012781F"/>
    <w:rsid w:val="00130647"/>
    <w:rsid w:val="0013189C"/>
    <w:rsid w:val="00140727"/>
    <w:rsid w:val="0014643C"/>
    <w:rsid w:val="0014671C"/>
    <w:rsid w:val="00150863"/>
    <w:rsid w:val="00150FBA"/>
    <w:rsid w:val="00152457"/>
    <w:rsid w:val="00153E07"/>
    <w:rsid w:val="0015522D"/>
    <w:rsid w:val="00163279"/>
    <w:rsid w:val="001632A9"/>
    <w:rsid w:val="0016490B"/>
    <w:rsid w:val="001655F5"/>
    <w:rsid w:val="00171E9B"/>
    <w:rsid w:val="00175727"/>
    <w:rsid w:val="00175EE5"/>
    <w:rsid w:val="00176150"/>
    <w:rsid w:val="001800AF"/>
    <w:rsid w:val="00181014"/>
    <w:rsid w:val="001825F3"/>
    <w:rsid w:val="00184CBD"/>
    <w:rsid w:val="00187044"/>
    <w:rsid w:val="00187D22"/>
    <w:rsid w:val="00190391"/>
    <w:rsid w:val="00192343"/>
    <w:rsid w:val="00194E89"/>
    <w:rsid w:val="00196F90"/>
    <w:rsid w:val="0019722D"/>
    <w:rsid w:val="001A3F30"/>
    <w:rsid w:val="001A5E1C"/>
    <w:rsid w:val="001A7339"/>
    <w:rsid w:val="001C0B04"/>
    <w:rsid w:val="001C2815"/>
    <w:rsid w:val="001C3DFF"/>
    <w:rsid w:val="001C4109"/>
    <w:rsid w:val="001D4814"/>
    <w:rsid w:val="001D599F"/>
    <w:rsid w:val="001D6D61"/>
    <w:rsid w:val="001E12EF"/>
    <w:rsid w:val="001E3640"/>
    <w:rsid w:val="001E4A8B"/>
    <w:rsid w:val="001E7081"/>
    <w:rsid w:val="001F0557"/>
    <w:rsid w:val="001F2EFB"/>
    <w:rsid w:val="001F39B9"/>
    <w:rsid w:val="001F5EEA"/>
    <w:rsid w:val="001F6ED6"/>
    <w:rsid w:val="00200FD7"/>
    <w:rsid w:val="00202DB6"/>
    <w:rsid w:val="00203470"/>
    <w:rsid w:val="00215208"/>
    <w:rsid w:val="00216072"/>
    <w:rsid w:val="002224C5"/>
    <w:rsid w:val="002233EE"/>
    <w:rsid w:val="00224399"/>
    <w:rsid w:val="00224A59"/>
    <w:rsid w:val="00224C5B"/>
    <w:rsid w:val="00235FFA"/>
    <w:rsid w:val="00241FE5"/>
    <w:rsid w:val="00243E21"/>
    <w:rsid w:val="00244B85"/>
    <w:rsid w:val="00247DE0"/>
    <w:rsid w:val="00253B43"/>
    <w:rsid w:val="00255387"/>
    <w:rsid w:val="002556BC"/>
    <w:rsid w:val="00255ADE"/>
    <w:rsid w:val="002616A0"/>
    <w:rsid w:val="00263FE2"/>
    <w:rsid w:val="00274616"/>
    <w:rsid w:val="00275811"/>
    <w:rsid w:val="002758E7"/>
    <w:rsid w:val="00275EDD"/>
    <w:rsid w:val="00280B25"/>
    <w:rsid w:val="00283E29"/>
    <w:rsid w:val="00285776"/>
    <w:rsid w:val="00287428"/>
    <w:rsid w:val="00293416"/>
    <w:rsid w:val="0029591D"/>
    <w:rsid w:val="002A0850"/>
    <w:rsid w:val="002A3476"/>
    <w:rsid w:val="002A4557"/>
    <w:rsid w:val="002A68CE"/>
    <w:rsid w:val="002A77B9"/>
    <w:rsid w:val="002A7DD0"/>
    <w:rsid w:val="002B0FE7"/>
    <w:rsid w:val="002C0252"/>
    <w:rsid w:val="002C2DD8"/>
    <w:rsid w:val="002C40CD"/>
    <w:rsid w:val="002D18D3"/>
    <w:rsid w:val="002D221C"/>
    <w:rsid w:val="002D2265"/>
    <w:rsid w:val="002D2A45"/>
    <w:rsid w:val="002D4C52"/>
    <w:rsid w:val="002D52FA"/>
    <w:rsid w:val="002D7797"/>
    <w:rsid w:val="002E1F77"/>
    <w:rsid w:val="002E2B29"/>
    <w:rsid w:val="002E2D10"/>
    <w:rsid w:val="002E5A7E"/>
    <w:rsid w:val="002F4902"/>
    <w:rsid w:val="003050F5"/>
    <w:rsid w:val="00311952"/>
    <w:rsid w:val="00311E9B"/>
    <w:rsid w:val="0031466A"/>
    <w:rsid w:val="00314D4B"/>
    <w:rsid w:val="0031558C"/>
    <w:rsid w:val="00316204"/>
    <w:rsid w:val="003215BF"/>
    <w:rsid w:val="00324FD3"/>
    <w:rsid w:val="00325B81"/>
    <w:rsid w:val="00326701"/>
    <w:rsid w:val="0033761B"/>
    <w:rsid w:val="00340140"/>
    <w:rsid w:val="00340800"/>
    <w:rsid w:val="00342A33"/>
    <w:rsid w:val="00345CF8"/>
    <w:rsid w:val="00345DD2"/>
    <w:rsid w:val="00346E0A"/>
    <w:rsid w:val="0035135B"/>
    <w:rsid w:val="00352BF4"/>
    <w:rsid w:val="00353ADC"/>
    <w:rsid w:val="0035465F"/>
    <w:rsid w:val="00354706"/>
    <w:rsid w:val="0035622C"/>
    <w:rsid w:val="00356579"/>
    <w:rsid w:val="00357930"/>
    <w:rsid w:val="003609A3"/>
    <w:rsid w:val="003639CA"/>
    <w:rsid w:val="00364223"/>
    <w:rsid w:val="00364581"/>
    <w:rsid w:val="0036551A"/>
    <w:rsid w:val="003678E9"/>
    <w:rsid w:val="003702F1"/>
    <w:rsid w:val="003721B3"/>
    <w:rsid w:val="00374E64"/>
    <w:rsid w:val="00375584"/>
    <w:rsid w:val="003804F5"/>
    <w:rsid w:val="00381A2B"/>
    <w:rsid w:val="00381CC8"/>
    <w:rsid w:val="0038257F"/>
    <w:rsid w:val="00383B66"/>
    <w:rsid w:val="0038660C"/>
    <w:rsid w:val="00390232"/>
    <w:rsid w:val="003940B7"/>
    <w:rsid w:val="003950A1"/>
    <w:rsid w:val="00396F92"/>
    <w:rsid w:val="003A4B98"/>
    <w:rsid w:val="003A5024"/>
    <w:rsid w:val="003A5565"/>
    <w:rsid w:val="003B3927"/>
    <w:rsid w:val="003B4A88"/>
    <w:rsid w:val="003B5F95"/>
    <w:rsid w:val="003B6624"/>
    <w:rsid w:val="003B7E0D"/>
    <w:rsid w:val="003C03BD"/>
    <w:rsid w:val="003C0887"/>
    <w:rsid w:val="003C246F"/>
    <w:rsid w:val="003C2D41"/>
    <w:rsid w:val="003C63DF"/>
    <w:rsid w:val="003D5265"/>
    <w:rsid w:val="003D5D8B"/>
    <w:rsid w:val="003D6DDF"/>
    <w:rsid w:val="003E01E0"/>
    <w:rsid w:val="003E0F9B"/>
    <w:rsid w:val="003E1740"/>
    <w:rsid w:val="003E460A"/>
    <w:rsid w:val="003E5618"/>
    <w:rsid w:val="003F060B"/>
    <w:rsid w:val="003F1A46"/>
    <w:rsid w:val="004008A6"/>
    <w:rsid w:val="0040101D"/>
    <w:rsid w:val="00403329"/>
    <w:rsid w:val="004057D2"/>
    <w:rsid w:val="00410D11"/>
    <w:rsid w:val="004139CB"/>
    <w:rsid w:val="004146A6"/>
    <w:rsid w:val="00414B75"/>
    <w:rsid w:val="0042586A"/>
    <w:rsid w:val="004269BB"/>
    <w:rsid w:val="004272D4"/>
    <w:rsid w:val="004310B1"/>
    <w:rsid w:val="0043277A"/>
    <w:rsid w:val="00433706"/>
    <w:rsid w:val="00434595"/>
    <w:rsid w:val="004409CE"/>
    <w:rsid w:val="00441193"/>
    <w:rsid w:val="00441A68"/>
    <w:rsid w:val="00442CA5"/>
    <w:rsid w:val="00443934"/>
    <w:rsid w:val="00452491"/>
    <w:rsid w:val="00453B41"/>
    <w:rsid w:val="004578EA"/>
    <w:rsid w:val="0046099A"/>
    <w:rsid w:val="00465CEE"/>
    <w:rsid w:val="00470047"/>
    <w:rsid w:val="0047284F"/>
    <w:rsid w:val="0047534F"/>
    <w:rsid w:val="0047545B"/>
    <w:rsid w:val="004765A2"/>
    <w:rsid w:val="004778CB"/>
    <w:rsid w:val="004805FD"/>
    <w:rsid w:val="00483041"/>
    <w:rsid w:val="004838AA"/>
    <w:rsid w:val="00483FFE"/>
    <w:rsid w:val="0048641F"/>
    <w:rsid w:val="00487BDF"/>
    <w:rsid w:val="00490295"/>
    <w:rsid w:val="0049061C"/>
    <w:rsid w:val="0049294A"/>
    <w:rsid w:val="00495E32"/>
    <w:rsid w:val="00496AA6"/>
    <w:rsid w:val="004A06C8"/>
    <w:rsid w:val="004A4A7F"/>
    <w:rsid w:val="004A55E5"/>
    <w:rsid w:val="004B0470"/>
    <w:rsid w:val="004B2DBA"/>
    <w:rsid w:val="004B4377"/>
    <w:rsid w:val="004C42AC"/>
    <w:rsid w:val="004C534F"/>
    <w:rsid w:val="004D041A"/>
    <w:rsid w:val="004D0720"/>
    <w:rsid w:val="004D3B1D"/>
    <w:rsid w:val="004D568F"/>
    <w:rsid w:val="004D64FA"/>
    <w:rsid w:val="004D7781"/>
    <w:rsid w:val="004E2A0D"/>
    <w:rsid w:val="004E356A"/>
    <w:rsid w:val="004E4BCC"/>
    <w:rsid w:val="00500566"/>
    <w:rsid w:val="005010E8"/>
    <w:rsid w:val="00516285"/>
    <w:rsid w:val="00517789"/>
    <w:rsid w:val="005208CA"/>
    <w:rsid w:val="00521A8D"/>
    <w:rsid w:val="00522261"/>
    <w:rsid w:val="005222BE"/>
    <w:rsid w:val="0052498B"/>
    <w:rsid w:val="00524DC0"/>
    <w:rsid w:val="00527869"/>
    <w:rsid w:val="005300B3"/>
    <w:rsid w:val="00530286"/>
    <w:rsid w:val="00532772"/>
    <w:rsid w:val="005377E8"/>
    <w:rsid w:val="00542091"/>
    <w:rsid w:val="005434D7"/>
    <w:rsid w:val="005446A4"/>
    <w:rsid w:val="00544DA6"/>
    <w:rsid w:val="00551104"/>
    <w:rsid w:val="005512C9"/>
    <w:rsid w:val="0055199B"/>
    <w:rsid w:val="00554114"/>
    <w:rsid w:val="00554409"/>
    <w:rsid w:val="0055577E"/>
    <w:rsid w:val="00557682"/>
    <w:rsid w:val="00557F20"/>
    <w:rsid w:val="0056060C"/>
    <w:rsid w:val="00560897"/>
    <w:rsid w:val="005644CA"/>
    <w:rsid w:val="005648F3"/>
    <w:rsid w:val="005746B1"/>
    <w:rsid w:val="00575CB9"/>
    <w:rsid w:val="00577C2A"/>
    <w:rsid w:val="00580FE4"/>
    <w:rsid w:val="00581445"/>
    <w:rsid w:val="005828AC"/>
    <w:rsid w:val="00583BF8"/>
    <w:rsid w:val="005865B8"/>
    <w:rsid w:val="00590C45"/>
    <w:rsid w:val="005911CB"/>
    <w:rsid w:val="00591573"/>
    <w:rsid w:val="00594F9A"/>
    <w:rsid w:val="00596680"/>
    <w:rsid w:val="00596B1D"/>
    <w:rsid w:val="005A088C"/>
    <w:rsid w:val="005B07B2"/>
    <w:rsid w:val="005B64C4"/>
    <w:rsid w:val="005B7A63"/>
    <w:rsid w:val="005C4296"/>
    <w:rsid w:val="005C4322"/>
    <w:rsid w:val="005C48EA"/>
    <w:rsid w:val="005C7212"/>
    <w:rsid w:val="005D01BC"/>
    <w:rsid w:val="005D0E19"/>
    <w:rsid w:val="005D1125"/>
    <w:rsid w:val="005D46F3"/>
    <w:rsid w:val="005E17F5"/>
    <w:rsid w:val="005E2932"/>
    <w:rsid w:val="005E61D5"/>
    <w:rsid w:val="005F32C2"/>
    <w:rsid w:val="005F4337"/>
    <w:rsid w:val="005F5FF0"/>
    <w:rsid w:val="0060013D"/>
    <w:rsid w:val="00600B8D"/>
    <w:rsid w:val="00601F0C"/>
    <w:rsid w:val="00605380"/>
    <w:rsid w:val="0060549D"/>
    <w:rsid w:val="00614FBF"/>
    <w:rsid w:val="006158C7"/>
    <w:rsid w:val="0062090B"/>
    <w:rsid w:val="00626195"/>
    <w:rsid w:val="0062698D"/>
    <w:rsid w:val="00630B49"/>
    <w:rsid w:val="006340A1"/>
    <w:rsid w:val="006341CF"/>
    <w:rsid w:val="00635080"/>
    <w:rsid w:val="00635F9E"/>
    <w:rsid w:val="006379E7"/>
    <w:rsid w:val="0064076B"/>
    <w:rsid w:val="00644EF7"/>
    <w:rsid w:val="0064795A"/>
    <w:rsid w:val="006509CC"/>
    <w:rsid w:val="00655AEB"/>
    <w:rsid w:val="006577F3"/>
    <w:rsid w:val="006617CC"/>
    <w:rsid w:val="00664E5B"/>
    <w:rsid w:val="00667F62"/>
    <w:rsid w:val="00673377"/>
    <w:rsid w:val="00677CD1"/>
    <w:rsid w:val="00677E58"/>
    <w:rsid w:val="0068072B"/>
    <w:rsid w:val="006843A0"/>
    <w:rsid w:val="00687757"/>
    <w:rsid w:val="00687B16"/>
    <w:rsid w:val="00687FB9"/>
    <w:rsid w:val="006901AF"/>
    <w:rsid w:val="006914D0"/>
    <w:rsid w:val="006927EC"/>
    <w:rsid w:val="0069451A"/>
    <w:rsid w:val="0069558D"/>
    <w:rsid w:val="00697F98"/>
    <w:rsid w:val="006A228C"/>
    <w:rsid w:val="006A555E"/>
    <w:rsid w:val="006A5C15"/>
    <w:rsid w:val="006A5EC2"/>
    <w:rsid w:val="006A6FE1"/>
    <w:rsid w:val="006B021E"/>
    <w:rsid w:val="006B1A44"/>
    <w:rsid w:val="006B1C73"/>
    <w:rsid w:val="006B29D3"/>
    <w:rsid w:val="006B368F"/>
    <w:rsid w:val="006B3BF4"/>
    <w:rsid w:val="006B48F2"/>
    <w:rsid w:val="006B4F0F"/>
    <w:rsid w:val="006B6E04"/>
    <w:rsid w:val="006C214D"/>
    <w:rsid w:val="006C3CB0"/>
    <w:rsid w:val="006C3EFA"/>
    <w:rsid w:val="006D1BF8"/>
    <w:rsid w:val="006D21E7"/>
    <w:rsid w:val="006D5046"/>
    <w:rsid w:val="006E1C68"/>
    <w:rsid w:val="006E4D64"/>
    <w:rsid w:val="006E5DDB"/>
    <w:rsid w:val="006E6166"/>
    <w:rsid w:val="006F3494"/>
    <w:rsid w:val="006F5E82"/>
    <w:rsid w:val="006F7A7A"/>
    <w:rsid w:val="007007C4"/>
    <w:rsid w:val="00702A8D"/>
    <w:rsid w:val="00703706"/>
    <w:rsid w:val="007040EC"/>
    <w:rsid w:val="00706BAE"/>
    <w:rsid w:val="00706E9F"/>
    <w:rsid w:val="00707CE2"/>
    <w:rsid w:val="007102F5"/>
    <w:rsid w:val="00720C32"/>
    <w:rsid w:val="00721B49"/>
    <w:rsid w:val="007229A7"/>
    <w:rsid w:val="00723A11"/>
    <w:rsid w:val="0072561B"/>
    <w:rsid w:val="00726EFD"/>
    <w:rsid w:val="007270A7"/>
    <w:rsid w:val="007300FA"/>
    <w:rsid w:val="00730DED"/>
    <w:rsid w:val="00730EA4"/>
    <w:rsid w:val="007325A0"/>
    <w:rsid w:val="007326EE"/>
    <w:rsid w:val="007330F9"/>
    <w:rsid w:val="00735956"/>
    <w:rsid w:val="00736270"/>
    <w:rsid w:val="00737799"/>
    <w:rsid w:val="00740CAA"/>
    <w:rsid w:val="00740D1F"/>
    <w:rsid w:val="0074311E"/>
    <w:rsid w:val="00744D38"/>
    <w:rsid w:val="007467A0"/>
    <w:rsid w:val="0075072F"/>
    <w:rsid w:val="00750D56"/>
    <w:rsid w:val="00753824"/>
    <w:rsid w:val="00754F30"/>
    <w:rsid w:val="007552A3"/>
    <w:rsid w:val="00760868"/>
    <w:rsid w:val="00761DB6"/>
    <w:rsid w:val="00763DEE"/>
    <w:rsid w:val="00770F7F"/>
    <w:rsid w:val="00772505"/>
    <w:rsid w:val="00774102"/>
    <w:rsid w:val="00774229"/>
    <w:rsid w:val="007845BD"/>
    <w:rsid w:val="00784E21"/>
    <w:rsid w:val="007851B5"/>
    <w:rsid w:val="00790FCD"/>
    <w:rsid w:val="007933AD"/>
    <w:rsid w:val="00794FD4"/>
    <w:rsid w:val="007A2110"/>
    <w:rsid w:val="007A3235"/>
    <w:rsid w:val="007A3B0D"/>
    <w:rsid w:val="007A53FF"/>
    <w:rsid w:val="007A5FCE"/>
    <w:rsid w:val="007B233D"/>
    <w:rsid w:val="007B734F"/>
    <w:rsid w:val="007B79FE"/>
    <w:rsid w:val="007C1057"/>
    <w:rsid w:val="007C199A"/>
    <w:rsid w:val="007C1C3C"/>
    <w:rsid w:val="007C2A80"/>
    <w:rsid w:val="007C3BA6"/>
    <w:rsid w:val="007C61C1"/>
    <w:rsid w:val="007D32D8"/>
    <w:rsid w:val="007D34F6"/>
    <w:rsid w:val="007D35ED"/>
    <w:rsid w:val="007D5A98"/>
    <w:rsid w:val="007E1B76"/>
    <w:rsid w:val="007E5431"/>
    <w:rsid w:val="007E610B"/>
    <w:rsid w:val="007F0BAA"/>
    <w:rsid w:val="007F3D21"/>
    <w:rsid w:val="007F6D4B"/>
    <w:rsid w:val="007F7A3E"/>
    <w:rsid w:val="008044C3"/>
    <w:rsid w:val="008054AC"/>
    <w:rsid w:val="00807A63"/>
    <w:rsid w:val="00807B43"/>
    <w:rsid w:val="008119DD"/>
    <w:rsid w:val="00816C42"/>
    <w:rsid w:val="00820D89"/>
    <w:rsid w:val="00821166"/>
    <w:rsid w:val="00821B7B"/>
    <w:rsid w:val="00822495"/>
    <w:rsid w:val="00825068"/>
    <w:rsid w:val="00827768"/>
    <w:rsid w:val="00827E65"/>
    <w:rsid w:val="0083142A"/>
    <w:rsid w:val="00831D75"/>
    <w:rsid w:val="00834481"/>
    <w:rsid w:val="00840751"/>
    <w:rsid w:val="00840B7E"/>
    <w:rsid w:val="00841BA4"/>
    <w:rsid w:val="00842B86"/>
    <w:rsid w:val="00845D7D"/>
    <w:rsid w:val="008477EB"/>
    <w:rsid w:val="008479F3"/>
    <w:rsid w:val="00847EE0"/>
    <w:rsid w:val="00855868"/>
    <w:rsid w:val="00857EFB"/>
    <w:rsid w:val="00862475"/>
    <w:rsid w:val="008670A1"/>
    <w:rsid w:val="008714CF"/>
    <w:rsid w:val="00871968"/>
    <w:rsid w:val="00871B6B"/>
    <w:rsid w:val="00872416"/>
    <w:rsid w:val="00873E5D"/>
    <w:rsid w:val="008769E7"/>
    <w:rsid w:val="008772B2"/>
    <w:rsid w:val="00880128"/>
    <w:rsid w:val="008805EF"/>
    <w:rsid w:val="008813C1"/>
    <w:rsid w:val="00881775"/>
    <w:rsid w:val="0088480B"/>
    <w:rsid w:val="00885D63"/>
    <w:rsid w:val="0089245B"/>
    <w:rsid w:val="008925D6"/>
    <w:rsid w:val="00894313"/>
    <w:rsid w:val="00895439"/>
    <w:rsid w:val="008978FA"/>
    <w:rsid w:val="00897F87"/>
    <w:rsid w:val="008A0D35"/>
    <w:rsid w:val="008A228D"/>
    <w:rsid w:val="008A2F9C"/>
    <w:rsid w:val="008A3C42"/>
    <w:rsid w:val="008B0416"/>
    <w:rsid w:val="008B622B"/>
    <w:rsid w:val="008C644F"/>
    <w:rsid w:val="008C7205"/>
    <w:rsid w:val="008D0473"/>
    <w:rsid w:val="008D66FA"/>
    <w:rsid w:val="008D7710"/>
    <w:rsid w:val="008E004A"/>
    <w:rsid w:val="008E1DF5"/>
    <w:rsid w:val="008E2CD0"/>
    <w:rsid w:val="008E2F33"/>
    <w:rsid w:val="008E37D8"/>
    <w:rsid w:val="008E6290"/>
    <w:rsid w:val="008E65AA"/>
    <w:rsid w:val="008F30E7"/>
    <w:rsid w:val="008F6C62"/>
    <w:rsid w:val="00902CBB"/>
    <w:rsid w:val="0090422F"/>
    <w:rsid w:val="00904D75"/>
    <w:rsid w:val="00904E90"/>
    <w:rsid w:val="00905E18"/>
    <w:rsid w:val="009074FE"/>
    <w:rsid w:val="00912B7F"/>
    <w:rsid w:val="00916D7A"/>
    <w:rsid w:val="00920812"/>
    <w:rsid w:val="00924FCE"/>
    <w:rsid w:val="00926B7C"/>
    <w:rsid w:val="00927DF2"/>
    <w:rsid w:val="00930E4C"/>
    <w:rsid w:val="00936A3F"/>
    <w:rsid w:val="0094079B"/>
    <w:rsid w:val="00941FB4"/>
    <w:rsid w:val="009457B1"/>
    <w:rsid w:val="00947274"/>
    <w:rsid w:val="009473C9"/>
    <w:rsid w:val="00950153"/>
    <w:rsid w:val="00952C2C"/>
    <w:rsid w:val="00953C84"/>
    <w:rsid w:val="00960430"/>
    <w:rsid w:val="00971138"/>
    <w:rsid w:val="00972BFC"/>
    <w:rsid w:val="00973282"/>
    <w:rsid w:val="00974191"/>
    <w:rsid w:val="009753C5"/>
    <w:rsid w:val="00992BD9"/>
    <w:rsid w:val="00994068"/>
    <w:rsid w:val="00995369"/>
    <w:rsid w:val="00997707"/>
    <w:rsid w:val="00997ACC"/>
    <w:rsid w:val="009A4429"/>
    <w:rsid w:val="009A4B16"/>
    <w:rsid w:val="009A5EB8"/>
    <w:rsid w:val="009B1583"/>
    <w:rsid w:val="009B2943"/>
    <w:rsid w:val="009B2F4E"/>
    <w:rsid w:val="009B3B28"/>
    <w:rsid w:val="009B5D36"/>
    <w:rsid w:val="009B6CCE"/>
    <w:rsid w:val="009C00CF"/>
    <w:rsid w:val="009C014B"/>
    <w:rsid w:val="009C1FA9"/>
    <w:rsid w:val="009C2124"/>
    <w:rsid w:val="009C2B7F"/>
    <w:rsid w:val="009C4188"/>
    <w:rsid w:val="009C5C97"/>
    <w:rsid w:val="009D0333"/>
    <w:rsid w:val="009D042E"/>
    <w:rsid w:val="009D0585"/>
    <w:rsid w:val="009D0E72"/>
    <w:rsid w:val="009D6272"/>
    <w:rsid w:val="009D6B1B"/>
    <w:rsid w:val="009D7754"/>
    <w:rsid w:val="009E1DFF"/>
    <w:rsid w:val="009E2AC4"/>
    <w:rsid w:val="009E3C2D"/>
    <w:rsid w:val="009E772A"/>
    <w:rsid w:val="009F5BF4"/>
    <w:rsid w:val="009F5E02"/>
    <w:rsid w:val="009F65CB"/>
    <w:rsid w:val="009F6BF5"/>
    <w:rsid w:val="009F6E04"/>
    <w:rsid w:val="009F7F91"/>
    <w:rsid w:val="00A02C2B"/>
    <w:rsid w:val="00A02FDC"/>
    <w:rsid w:val="00A03726"/>
    <w:rsid w:val="00A104B8"/>
    <w:rsid w:val="00A12B46"/>
    <w:rsid w:val="00A16052"/>
    <w:rsid w:val="00A1676C"/>
    <w:rsid w:val="00A26C63"/>
    <w:rsid w:val="00A309AC"/>
    <w:rsid w:val="00A30D97"/>
    <w:rsid w:val="00A3307C"/>
    <w:rsid w:val="00A3743E"/>
    <w:rsid w:val="00A37C5F"/>
    <w:rsid w:val="00A4021A"/>
    <w:rsid w:val="00A40B86"/>
    <w:rsid w:val="00A42F9C"/>
    <w:rsid w:val="00A45B41"/>
    <w:rsid w:val="00A467A1"/>
    <w:rsid w:val="00A472F1"/>
    <w:rsid w:val="00A47B4D"/>
    <w:rsid w:val="00A5123B"/>
    <w:rsid w:val="00A51BD0"/>
    <w:rsid w:val="00A52275"/>
    <w:rsid w:val="00A620F8"/>
    <w:rsid w:val="00A6469D"/>
    <w:rsid w:val="00A71E17"/>
    <w:rsid w:val="00A7216C"/>
    <w:rsid w:val="00A7296C"/>
    <w:rsid w:val="00A72BCA"/>
    <w:rsid w:val="00A73064"/>
    <w:rsid w:val="00A73386"/>
    <w:rsid w:val="00A75072"/>
    <w:rsid w:val="00A756F5"/>
    <w:rsid w:val="00A75A63"/>
    <w:rsid w:val="00A8343F"/>
    <w:rsid w:val="00A84B7F"/>
    <w:rsid w:val="00A85CC9"/>
    <w:rsid w:val="00A8641C"/>
    <w:rsid w:val="00A86E74"/>
    <w:rsid w:val="00A91680"/>
    <w:rsid w:val="00A9722F"/>
    <w:rsid w:val="00AA5366"/>
    <w:rsid w:val="00AA676B"/>
    <w:rsid w:val="00AB0B8B"/>
    <w:rsid w:val="00AB1D1B"/>
    <w:rsid w:val="00AB408B"/>
    <w:rsid w:val="00AB7322"/>
    <w:rsid w:val="00AB77A2"/>
    <w:rsid w:val="00AB7A15"/>
    <w:rsid w:val="00AC4AF1"/>
    <w:rsid w:val="00AC4CB1"/>
    <w:rsid w:val="00AD018C"/>
    <w:rsid w:val="00AD4513"/>
    <w:rsid w:val="00AD637C"/>
    <w:rsid w:val="00AD7DE8"/>
    <w:rsid w:val="00AE0CBC"/>
    <w:rsid w:val="00AE11D9"/>
    <w:rsid w:val="00AE3574"/>
    <w:rsid w:val="00AE37B3"/>
    <w:rsid w:val="00AF14EE"/>
    <w:rsid w:val="00AF33E0"/>
    <w:rsid w:val="00AF3FB1"/>
    <w:rsid w:val="00AF6D2E"/>
    <w:rsid w:val="00AF79BB"/>
    <w:rsid w:val="00B03A8A"/>
    <w:rsid w:val="00B05675"/>
    <w:rsid w:val="00B05C94"/>
    <w:rsid w:val="00B05D58"/>
    <w:rsid w:val="00B07A8C"/>
    <w:rsid w:val="00B118B2"/>
    <w:rsid w:val="00B130AA"/>
    <w:rsid w:val="00B1706E"/>
    <w:rsid w:val="00B172B9"/>
    <w:rsid w:val="00B17F96"/>
    <w:rsid w:val="00B21828"/>
    <w:rsid w:val="00B21A13"/>
    <w:rsid w:val="00B22DEC"/>
    <w:rsid w:val="00B243FA"/>
    <w:rsid w:val="00B347C7"/>
    <w:rsid w:val="00B34DCE"/>
    <w:rsid w:val="00B363BA"/>
    <w:rsid w:val="00B4370A"/>
    <w:rsid w:val="00B45DEF"/>
    <w:rsid w:val="00B47130"/>
    <w:rsid w:val="00B474FF"/>
    <w:rsid w:val="00B51295"/>
    <w:rsid w:val="00B526AD"/>
    <w:rsid w:val="00B54C77"/>
    <w:rsid w:val="00B56406"/>
    <w:rsid w:val="00B56D00"/>
    <w:rsid w:val="00B70277"/>
    <w:rsid w:val="00B7107D"/>
    <w:rsid w:val="00B7166E"/>
    <w:rsid w:val="00B74B29"/>
    <w:rsid w:val="00B75024"/>
    <w:rsid w:val="00B77D86"/>
    <w:rsid w:val="00B93A83"/>
    <w:rsid w:val="00B9576F"/>
    <w:rsid w:val="00B96428"/>
    <w:rsid w:val="00B9700B"/>
    <w:rsid w:val="00B97D29"/>
    <w:rsid w:val="00BA411F"/>
    <w:rsid w:val="00BA46DF"/>
    <w:rsid w:val="00BA5B9D"/>
    <w:rsid w:val="00BB238A"/>
    <w:rsid w:val="00BB2FD2"/>
    <w:rsid w:val="00BB3C7D"/>
    <w:rsid w:val="00BB4BB3"/>
    <w:rsid w:val="00BB5016"/>
    <w:rsid w:val="00BB7D22"/>
    <w:rsid w:val="00BC0E52"/>
    <w:rsid w:val="00BC16EA"/>
    <w:rsid w:val="00BC2F10"/>
    <w:rsid w:val="00BC31CE"/>
    <w:rsid w:val="00BC3DA0"/>
    <w:rsid w:val="00BC4FA4"/>
    <w:rsid w:val="00BC749B"/>
    <w:rsid w:val="00BD0186"/>
    <w:rsid w:val="00BD4197"/>
    <w:rsid w:val="00BD66E2"/>
    <w:rsid w:val="00BD7411"/>
    <w:rsid w:val="00BD7B90"/>
    <w:rsid w:val="00BE0020"/>
    <w:rsid w:val="00BE074E"/>
    <w:rsid w:val="00BE075D"/>
    <w:rsid w:val="00BE0D1C"/>
    <w:rsid w:val="00BE4250"/>
    <w:rsid w:val="00BE5016"/>
    <w:rsid w:val="00BE593E"/>
    <w:rsid w:val="00BE5EE0"/>
    <w:rsid w:val="00BE6C2B"/>
    <w:rsid w:val="00BF43A7"/>
    <w:rsid w:val="00BF446F"/>
    <w:rsid w:val="00BF74AE"/>
    <w:rsid w:val="00C008EA"/>
    <w:rsid w:val="00C009F7"/>
    <w:rsid w:val="00C014B8"/>
    <w:rsid w:val="00C02E98"/>
    <w:rsid w:val="00C04793"/>
    <w:rsid w:val="00C105CA"/>
    <w:rsid w:val="00C10881"/>
    <w:rsid w:val="00C11336"/>
    <w:rsid w:val="00C13559"/>
    <w:rsid w:val="00C13EFB"/>
    <w:rsid w:val="00C141AE"/>
    <w:rsid w:val="00C16B3C"/>
    <w:rsid w:val="00C17005"/>
    <w:rsid w:val="00C20E9E"/>
    <w:rsid w:val="00C22C98"/>
    <w:rsid w:val="00C235A0"/>
    <w:rsid w:val="00C235F7"/>
    <w:rsid w:val="00C23F48"/>
    <w:rsid w:val="00C24446"/>
    <w:rsid w:val="00C248FF"/>
    <w:rsid w:val="00C2506B"/>
    <w:rsid w:val="00C254D6"/>
    <w:rsid w:val="00C25FB5"/>
    <w:rsid w:val="00C319BB"/>
    <w:rsid w:val="00C32FFE"/>
    <w:rsid w:val="00C35AF7"/>
    <w:rsid w:val="00C35F22"/>
    <w:rsid w:val="00C41A91"/>
    <w:rsid w:val="00C46C53"/>
    <w:rsid w:val="00C47BC1"/>
    <w:rsid w:val="00C47CAB"/>
    <w:rsid w:val="00C5161A"/>
    <w:rsid w:val="00C51ECE"/>
    <w:rsid w:val="00C53E29"/>
    <w:rsid w:val="00C54220"/>
    <w:rsid w:val="00C54304"/>
    <w:rsid w:val="00C559DE"/>
    <w:rsid w:val="00C55B5E"/>
    <w:rsid w:val="00C61FC9"/>
    <w:rsid w:val="00C62C08"/>
    <w:rsid w:val="00C62D64"/>
    <w:rsid w:val="00C65E28"/>
    <w:rsid w:val="00C65FE8"/>
    <w:rsid w:val="00C66323"/>
    <w:rsid w:val="00C71338"/>
    <w:rsid w:val="00C71C46"/>
    <w:rsid w:val="00C73943"/>
    <w:rsid w:val="00C872EF"/>
    <w:rsid w:val="00C87A02"/>
    <w:rsid w:val="00C87E29"/>
    <w:rsid w:val="00C92A27"/>
    <w:rsid w:val="00C92B8D"/>
    <w:rsid w:val="00C93634"/>
    <w:rsid w:val="00C946B7"/>
    <w:rsid w:val="00C97F5A"/>
    <w:rsid w:val="00CA10E1"/>
    <w:rsid w:val="00CA4043"/>
    <w:rsid w:val="00CB5E89"/>
    <w:rsid w:val="00CC0C96"/>
    <w:rsid w:val="00CC22B2"/>
    <w:rsid w:val="00CC5E5D"/>
    <w:rsid w:val="00CC646B"/>
    <w:rsid w:val="00CC6A86"/>
    <w:rsid w:val="00CD36DA"/>
    <w:rsid w:val="00CD39A3"/>
    <w:rsid w:val="00CE1BF6"/>
    <w:rsid w:val="00CE1CBB"/>
    <w:rsid w:val="00CE4464"/>
    <w:rsid w:val="00CF66F3"/>
    <w:rsid w:val="00CF7129"/>
    <w:rsid w:val="00D002BA"/>
    <w:rsid w:val="00D0076E"/>
    <w:rsid w:val="00D035AC"/>
    <w:rsid w:val="00D03A41"/>
    <w:rsid w:val="00D04ACE"/>
    <w:rsid w:val="00D1271E"/>
    <w:rsid w:val="00D12E69"/>
    <w:rsid w:val="00D153A6"/>
    <w:rsid w:val="00D20501"/>
    <w:rsid w:val="00D222A5"/>
    <w:rsid w:val="00D228B8"/>
    <w:rsid w:val="00D23974"/>
    <w:rsid w:val="00D242FF"/>
    <w:rsid w:val="00D2534E"/>
    <w:rsid w:val="00D26AA5"/>
    <w:rsid w:val="00D31E88"/>
    <w:rsid w:val="00D31F97"/>
    <w:rsid w:val="00D3204A"/>
    <w:rsid w:val="00D3409B"/>
    <w:rsid w:val="00D347F4"/>
    <w:rsid w:val="00D34CC1"/>
    <w:rsid w:val="00D3571C"/>
    <w:rsid w:val="00D366F2"/>
    <w:rsid w:val="00D368EF"/>
    <w:rsid w:val="00D3724C"/>
    <w:rsid w:val="00D37618"/>
    <w:rsid w:val="00D42B5D"/>
    <w:rsid w:val="00D50772"/>
    <w:rsid w:val="00D50D58"/>
    <w:rsid w:val="00D51483"/>
    <w:rsid w:val="00D534FA"/>
    <w:rsid w:val="00D5418C"/>
    <w:rsid w:val="00D55902"/>
    <w:rsid w:val="00D5602C"/>
    <w:rsid w:val="00D606C4"/>
    <w:rsid w:val="00D6504F"/>
    <w:rsid w:val="00D66ACC"/>
    <w:rsid w:val="00D672B5"/>
    <w:rsid w:val="00D71806"/>
    <w:rsid w:val="00D71B4F"/>
    <w:rsid w:val="00D72F1E"/>
    <w:rsid w:val="00D744AF"/>
    <w:rsid w:val="00D75412"/>
    <w:rsid w:val="00D831C1"/>
    <w:rsid w:val="00D91E47"/>
    <w:rsid w:val="00D92061"/>
    <w:rsid w:val="00D92D37"/>
    <w:rsid w:val="00D93B45"/>
    <w:rsid w:val="00D940ED"/>
    <w:rsid w:val="00D948DA"/>
    <w:rsid w:val="00D95245"/>
    <w:rsid w:val="00D957E4"/>
    <w:rsid w:val="00D97810"/>
    <w:rsid w:val="00DA0A79"/>
    <w:rsid w:val="00DA32CA"/>
    <w:rsid w:val="00DA433A"/>
    <w:rsid w:val="00DA510C"/>
    <w:rsid w:val="00DA531B"/>
    <w:rsid w:val="00DA6DC5"/>
    <w:rsid w:val="00DB2CC1"/>
    <w:rsid w:val="00DB5BD1"/>
    <w:rsid w:val="00DB6CDD"/>
    <w:rsid w:val="00DC1E43"/>
    <w:rsid w:val="00DC3CE1"/>
    <w:rsid w:val="00DC4CE9"/>
    <w:rsid w:val="00DC6588"/>
    <w:rsid w:val="00DC6D15"/>
    <w:rsid w:val="00DC7D2D"/>
    <w:rsid w:val="00DD02BE"/>
    <w:rsid w:val="00DD1A76"/>
    <w:rsid w:val="00DD3C7C"/>
    <w:rsid w:val="00DE2AD9"/>
    <w:rsid w:val="00DE2E31"/>
    <w:rsid w:val="00DE54B6"/>
    <w:rsid w:val="00DE779C"/>
    <w:rsid w:val="00DE79C1"/>
    <w:rsid w:val="00DF1DC8"/>
    <w:rsid w:val="00DF3C7F"/>
    <w:rsid w:val="00DF67A2"/>
    <w:rsid w:val="00DF7DDC"/>
    <w:rsid w:val="00E0771D"/>
    <w:rsid w:val="00E105A8"/>
    <w:rsid w:val="00E13898"/>
    <w:rsid w:val="00E13CEB"/>
    <w:rsid w:val="00E14CC3"/>
    <w:rsid w:val="00E14F3B"/>
    <w:rsid w:val="00E1551C"/>
    <w:rsid w:val="00E16410"/>
    <w:rsid w:val="00E20F08"/>
    <w:rsid w:val="00E22D95"/>
    <w:rsid w:val="00E23FB0"/>
    <w:rsid w:val="00E30FAA"/>
    <w:rsid w:val="00E312B6"/>
    <w:rsid w:val="00E31E35"/>
    <w:rsid w:val="00E32218"/>
    <w:rsid w:val="00E345CA"/>
    <w:rsid w:val="00E37FEE"/>
    <w:rsid w:val="00E41B96"/>
    <w:rsid w:val="00E41B9C"/>
    <w:rsid w:val="00E445A1"/>
    <w:rsid w:val="00E4510C"/>
    <w:rsid w:val="00E47955"/>
    <w:rsid w:val="00E47FEC"/>
    <w:rsid w:val="00E53317"/>
    <w:rsid w:val="00E6431D"/>
    <w:rsid w:val="00E64554"/>
    <w:rsid w:val="00E66993"/>
    <w:rsid w:val="00E66BD3"/>
    <w:rsid w:val="00E67A55"/>
    <w:rsid w:val="00E744D1"/>
    <w:rsid w:val="00E74D61"/>
    <w:rsid w:val="00E75008"/>
    <w:rsid w:val="00E7534C"/>
    <w:rsid w:val="00E841EE"/>
    <w:rsid w:val="00E90DF0"/>
    <w:rsid w:val="00E93D94"/>
    <w:rsid w:val="00E94355"/>
    <w:rsid w:val="00EA16A9"/>
    <w:rsid w:val="00EA182B"/>
    <w:rsid w:val="00EA1B05"/>
    <w:rsid w:val="00EA3C3B"/>
    <w:rsid w:val="00EB181C"/>
    <w:rsid w:val="00EB389D"/>
    <w:rsid w:val="00EB3BCB"/>
    <w:rsid w:val="00EB476F"/>
    <w:rsid w:val="00EB6DD6"/>
    <w:rsid w:val="00EC101E"/>
    <w:rsid w:val="00EC38E7"/>
    <w:rsid w:val="00EC3E68"/>
    <w:rsid w:val="00EC7258"/>
    <w:rsid w:val="00EE07A6"/>
    <w:rsid w:val="00EE0FFB"/>
    <w:rsid w:val="00EE1CDE"/>
    <w:rsid w:val="00EE44BF"/>
    <w:rsid w:val="00EF0757"/>
    <w:rsid w:val="00EF0E5B"/>
    <w:rsid w:val="00EF27A2"/>
    <w:rsid w:val="00EF6182"/>
    <w:rsid w:val="00EF6BD5"/>
    <w:rsid w:val="00F00DED"/>
    <w:rsid w:val="00F0223A"/>
    <w:rsid w:val="00F042B4"/>
    <w:rsid w:val="00F075EE"/>
    <w:rsid w:val="00F104CA"/>
    <w:rsid w:val="00F10564"/>
    <w:rsid w:val="00F1111E"/>
    <w:rsid w:val="00F12B38"/>
    <w:rsid w:val="00F14AB7"/>
    <w:rsid w:val="00F15FD9"/>
    <w:rsid w:val="00F16C64"/>
    <w:rsid w:val="00F2075E"/>
    <w:rsid w:val="00F20E7F"/>
    <w:rsid w:val="00F22AC0"/>
    <w:rsid w:val="00F241B5"/>
    <w:rsid w:val="00F30CFF"/>
    <w:rsid w:val="00F33FED"/>
    <w:rsid w:val="00F3590E"/>
    <w:rsid w:val="00F37B65"/>
    <w:rsid w:val="00F40DCE"/>
    <w:rsid w:val="00F429C3"/>
    <w:rsid w:val="00F4325A"/>
    <w:rsid w:val="00F44655"/>
    <w:rsid w:val="00F45208"/>
    <w:rsid w:val="00F453C0"/>
    <w:rsid w:val="00F45855"/>
    <w:rsid w:val="00F45889"/>
    <w:rsid w:val="00F46C66"/>
    <w:rsid w:val="00F47E29"/>
    <w:rsid w:val="00F51A09"/>
    <w:rsid w:val="00F51D6B"/>
    <w:rsid w:val="00F52DF0"/>
    <w:rsid w:val="00F53504"/>
    <w:rsid w:val="00F66A47"/>
    <w:rsid w:val="00F73DB6"/>
    <w:rsid w:val="00F81D68"/>
    <w:rsid w:val="00F84BDE"/>
    <w:rsid w:val="00F8793F"/>
    <w:rsid w:val="00F9305F"/>
    <w:rsid w:val="00F932C8"/>
    <w:rsid w:val="00F938ED"/>
    <w:rsid w:val="00F93F17"/>
    <w:rsid w:val="00FA18AC"/>
    <w:rsid w:val="00FA2DD7"/>
    <w:rsid w:val="00FA2DEE"/>
    <w:rsid w:val="00FA48D4"/>
    <w:rsid w:val="00FB34F2"/>
    <w:rsid w:val="00FB3C30"/>
    <w:rsid w:val="00FB66D9"/>
    <w:rsid w:val="00FB6FE2"/>
    <w:rsid w:val="00FB725D"/>
    <w:rsid w:val="00FC0422"/>
    <w:rsid w:val="00FC11EB"/>
    <w:rsid w:val="00FC1F74"/>
    <w:rsid w:val="00FC2C29"/>
    <w:rsid w:val="00FC73AD"/>
    <w:rsid w:val="00FD1120"/>
    <w:rsid w:val="00FD30CB"/>
    <w:rsid w:val="00FD4D0E"/>
    <w:rsid w:val="00FD57AB"/>
    <w:rsid w:val="00FD5E69"/>
    <w:rsid w:val="00FE2D3D"/>
    <w:rsid w:val="00FE37FD"/>
    <w:rsid w:val="00FE39C4"/>
    <w:rsid w:val="00FE4E35"/>
    <w:rsid w:val="00FE60B3"/>
    <w:rsid w:val="00FE6365"/>
    <w:rsid w:val="00FE79E8"/>
    <w:rsid w:val="00FF0C0C"/>
    <w:rsid w:val="00FF152B"/>
    <w:rsid w:val="00FF3821"/>
    <w:rsid w:val="00FF3EA0"/>
    <w:rsid w:val="00FF71C9"/>
    <w:rsid w:val="025B27B5"/>
    <w:rsid w:val="02F07B9F"/>
    <w:rsid w:val="03773C2D"/>
    <w:rsid w:val="058C5C9F"/>
    <w:rsid w:val="07C80EFB"/>
    <w:rsid w:val="08251EAA"/>
    <w:rsid w:val="08916AB3"/>
    <w:rsid w:val="09084174"/>
    <w:rsid w:val="09287EA3"/>
    <w:rsid w:val="0A903CFA"/>
    <w:rsid w:val="0A91481A"/>
    <w:rsid w:val="0CC021A1"/>
    <w:rsid w:val="10E24D87"/>
    <w:rsid w:val="119A1F8D"/>
    <w:rsid w:val="13524CBA"/>
    <w:rsid w:val="13750D6C"/>
    <w:rsid w:val="13C347B9"/>
    <w:rsid w:val="16A92918"/>
    <w:rsid w:val="18735030"/>
    <w:rsid w:val="18FA2EDF"/>
    <w:rsid w:val="1A66331F"/>
    <w:rsid w:val="1AF95668"/>
    <w:rsid w:val="1CE22479"/>
    <w:rsid w:val="1E0104DD"/>
    <w:rsid w:val="1EA4741C"/>
    <w:rsid w:val="20344F28"/>
    <w:rsid w:val="206770AC"/>
    <w:rsid w:val="23241284"/>
    <w:rsid w:val="23530B29"/>
    <w:rsid w:val="27AC56F0"/>
    <w:rsid w:val="282F3B79"/>
    <w:rsid w:val="283C571B"/>
    <w:rsid w:val="2850063C"/>
    <w:rsid w:val="291E2007"/>
    <w:rsid w:val="29CF3D8B"/>
    <w:rsid w:val="2CD32C5A"/>
    <w:rsid w:val="30C62676"/>
    <w:rsid w:val="30D37E45"/>
    <w:rsid w:val="31BF072E"/>
    <w:rsid w:val="340842AA"/>
    <w:rsid w:val="353B3065"/>
    <w:rsid w:val="35DA59F3"/>
    <w:rsid w:val="37321D6A"/>
    <w:rsid w:val="37903539"/>
    <w:rsid w:val="388A16E7"/>
    <w:rsid w:val="38F3153C"/>
    <w:rsid w:val="39F03816"/>
    <w:rsid w:val="3CC75F2B"/>
    <w:rsid w:val="3CE61832"/>
    <w:rsid w:val="3CF814E4"/>
    <w:rsid w:val="3D874491"/>
    <w:rsid w:val="3F5D7BA0"/>
    <w:rsid w:val="41817B76"/>
    <w:rsid w:val="418A33DF"/>
    <w:rsid w:val="435C016E"/>
    <w:rsid w:val="43964717"/>
    <w:rsid w:val="43BE3353"/>
    <w:rsid w:val="443D4540"/>
    <w:rsid w:val="45553AE5"/>
    <w:rsid w:val="45974888"/>
    <w:rsid w:val="47470D57"/>
    <w:rsid w:val="47D26073"/>
    <w:rsid w:val="47E75CBA"/>
    <w:rsid w:val="4B700D53"/>
    <w:rsid w:val="4BDA12B0"/>
    <w:rsid w:val="4D317F5A"/>
    <w:rsid w:val="4D3A7115"/>
    <w:rsid w:val="4D677E3B"/>
    <w:rsid w:val="523429E2"/>
    <w:rsid w:val="536D2F2E"/>
    <w:rsid w:val="53F1220D"/>
    <w:rsid w:val="546D21DB"/>
    <w:rsid w:val="5658373F"/>
    <w:rsid w:val="566D6A2E"/>
    <w:rsid w:val="57346FE0"/>
    <w:rsid w:val="591C7D2C"/>
    <w:rsid w:val="59B361F2"/>
    <w:rsid w:val="5DFC5B86"/>
    <w:rsid w:val="5E677C9B"/>
    <w:rsid w:val="5EA70DDA"/>
    <w:rsid w:val="60C63B32"/>
    <w:rsid w:val="629038C3"/>
    <w:rsid w:val="642A69CF"/>
    <w:rsid w:val="65271F32"/>
    <w:rsid w:val="66091AE9"/>
    <w:rsid w:val="68AB6E74"/>
    <w:rsid w:val="6942558D"/>
    <w:rsid w:val="6A2133F4"/>
    <w:rsid w:val="6AC87D14"/>
    <w:rsid w:val="6BE0108D"/>
    <w:rsid w:val="6C550632"/>
    <w:rsid w:val="6D263022"/>
    <w:rsid w:val="742915A0"/>
    <w:rsid w:val="76764668"/>
    <w:rsid w:val="774C5829"/>
    <w:rsid w:val="77893908"/>
    <w:rsid w:val="77E56B80"/>
    <w:rsid w:val="78A3591C"/>
    <w:rsid w:val="790E7239"/>
    <w:rsid w:val="79FB4EC7"/>
    <w:rsid w:val="7C42088B"/>
    <w:rsid w:val="7CE63738"/>
    <w:rsid w:val="7D36737D"/>
    <w:rsid w:val="7D3D7B44"/>
    <w:rsid w:val="7E0155BF"/>
    <w:rsid w:val="7EBE08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iPriority="99" w:name="Body Text 3"/>
    <w:lsdException w:qFormat="1" w:uiPriority="99" w:semiHidden="0" w:name="Body Text Indent 2"/>
    <w:lsdException w:qFormat="1" w:uiPriority="99" w:name="Body Text Indent 3"/>
    <w:lsdException w:qFormat="1" w:uiPriority="99"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pPr>
    <w:rPr>
      <w:rFonts w:ascii="Times New Roman" w:hAnsi="Times New Roman" w:eastAsia="宋体" w:cs="Times New Roman"/>
      <w:sz w:val="21"/>
      <w:lang w:val="en-US" w:eastAsia="zh-CN" w:bidi="ar-SA"/>
    </w:rPr>
  </w:style>
  <w:style w:type="paragraph" w:styleId="3">
    <w:name w:val="heading 1"/>
    <w:basedOn w:val="1"/>
    <w:next w:val="1"/>
    <w:link w:val="51"/>
    <w:qFormat/>
    <w:uiPriority w:val="9"/>
    <w:pPr>
      <w:keepNext/>
      <w:keepLines/>
      <w:spacing w:before="340" w:after="330" w:line="578" w:lineRule="atLeast"/>
      <w:jc w:val="center"/>
      <w:outlineLvl w:val="0"/>
    </w:pPr>
    <w:rPr>
      <w:rFonts w:eastAsia="微软雅黑"/>
      <w:b/>
      <w:bCs/>
      <w:kern w:val="44"/>
      <w:sz w:val="32"/>
      <w:szCs w:val="44"/>
    </w:rPr>
  </w:style>
  <w:style w:type="paragraph" w:styleId="4">
    <w:name w:val="heading 2"/>
    <w:basedOn w:val="1"/>
    <w:next w:val="1"/>
    <w:link w:val="52"/>
    <w:unhideWhenUsed/>
    <w:qFormat/>
    <w:uiPriority w:val="0"/>
    <w:pPr>
      <w:keepNext/>
      <w:keepLines/>
      <w:spacing w:before="260" w:after="260" w:line="416" w:lineRule="atLeast"/>
      <w:jc w:val="center"/>
      <w:outlineLvl w:val="1"/>
    </w:pPr>
    <w:rPr>
      <w:rFonts w:eastAsia="微软雅黑" w:asciiTheme="majorHAnsi" w:hAnsiTheme="majorHAnsi" w:cstheme="majorBidi"/>
      <w:b/>
      <w:bCs/>
      <w:sz w:val="30"/>
      <w:szCs w:val="32"/>
    </w:rPr>
  </w:style>
  <w:style w:type="paragraph" w:styleId="5">
    <w:name w:val="heading 3"/>
    <w:basedOn w:val="1"/>
    <w:next w:val="1"/>
    <w:link w:val="53"/>
    <w:autoRedefine/>
    <w:unhideWhenUsed/>
    <w:qFormat/>
    <w:uiPriority w:val="0"/>
    <w:pPr>
      <w:keepNext/>
      <w:keepLines/>
      <w:spacing w:before="160" w:after="160" w:line="360" w:lineRule="atLeast"/>
      <w:jc w:val="left"/>
      <w:outlineLvl w:val="2"/>
    </w:pPr>
    <w:rPr>
      <w:rFonts w:eastAsia="微软雅黑"/>
      <w:b/>
      <w:bCs/>
      <w:sz w:val="28"/>
      <w:szCs w:val="32"/>
    </w:rPr>
  </w:style>
  <w:style w:type="paragraph" w:styleId="6">
    <w:name w:val="heading 4"/>
    <w:basedOn w:val="1"/>
    <w:next w:val="1"/>
    <w:link w:val="54"/>
    <w:unhideWhenUsed/>
    <w:qFormat/>
    <w:uiPriority w:val="0"/>
    <w:pPr>
      <w:keepNext/>
      <w:keepLines/>
      <w:spacing w:before="280" w:after="290" w:line="376" w:lineRule="atLeast"/>
      <w:jc w:val="left"/>
      <w:outlineLvl w:val="3"/>
    </w:pPr>
    <w:rPr>
      <w:rFonts w:eastAsia="微软雅黑" w:asciiTheme="majorHAnsi" w:hAnsiTheme="majorHAnsi" w:cstheme="majorBidi"/>
      <w:b/>
      <w:bCs/>
      <w:sz w:val="24"/>
      <w:szCs w:val="28"/>
    </w:rPr>
  </w:style>
  <w:style w:type="paragraph" w:styleId="7">
    <w:name w:val="heading 5"/>
    <w:basedOn w:val="1"/>
    <w:next w:val="1"/>
    <w:link w:val="55"/>
    <w:qFormat/>
    <w:uiPriority w:val="9"/>
    <w:pPr>
      <w:keepNext/>
      <w:keepLines/>
      <w:tabs>
        <w:tab w:val="left" w:pos="1008"/>
      </w:tabs>
      <w:adjustRightInd/>
      <w:spacing w:before="280" w:after="290" w:line="376" w:lineRule="auto"/>
      <w:ind w:left="1008" w:hanging="1008" w:firstLineChars="200"/>
      <w:outlineLvl w:val="4"/>
    </w:pPr>
    <w:rPr>
      <w:b/>
      <w:bCs/>
      <w:kern w:val="2"/>
      <w:sz w:val="28"/>
      <w:szCs w:val="28"/>
    </w:rPr>
  </w:style>
  <w:style w:type="paragraph" w:styleId="8">
    <w:name w:val="heading 6"/>
    <w:basedOn w:val="1"/>
    <w:next w:val="1"/>
    <w:link w:val="56"/>
    <w:qFormat/>
    <w:uiPriority w:val="9"/>
    <w:pPr>
      <w:keepNext/>
      <w:keepLines/>
      <w:tabs>
        <w:tab w:val="left" w:pos="1152"/>
      </w:tabs>
      <w:adjustRightInd/>
      <w:spacing w:before="240" w:after="64" w:line="320" w:lineRule="auto"/>
      <w:ind w:left="1152" w:hanging="1152" w:firstLineChars="200"/>
      <w:outlineLvl w:val="5"/>
    </w:pPr>
    <w:rPr>
      <w:rFonts w:ascii="Arial" w:hAnsi="Arial" w:eastAsia="黑体"/>
      <w:b/>
      <w:bCs/>
      <w:kern w:val="2"/>
      <w:sz w:val="24"/>
      <w:szCs w:val="24"/>
    </w:rPr>
  </w:style>
  <w:style w:type="paragraph" w:styleId="9">
    <w:name w:val="heading 7"/>
    <w:basedOn w:val="1"/>
    <w:next w:val="1"/>
    <w:link w:val="57"/>
    <w:qFormat/>
    <w:uiPriority w:val="0"/>
    <w:pPr>
      <w:keepNext/>
      <w:keepLines/>
      <w:tabs>
        <w:tab w:val="left" w:pos="1296"/>
      </w:tabs>
      <w:adjustRightInd/>
      <w:spacing w:before="240" w:after="64" w:line="320" w:lineRule="auto"/>
      <w:ind w:left="1296" w:hanging="1296" w:firstLineChars="200"/>
      <w:outlineLvl w:val="6"/>
    </w:pPr>
    <w:rPr>
      <w:b/>
      <w:bCs/>
      <w:kern w:val="2"/>
      <w:sz w:val="24"/>
      <w:szCs w:val="24"/>
    </w:rPr>
  </w:style>
  <w:style w:type="paragraph" w:styleId="10">
    <w:name w:val="heading 8"/>
    <w:basedOn w:val="1"/>
    <w:next w:val="1"/>
    <w:link w:val="58"/>
    <w:qFormat/>
    <w:uiPriority w:val="0"/>
    <w:pPr>
      <w:keepNext/>
      <w:keepLines/>
      <w:tabs>
        <w:tab w:val="left" w:pos="1440"/>
      </w:tabs>
      <w:adjustRightInd/>
      <w:spacing w:before="240" w:after="64" w:line="320" w:lineRule="auto"/>
      <w:ind w:left="1440" w:hanging="1440" w:firstLineChars="200"/>
      <w:outlineLvl w:val="7"/>
    </w:pPr>
    <w:rPr>
      <w:rFonts w:ascii="Arial" w:hAnsi="Arial" w:eastAsia="黑体"/>
      <w:kern w:val="2"/>
      <w:sz w:val="24"/>
      <w:szCs w:val="24"/>
    </w:rPr>
  </w:style>
  <w:style w:type="paragraph" w:styleId="11">
    <w:name w:val="heading 9"/>
    <w:basedOn w:val="1"/>
    <w:next w:val="1"/>
    <w:link w:val="59"/>
    <w:qFormat/>
    <w:uiPriority w:val="9"/>
    <w:pPr>
      <w:keepNext/>
      <w:keepLines/>
      <w:tabs>
        <w:tab w:val="left" w:pos="1584"/>
      </w:tabs>
      <w:adjustRightInd/>
      <w:spacing w:before="240" w:after="64" w:line="320" w:lineRule="auto"/>
      <w:ind w:left="1584" w:hanging="1584" w:firstLineChars="200"/>
      <w:outlineLvl w:val="8"/>
    </w:pPr>
    <w:rPr>
      <w:rFonts w:ascii="Arial" w:hAnsi="Arial" w:eastAsia="黑体"/>
      <w:kern w:val="2"/>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paragraph" w:styleId="12">
    <w:name w:val="toc 7"/>
    <w:basedOn w:val="1"/>
    <w:next w:val="1"/>
    <w:unhideWhenUsed/>
    <w:qFormat/>
    <w:uiPriority w:val="39"/>
    <w:pPr>
      <w:adjustRightInd/>
      <w:spacing w:line="240" w:lineRule="auto"/>
      <w:ind w:left="2520" w:leftChars="1200"/>
    </w:pPr>
    <w:rPr>
      <w:rFonts w:asciiTheme="minorHAnsi" w:hAnsiTheme="minorHAnsi" w:eastAsiaTheme="minorEastAsia" w:cstheme="minorBidi"/>
      <w:kern w:val="2"/>
      <w:szCs w:val="22"/>
    </w:rPr>
  </w:style>
  <w:style w:type="paragraph" w:styleId="13">
    <w:name w:val="Normal Indent"/>
    <w:basedOn w:val="1"/>
    <w:next w:val="14"/>
    <w:link w:val="79"/>
    <w:qFormat/>
    <w:uiPriority w:val="0"/>
    <w:pPr>
      <w:widowControl w:val="0"/>
      <w:autoSpaceDE w:val="0"/>
      <w:autoSpaceDN w:val="0"/>
      <w:adjustRightInd w:val="0"/>
      <w:ind w:firstLine="420"/>
    </w:pPr>
    <w:rPr>
      <w:rFonts w:ascii="宋体" w:hAnsiTheme="minorHAnsi" w:eastAsiaTheme="minorEastAsia" w:cstheme="minorBidi"/>
      <w:kern w:val="2"/>
      <w:sz w:val="24"/>
      <w:szCs w:val="22"/>
      <w:lang w:val="en-US" w:eastAsia="zh-CN" w:bidi="ar-SA"/>
    </w:rPr>
  </w:style>
  <w:style w:type="paragraph" w:styleId="14">
    <w:name w:val="Body Text First Indent 2"/>
    <w:basedOn w:val="15"/>
    <w:next w:val="1"/>
    <w:link w:val="86"/>
    <w:unhideWhenUsed/>
    <w:qFormat/>
    <w:uiPriority w:val="0"/>
    <w:pPr>
      <w:adjustRightInd/>
      <w:spacing w:after="120" w:line="240" w:lineRule="auto"/>
      <w:ind w:left="420" w:leftChars="200" w:firstLine="420" w:firstLineChars="200"/>
      <w:jc w:val="both"/>
    </w:pPr>
    <w:rPr>
      <w:kern w:val="2"/>
      <w:sz w:val="21"/>
      <w:szCs w:val="24"/>
      <w:lang w:bidi="ar-SA"/>
    </w:rPr>
  </w:style>
  <w:style w:type="paragraph" w:styleId="15">
    <w:name w:val="Body Text Indent"/>
    <w:basedOn w:val="1"/>
    <w:link w:val="63"/>
    <w:unhideWhenUsed/>
    <w:qFormat/>
    <w:uiPriority w:val="0"/>
    <w:pPr>
      <w:ind w:left="2730" w:hanging="2730" w:hangingChars="1365"/>
      <w:jc w:val="left"/>
    </w:pPr>
    <w:rPr>
      <w:sz w:val="20"/>
      <w:lang w:bidi="he-IL"/>
    </w:rPr>
  </w:style>
  <w:style w:type="paragraph" w:styleId="16">
    <w:name w:val="annotation text"/>
    <w:basedOn w:val="1"/>
    <w:link w:val="117"/>
    <w:unhideWhenUsed/>
    <w:qFormat/>
    <w:uiPriority w:val="0"/>
    <w:pPr>
      <w:adjustRightInd/>
      <w:spacing w:line="500" w:lineRule="exact"/>
      <w:jc w:val="left"/>
    </w:pPr>
    <w:rPr>
      <w:sz w:val="20"/>
    </w:rPr>
  </w:style>
  <w:style w:type="paragraph" w:styleId="17">
    <w:name w:val="Body Text 3"/>
    <w:basedOn w:val="1"/>
    <w:link w:val="73"/>
    <w:semiHidden/>
    <w:unhideWhenUsed/>
    <w:qFormat/>
    <w:uiPriority w:val="99"/>
    <w:pPr>
      <w:spacing w:after="120"/>
    </w:pPr>
    <w:rPr>
      <w:sz w:val="16"/>
      <w:szCs w:val="16"/>
    </w:rPr>
  </w:style>
  <w:style w:type="paragraph" w:styleId="18">
    <w:name w:val="Body Text"/>
    <w:basedOn w:val="1"/>
    <w:link w:val="80"/>
    <w:autoRedefine/>
    <w:unhideWhenUsed/>
    <w:qFormat/>
    <w:uiPriority w:val="0"/>
    <w:pPr>
      <w:spacing w:after="120"/>
    </w:pPr>
  </w:style>
  <w:style w:type="paragraph" w:styleId="19">
    <w:name w:val="Block Text"/>
    <w:basedOn w:val="1"/>
    <w:autoRedefine/>
    <w:unhideWhenUsed/>
    <w:qFormat/>
    <w:uiPriority w:val="99"/>
    <w:pPr>
      <w:spacing w:after="120"/>
      <w:ind w:left="1440" w:leftChars="700" w:right="1440" w:rightChars="700"/>
    </w:pPr>
    <w:rPr>
      <w:szCs w:val="24"/>
    </w:rPr>
  </w:style>
  <w:style w:type="paragraph" w:styleId="20">
    <w:name w:val="toc 5"/>
    <w:basedOn w:val="1"/>
    <w:next w:val="1"/>
    <w:unhideWhenUsed/>
    <w:qFormat/>
    <w:uiPriority w:val="39"/>
    <w:pPr>
      <w:adjustRightInd/>
      <w:spacing w:line="240" w:lineRule="auto"/>
      <w:ind w:left="1680" w:leftChars="800"/>
    </w:pPr>
    <w:rPr>
      <w:rFonts w:asciiTheme="minorHAnsi" w:hAnsiTheme="minorHAnsi" w:eastAsiaTheme="minorEastAsia" w:cstheme="minorBidi"/>
      <w:kern w:val="2"/>
      <w:szCs w:val="22"/>
    </w:rPr>
  </w:style>
  <w:style w:type="paragraph" w:styleId="21">
    <w:name w:val="toc 3"/>
    <w:basedOn w:val="1"/>
    <w:next w:val="1"/>
    <w:autoRedefine/>
    <w:unhideWhenUsed/>
    <w:qFormat/>
    <w:uiPriority w:val="39"/>
    <w:pPr>
      <w:ind w:left="840" w:leftChars="400"/>
    </w:pPr>
  </w:style>
  <w:style w:type="paragraph" w:styleId="22">
    <w:name w:val="Plain Text"/>
    <w:basedOn w:val="1"/>
    <w:link w:val="118"/>
    <w:autoRedefine/>
    <w:qFormat/>
    <w:uiPriority w:val="0"/>
    <w:pPr>
      <w:textAlignment w:val="baseline"/>
    </w:pPr>
    <w:rPr>
      <w:rFonts w:ascii="宋体" w:hAnsi="Courier New"/>
    </w:rPr>
  </w:style>
  <w:style w:type="paragraph" w:styleId="23">
    <w:name w:val="toc 8"/>
    <w:basedOn w:val="1"/>
    <w:next w:val="1"/>
    <w:autoRedefine/>
    <w:unhideWhenUsed/>
    <w:qFormat/>
    <w:uiPriority w:val="39"/>
    <w:pPr>
      <w:adjustRightInd/>
      <w:spacing w:line="240" w:lineRule="auto"/>
      <w:ind w:left="2940" w:leftChars="1400"/>
    </w:pPr>
    <w:rPr>
      <w:rFonts w:asciiTheme="minorHAnsi" w:hAnsiTheme="minorHAnsi" w:eastAsiaTheme="minorEastAsia" w:cstheme="minorBidi"/>
      <w:kern w:val="2"/>
      <w:szCs w:val="22"/>
    </w:rPr>
  </w:style>
  <w:style w:type="paragraph" w:styleId="24">
    <w:name w:val="Date"/>
    <w:basedOn w:val="1"/>
    <w:next w:val="1"/>
    <w:link w:val="78"/>
    <w:autoRedefine/>
    <w:semiHidden/>
    <w:unhideWhenUsed/>
    <w:qFormat/>
    <w:uiPriority w:val="99"/>
    <w:pPr>
      <w:ind w:left="100" w:leftChars="2500"/>
    </w:pPr>
  </w:style>
  <w:style w:type="paragraph" w:styleId="25">
    <w:name w:val="Body Text Indent 2"/>
    <w:basedOn w:val="1"/>
    <w:link w:val="76"/>
    <w:autoRedefine/>
    <w:unhideWhenUsed/>
    <w:qFormat/>
    <w:uiPriority w:val="99"/>
    <w:pPr>
      <w:spacing w:after="120" w:line="480" w:lineRule="auto"/>
      <w:ind w:left="420" w:leftChars="200"/>
      <w:jc w:val="left"/>
    </w:pPr>
  </w:style>
  <w:style w:type="paragraph" w:styleId="26">
    <w:name w:val="Balloon Text"/>
    <w:basedOn w:val="1"/>
    <w:link w:val="62"/>
    <w:autoRedefine/>
    <w:semiHidden/>
    <w:unhideWhenUsed/>
    <w:qFormat/>
    <w:uiPriority w:val="99"/>
    <w:pPr>
      <w:adjustRightInd/>
      <w:spacing w:line="240" w:lineRule="auto"/>
    </w:pPr>
    <w:rPr>
      <w:rFonts w:asciiTheme="minorHAnsi" w:hAnsiTheme="minorHAnsi" w:eastAsiaTheme="minorEastAsia" w:cstheme="minorBidi"/>
      <w:kern w:val="2"/>
      <w:sz w:val="18"/>
      <w:szCs w:val="18"/>
    </w:rPr>
  </w:style>
  <w:style w:type="paragraph" w:styleId="27">
    <w:name w:val="footer"/>
    <w:basedOn w:val="1"/>
    <w:link w:val="61"/>
    <w:autoRedefine/>
    <w:unhideWhenUsed/>
    <w:qFormat/>
    <w:uiPriority w:val="0"/>
    <w:pPr>
      <w:tabs>
        <w:tab w:val="center" w:pos="4153"/>
        <w:tab w:val="right" w:pos="8306"/>
      </w:tabs>
      <w:adjustRightInd/>
      <w:snapToGrid w:val="0"/>
      <w:spacing w:line="240" w:lineRule="auto"/>
      <w:jc w:val="left"/>
    </w:pPr>
    <w:rPr>
      <w:rFonts w:asciiTheme="minorHAnsi" w:hAnsiTheme="minorHAnsi" w:eastAsiaTheme="minorEastAsia" w:cstheme="minorBidi"/>
      <w:kern w:val="2"/>
      <w:sz w:val="18"/>
      <w:szCs w:val="18"/>
    </w:rPr>
  </w:style>
  <w:style w:type="paragraph" w:styleId="28">
    <w:name w:val="envelope return"/>
    <w:basedOn w:val="1"/>
    <w:qFormat/>
    <w:uiPriority w:val="0"/>
    <w:pPr>
      <w:snapToGrid w:val="0"/>
    </w:pPr>
    <w:rPr>
      <w:rFonts w:ascii="Arial" w:hAnsi="Arial"/>
    </w:rPr>
  </w:style>
  <w:style w:type="paragraph" w:styleId="29">
    <w:name w:val="header"/>
    <w:basedOn w:val="1"/>
    <w:link w:val="60"/>
    <w:autoRedefine/>
    <w:unhideWhenUsed/>
    <w:qFormat/>
    <w:uiPriority w:val="0"/>
    <w:pPr>
      <w:pBdr>
        <w:bottom w:val="single" w:color="auto" w:sz="6" w:space="1"/>
      </w:pBdr>
      <w:tabs>
        <w:tab w:val="center" w:pos="4153"/>
        <w:tab w:val="right" w:pos="8306"/>
      </w:tabs>
      <w:adjustRightInd/>
      <w:snapToGrid w:val="0"/>
      <w:spacing w:line="240" w:lineRule="auto"/>
      <w:jc w:val="center"/>
    </w:pPr>
    <w:rPr>
      <w:rFonts w:asciiTheme="minorHAnsi" w:hAnsiTheme="minorHAnsi" w:eastAsiaTheme="minorEastAsia" w:cstheme="minorBidi"/>
      <w:kern w:val="2"/>
      <w:sz w:val="18"/>
      <w:szCs w:val="18"/>
    </w:rPr>
  </w:style>
  <w:style w:type="paragraph" w:styleId="30">
    <w:name w:val="toc 1"/>
    <w:basedOn w:val="1"/>
    <w:next w:val="1"/>
    <w:autoRedefine/>
    <w:unhideWhenUsed/>
    <w:qFormat/>
    <w:uiPriority w:val="39"/>
  </w:style>
  <w:style w:type="paragraph" w:styleId="31">
    <w:name w:val="toc 4"/>
    <w:basedOn w:val="1"/>
    <w:next w:val="1"/>
    <w:autoRedefine/>
    <w:unhideWhenUsed/>
    <w:qFormat/>
    <w:uiPriority w:val="39"/>
    <w:pPr>
      <w:adjustRightInd/>
      <w:spacing w:line="240" w:lineRule="auto"/>
      <w:ind w:left="1260" w:leftChars="600"/>
    </w:pPr>
    <w:rPr>
      <w:rFonts w:asciiTheme="minorHAnsi" w:hAnsiTheme="minorHAnsi" w:eastAsiaTheme="minorEastAsia" w:cstheme="minorBidi"/>
      <w:kern w:val="2"/>
      <w:szCs w:val="22"/>
    </w:rPr>
  </w:style>
  <w:style w:type="paragraph" w:styleId="32">
    <w:name w:val="toc 6"/>
    <w:basedOn w:val="1"/>
    <w:next w:val="1"/>
    <w:autoRedefine/>
    <w:unhideWhenUsed/>
    <w:qFormat/>
    <w:uiPriority w:val="39"/>
    <w:pPr>
      <w:adjustRightInd/>
      <w:spacing w:line="240" w:lineRule="auto"/>
      <w:ind w:left="2100" w:leftChars="1000"/>
    </w:pPr>
    <w:rPr>
      <w:rFonts w:asciiTheme="minorHAnsi" w:hAnsiTheme="minorHAnsi" w:eastAsiaTheme="minorEastAsia" w:cstheme="minorBidi"/>
      <w:kern w:val="2"/>
      <w:szCs w:val="22"/>
    </w:rPr>
  </w:style>
  <w:style w:type="paragraph" w:styleId="33">
    <w:name w:val="Body Text Indent 3"/>
    <w:basedOn w:val="1"/>
    <w:link w:val="128"/>
    <w:autoRedefine/>
    <w:semiHidden/>
    <w:unhideWhenUsed/>
    <w:qFormat/>
    <w:uiPriority w:val="99"/>
    <w:pPr>
      <w:spacing w:after="120"/>
      <w:ind w:left="420" w:leftChars="200"/>
    </w:pPr>
    <w:rPr>
      <w:sz w:val="16"/>
      <w:szCs w:val="16"/>
    </w:rPr>
  </w:style>
  <w:style w:type="paragraph" w:styleId="34">
    <w:name w:val="toc 2"/>
    <w:basedOn w:val="1"/>
    <w:next w:val="1"/>
    <w:autoRedefine/>
    <w:qFormat/>
    <w:uiPriority w:val="39"/>
    <w:pPr>
      <w:ind w:left="420" w:leftChars="200"/>
    </w:pPr>
  </w:style>
  <w:style w:type="paragraph" w:styleId="35">
    <w:name w:val="toc 9"/>
    <w:basedOn w:val="1"/>
    <w:next w:val="1"/>
    <w:autoRedefine/>
    <w:unhideWhenUsed/>
    <w:qFormat/>
    <w:uiPriority w:val="39"/>
    <w:pPr>
      <w:adjustRightInd/>
      <w:spacing w:line="240" w:lineRule="auto"/>
      <w:ind w:left="3360" w:leftChars="1600"/>
    </w:pPr>
    <w:rPr>
      <w:rFonts w:asciiTheme="minorHAnsi" w:hAnsiTheme="minorHAnsi" w:eastAsiaTheme="minorEastAsia" w:cstheme="minorBidi"/>
      <w:kern w:val="2"/>
      <w:szCs w:val="22"/>
    </w:rPr>
  </w:style>
  <w:style w:type="paragraph" w:styleId="36">
    <w:name w:val="Body Text 2"/>
    <w:basedOn w:val="1"/>
    <w:qFormat/>
    <w:uiPriority w:val="0"/>
    <w:pPr>
      <w:widowControl/>
      <w:jc w:val="center"/>
    </w:pPr>
    <w:rPr>
      <w:rFonts w:ascii="楷体_GB2312" w:eastAsia="楷体_GB2312"/>
      <w:sz w:val="20"/>
    </w:rPr>
  </w:style>
  <w:style w:type="paragraph" w:styleId="37">
    <w:name w:val="Message Header"/>
    <w:basedOn w:val="1"/>
    <w:next w:val="22"/>
    <w:link w:val="119"/>
    <w:autoRedefine/>
    <w:qFormat/>
    <w:uiPriority w:val="0"/>
    <w:pPr>
      <w:pBdr>
        <w:top w:val="single" w:color="auto" w:sz="6" w:space="1"/>
        <w:left w:val="single" w:color="auto" w:sz="6" w:space="1"/>
        <w:bottom w:val="single" w:color="auto" w:sz="6" w:space="1"/>
        <w:right w:val="single" w:color="auto" w:sz="6" w:space="1"/>
      </w:pBdr>
      <w:shd w:val="pct20" w:color="auto" w:fill="auto"/>
      <w:adjustRightInd/>
      <w:spacing w:line="240" w:lineRule="auto"/>
      <w:ind w:left="1080" w:leftChars="500" w:hanging="1080" w:hangingChars="500"/>
    </w:pPr>
    <w:rPr>
      <w:rFonts w:ascii="Cambria" w:hAnsi="Cambria"/>
      <w:kern w:val="2"/>
      <w:sz w:val="24"/>
    </w:rPr>
  </w:style>
  <w:style w:type="paragraph" w:styleId="38">
    <w:name w:val="Normal (Web)"/>
    <w:basedOn w:val="1"/>
    <w:autoRedefine/>
    <w:qFormat/>
    <w:uiPriority w:val="0"/>
    <w:pPr>
      <w:adjustRightInd/>
      <w:spacing w:before="100" w:beforeAutospacing="1" w:after="100" w:afterAutospacing="1" w:line="240" w:lineRule="auto"/>
      <w:jc w:val="left"/>
    </w:pPr>
    <w:rPr>
      <w:rFonts w:ascii="Calibri" w:hAnsi="Calibri"/>
      <w:sz w:val="24"/>
      <w:szCs w:val="24"/>
    </w:rPr>
  </w:style>
  <w:style w:type="paragraph" w:styleId="39">
    <w:name w:val="index 1"/>
    <w:basedOn w:val="1"/>
    <w:next w:val="1"/>
    <w:autoRedefine/>
    <w:qFormat/>
    <w:uiPriority w:val="0"/>
    <w:rPr>
      <w:rFonts w:ascii="仿宋_GB2312" w:hAnsi="宋体" w:eastAsia="仿宋_GB2312"/>
      <w:sz w:val="30"/>
      <w:szCs w:val="24"/>
    </w:rPr>
  </w:style>
  <w:style w:type="paragraph" w:styleId="40">
    <w:name w:val="Body Text First Indent"/>
    <w:basedOn w:val="18"/>
    <w:link w:val="87"/>
    <w:autoRedefine/>
    <w:unhideWhenUsed/>
    <w:qFormat/>
    <w:uiPriority w:val="99"/>
    <w:pPr>
      <w:ind w:firstLine="420" w:firstLineChars="100"/>
    </w:pPr>
  </w:style>
  <w:style w:type="table" w:styleId="42">
    <w:name w:val="Table Grid"/>
    <w:basedOn w:val="4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autoRedefine/>
    <w:qFormat/>
    <w:uiPriority w:val="0"/>
    <w:rPr>
      <w:b/>
    </w:rPr>
  </w:style>
  <w:style w:type="character" w:styleId="45">
    <w:name w:val="FollowedHyperlink"/>
    <w:basedOn w:val="43"/>
    <w:autoRedefine/>
    <w:semiHidden/>
    <w:unhideWhenUsed/>
    <w:qFormat/>
    <w:uiPriority w:val="99"/>
    <w:rPr>
      <w:color w:val="954F72"/>
      <w:u w:val="single"/>
    </w:rPr>
  </w:style>
  <w:style w:type="character" w:styleId="46">
    <w:name w:val="Hyperlink"/>
    <w:basedOn w:val="43"/>
    <w:autoRedefine/>
    <w:unhideWhenUsed/>
    <w:qFormat/>
    <w:uiPriority w:val="99"/>
    <w:rPr>
      <w:color w:val="0000FF" w:themeColor="hyperlink"/>
      <w:u w:val="single"/>
      <w14:textFill>
        <w14:solidFill>
          <w14:schemeClr w14:val="hlink"/>
        </w14:solidFill>
      </w14:textFill>
    </w:rPr>
  </w:style>
  <w:style w:type="character" w:styleId="47">
    <w:name w:val="annotation reference"/>
    <w:autoRedefine/>
    <w:semiHidden/>
    <w:qFormat/>
    <w:uiPriority w:val="0"/>
    <w:rPr>
      <w:sz w:val="21"/>
      <w:szCs w:val="21"/>
    </w:rPr>
  </w:style>
  <w:style w:type="character" w:styleId="48">
    <w:name w:val="footnote reference"/>
    <w:autoRedefine/>
    <w:qFormat/>
    <w:uiPriority w:val="0"/>
    <w:rPr>
      <w:vertAlign w:val="superscript"/>
    </w:rPr>
  </w:style>
  <w:style w:type="paragraph" w:customStyle="1" w:styleId="49">
    <w:name w:val="*正文"/>
    <w:basedOn w:val="13"/>
    <w:qFormat/>
    <w:uiPriority w:val="0"/>
    <w:pPr>
      <w:ind w:firstLine="200"/>
    </w:pPr>
    <w:rPr>
      <w:rFonts w:ascii="宋体" w:hAnsi="宋体" w:eastAsia="宋体" w:cs="Times New Roman"/>
      <w:color w:val="000000"/>
    </w:rPr>
  </w:style>
  <w:style w:type="paragraph" w:customStyle="1" w:styleId="50">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51">
    <w:name w:val="标题 1 字符"/>
    <w:basedOn w:val="43"/>
    <w:link w:val="3"/>
    <w:autoRedefine/>
    <w:qFormat/>
    <w:uiPriority w:val="9"/>
    <w:rPr>
      <w:rFonts w:ascii="Times New Roman" w:hAnsi="Times New Roman" w:eastAsia="微软雅黑" w:cs="Times New Roman"/>
      <w:b/>
      <w:bCs/>
      <w:kern w:val="44"/>
      <w:sz w:val="32"/>
      <w:szCs w:val="44"/>
    </w:rPr>
  </w:style>
  <w:style w:type="character" w:customStyle="1" w:styleId="52">
    <w:name w:val="标题 2 字符"/>
    <w:basedOn w:val="43"/>
    <w:link w:val="4"/>
    <w:autoRedefine/>
    <w:qFormat/>
    <w:uiPriority w:val="9"/>
    <w:rPr>
      <w:rFonts w:eastAsia="微软雅黑" w:asciiTheme="majorHAnsi" w:hAnsiTheme="majorHAnsi" w:cstheme="majorBidi"/>
      <w:b/>
      <w:bCs/>
      <w:kern w:val="0"/>
      <w:sz w:val="30"/>
      <w:szCs w:val="32"/>
    </w:rPr>
  </w:style>
  <w:style w:type="character" w:customStyle="1" w:styleId="53">
    <w:name w:val="标题 3 字符"/>
    <w:basedOn w:val="43"/>
    <w:link w:val="5"/>
    <w:autoRedefine/>
    <w:qFormat/>
    <w:uiPriority w:val="0"/>
    <w:rPr>
      <w:rFonts w:ascii="Times New Roman" w:hAnsi="Times New Roman" w:eastAsia="微软雅黑" w:cs="Times New Roman"/>
      <w:b/>
      <w:bCs/>
      <w:kern w:val="0"/>
      <w:sz w:val="28"/>
      <w:szCs w:val="32"/>
    </w:rPr>
  </w:style>
  <w:style w:type="character" w:customStyle="1" w:styleId="54">
    <w:name w:val="标题 4 字符"/>
    <w:basedOn w:val="43"/>
    <w:link w:val="6"/>
    <w:autoRedefine/>
    <w:qFormat/>
    <w:uiPriority w:val="9"/>
    <w:rPr>
      <w:rFonts w:eastAsia="微软雅黑" w:asciiTheme="majorHAnsi" w:hAnsiTheme="majorHAnsi" w:cstheme="majorBidi"/>
      <w:b/>
      <w:bCs/>
      <w:kern w:val="0"/>
      <w:sz w:val="24"/>
      <w:szCs w:val="28"/>
    </w:rPr>
  </w:style>
  <w:style w:type="character" w:customStyle="1" w:styleId="55">
    <w:name w:val="标题 5 字符"/>
    <w:basedOn w:val="43"/>
    <w:link w:val="7"/>
    <w:autoRedefine/>
    <w:qFormat/>
    <w:uiPriority w:val="9"/>
    <w:rPr>
      <w:rFonts w:ascii="Times New Roman" w:hAnsi="Times New Roman" w:eastAsia="宋体" w:cs="Times New Roman"/>
      <w:b/>
      <w:bCs/>
      <w:sz w:val="28"/>
      <w:szCs w:val="28"/>
    </w:rPr>
  </w:style>
  <w:style w:type="character" w:customStyle="1" w:styleId="56">
    <w:name w:val="标题 6 字符"/>
    <w:basedOn w:val="43"/>
    <w:link w:val="8"/>
    <w:autoRedefine/>
    <w:qFormat/>
    <w:uiPriority w:val="9"/>
    <w:rPr>
      <w:rFonts w:ascii="Arial" w:hAnsi="Arial" w:eastAsia="黑体" w:cs="Times New Roman"/>
      <w:b/>
      <w:bCs/>
      <w:sz w:val="24"/>
      <w:szCs w:val="24"/>
    </w:rPr>
  </w:style>
  <w:style w:type="character" w:customStyle="1" w:styleId="57">
    <w:name w:val="标题 7 字符"/>
    <w:basedOn w:val="43"/>
    <w:link w:val="9"/>
    <w:autoRedefine/>
    <w:qFormat/>
    <w:uiPriority w:val="0"/>
    <w:rPr>
      <w:rFonts w:ascii="Times New Roman" w:hAnsi="Times New Roman" w:eastAsia="宋体" w:cs="Times New Roman"/>
      <w:b/>
      <w:bCs/>
      <w:sz w:val="24"/>
      <w:szCs w:val="24"/>
    </w:rPr>
  </w:style>
  <w:style w:type="character" w:customStyle="1" w:styleId="58">
    <w:name w:val="标题 8 字符"/>
    <w:basedOn w:val="43"/>
    <w:link w:val="10"/>
    <w:autoRedefine/>
    <w:qFormat/>
    <w:uiPriority w:val="0"/>
    <w:rPr>
      <w:rFonts w:ascii="Arial" w:hAnsi="Arial" w:eastAsia="黑体" w:cs="Times New Roman"/>
      <w:sz w:val="24"/>
      <w:szCs w:val="24"/>
    </w:rPr>
  </w:style>
  <w:style w:type="character" w:customStyle="1" w:styleId="59">
    <w:name w:val="标题 9 字符"/>
    <w:basedOn w:val="43"/>
    <w:link w:val="11"/>
    <w:autoRedefine/>
    <w:qFormat/>
    <w:uiPriority w:val="9"/>
    <w:rPr>
      <w:rFonts w:ascii="Arial" w:hAnsi="Arial" w:eastAsia="黑体" w:cs="Times New Roman"/>
      <w:szCs w:val="21"/>
    </w:rPr>
  </w:style>
  <w:style w:type="character" w:customStyle="1" w:styleId="60">
    <w:name w:val="页眉 字符"/>
    <w:basedOn w:val="43"/>
    <w:link w:val="29"/>
    <w:autoRedefine/>
    <w:qFormat/>
    <w:uiPriority w:val="0"/>
    <w:rPr>
      <w:sz w:val="18"/>
      <w:szCs w:val="18"/>
    </w:rPr>
  </w:style>
  <w:style w:type="character" w:customStyle="1" w:styleId="61">
    <w:name w:val="页脚 字符"/>
    <w:basedOn w:val="43"/>
    <w:link w:val="27"/>
    <w:autoRedefine/>
    <w:qFormat/>
    <w:uiPriority w:val="0"/>
    <w:rPr>
      <w:sz w:val="18"/>
      <w:szCs w:val="18"/>
    </w:rPr>
  </w:style>
  <w:style w:type="character" w:customStyle="1" w:styleId="62">
    <w:name w:val="批注框文本 字符"/>
    <w:basedOn w:val="43"/>
    <w:link w:val="26"/>
    <w:autoRedefine/>
    <w:semiHidden/>
    <w:qFormat/>
    <w:uiPriority w:val="99"/>
    <w:rPr>
      <w:sz w:val="18"/>
      <w:szCs w:val="18"/>
    </w:rPr>
  </w:style>
  <w:style w:type="character" w:customStyle="1" w:styleId="63">
    <w:name w:val="正文文本缩进 字符"/>
    <w:basedOn w:val="43"/>
    <w:link w:val="15"/>
    <w:autoRedefine/>
    <w:qFormat/>
    <w:uiPriority w:val="0"/>
    <w:rPr>
      <w:rFonts w:ascii="Times New Roman" w:hAnsi="Times New Roman" w:eastAsia="宋体" w:cs="Times New Roman"/>
      <w:kern w:val="0"/>
      <w:sz w:val="20"/>
      <w:szCs w:val="20"/>
      <w:lang w:bidi="he-IL"/>
    </w:rPr>
  </w:style>
  <w:style w:type="paragraph" w:styleId="64">
    <w:name w:val="List Paragraph"/>
    <w:basedOn w:val="1"/>
    <w:link w:val="65"/>
    <w:autoRedefine/>
    <w:qFormat/>
    <w:uiPriority w:val="34"/>
    <w:pPr>
      <w:snapToGrid w:val="0"/>
      <w:spacing w:line="360" w:lineRule="auto"/>
      <w:jc w:val="left"/>
    </w:pPr>
    <w:rPr>
      <w:rFonts w:eastAsia="微软雅黑"/>
      <w:b/>
      <w:sz w:val="30"/>
    </w:rPr>
  </w:style>
  <w:style w:type="character" w:customStyle="1" w:styleId="65">
    <w:name w:val="列出段落 字符"/>
    <w:link w:val="64"/>
    <w:autoRedefine/>
    <w:qFormat/>
    <w:uiPriority w:val="34"/>
    <w:rPr>
      <w:rFonts w:ascii="Times New Roman" w:hAnsi="Times New Roman" w:eastAsia="微软雅黑" w:cs="Times New Roman"/>
      <w:b/>
      <w:kern w:val="0"/>
      <w:sz w:val="30"/>
      <w:szCs w:val="20"/>
    </w:rPr>
  </w:style>
  <w:style w:type="character" w:customStyle="1" w:styleId="66">
    <w:name w:val="不明显强调1"/>
    <w:basedOn w:val="43"/>
    <w:autoRedefine/>
    <w:qFormat/>
    <w:uiPriority w:val="19"/>
    <w:rPr>
      <w:i/>
      <w:iCs/>
      <w:color w:val="404040" w:themeColor="text1" w:themeTint="BF"/>
      <w14:textFill>
        <w14:solidFill>
          <w14:schemeClr w14:val="tx1">
            <w14:lumMod w14:val="75000"/>
            <w14:lumOff w14:val="25000"/>
          </w14:schemeClr>
        </w14:solidFill>
      </w14:textFill>
    </w:rPr>
  </w:style>
  <w:style w:type="paragraph" w:customStyle="1" w:styleId="67">
    <w:name w:val="普通正文"/>
    <w:basedOn w:val="1"/>
    <w:autoRedefine/>
    <w:qFormat/>
    <w:uiPriority w:val="0"/>
    <w:pPr>
      <w:spacing w:before="120" w:after="120" w:line="360" w:lineRule="auto"/>
      <w:ind w:firstLine="480"/>
      <w:jc w:val="left"/>
      <w:textAlignment w:val="baseline"/>
    </w:pPr>
    <w:rPr>
      <w:rFonts w:ascii="Arial" w:hAnsi="Arial"/>
      <w:sz w:val="24"/>
      <w:szCs w:val="24"/>
    </w:rPr>
  </w:style>
  <w:style w:type="paragraph" w:customStyle="1" w:styleId="68">
    <w:name w:val="TOC 标题1"/>
    <w:basedOn w:val="3"/>
    <w:next w:val="1"/>
    <w:autoRedefine/>
    <w:semiHidden/>
    <w:unhideWhenUsed/>
    <w:qFormat/>
    <w:uiPriority w:val="39"/>
    <w:pPr>
      <w:widowControl/>
      <w:adjustRightInd/>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9">
    <w:name w:val="Body text|1_"/>
    <w:link w:val="70"/>
    <w:autoRedefine/>
    <w:qFormat/>
    <w:uiPriority w:val="0"/>
    <w:rPr>
      <w:rFonts w:ascii="宋体" w:hAnsi="宋体" w:cs="宋体"/>
      <w:sz w:val="28"/>
      <w:szCs w:val="28"/>
      <w:lang w:val="zh-TW" w:eastAsia="zh-TW" w:bidi="zh-TW"/>
    </w:rPr>
  </w:style>
  <w:style w:type="paragraph" w:customStyle="1" w:styleId="70">
    <w:name w:val="Body text|1"/>
    <w:basedOn w:val="1"/>
    <w:link w:val="69"/>
    <w:autoRedefine/>
    <w:qFormat/>
    <w:uiPriority w:val="0"/>
    <w:pPr>
      <w:adjustRightInd/>
      <w:spacing w:line="403" w:lineRule="auto"/>
      <w:ind w:firstLine="400"/>
      <w:jc w:val="left"/>
    </w:pPr>
    <w:rPr>
      <w:rFonts w:ascii="宋体" w:hAnsi="宋体" w:cs="宋体" w:eastAsiaTheme="minorEastAsia"/>
      <w:kern w:val="2"/>
      <w:sz w:val="28"/>
      <w:szCs w:val="28"/>
      <w:lang w:val="zh-TW" w:eastAsia="zh-TW" w:bidi="zh-TW"/>
    </w:rPr>
  </w:style>
  <w:style w:type="character" w:customStyle="1" w:styleId="71">
    <w:name w:val="Header or footer|1_"/>
    <w:link w:val="72"/>
    <w:autoRedefine/>
    <w:qFormat/>
    <w:uiPriority w:val="0"/>
    <w:rPr>
      <w:sz w:val="22"/>
      <w:lang w:val="zh-TW" w:eastAsia="zh-TW" w:bidi="zh-TW"/>
    </w:rPr>
  </w:style>
  <w:style w:type="paragraph" w:customStyle="1" w:styleId="72">
    <w:name w:val="Header or footer|1"/>
    <w:basedOn w:val="1"/>
    <w:link w:val="71"/>
    <w:autoRedefine/>
    <w:qFormat/>
    <w:uiPriority w:val="0"/>
    <w:pPr>
      <w:adjustRightInd/>
      <w:spacing w:line="240" w:lineRule="auto"/>
      <w:jc w:val="left"/>
    </w:pPr>
    <w:rPr>
      <w:rFonts w:asciiTheme="minorHAnsi" w:hAnsiTheme="minorHAnsi" w:eastAsiaTheme="minorEastAsia" w:cstheme="minorBidi"/>
      <w:kern w:val="2"/>
      <w:sz w:val="22"/>
      <w:szCs w:val="22"/>
      <w:lang w:val="zh-TW" w:eastAsia="zh-TW" w:bidi="zh-TW"/>
    </w:rPr>
  </w:style>
  <w:style w:type="character" w:customStyle="1" w:styleId="73">
    <w:name w:val="正文文本 3 字符"/>
    <w:basedOn w:val="43"/>
    <w:link w:val="17"/>
    <w:autoRedefine/>
    <w:semiHidden/>
    <w:qFormat/>
    <w:uiPriority w:val="99"/>
    <w:rPr>
      <w:rFonts w:ascii="Times New Roman" w:hAnsi="Times New Roman" w:eastAsia="宋体" w:cs="Times New Roman"/>
      <w:kern w:val="0"/>
      <w:sz w:val="16"/>
      <w:szCs w:val="16"/>
    </w:rPr>
  </w:style>
  <w:style w:type="character" w:customStyle="1" w:styleId="74">
    <w:name w:val="fontstyle01"/>
    <w:basedOn w:val="43"/>
    <w:autoRedefine/>
    <w:qFormat/>
    <w:uiPriority w:val="0"/>
    <w:rPr>
      <w:rFonts w:hint="eastAsia" w:ascii="宋体" w:hAnsi="宋体" w:eastAsia="宋体"/>
      <w:color w:val="000000"/>
      <w:sz w:val="44"/>
      <w:szCs w:val="44"/>
    </w:rPr>
  </w:style>
  <w:style w:type="character" w:customStyle="1" w:styleId="75">
    <w:name w:val="fontstyle21"/>
    <w:basedOn w:val="43"/>
    <w:autoRedefine/>
    <w:qFormat/>
    <w:uiPriority w:val="0"/>
    <w:rPr>
      <w:rFonts w:hint="default" w:ascii="Wingdings-Regular" w:hAnsi="Wingdings-Regular"/>
      <w:color w:val="000000"/>
      <w:sz w:val="22"/>
      <w:szCs w:val="22"/>
    </w:rPr>
  </w:style>
  <w:style w:type="character" w:customStyle="1" w:styleId="76">
    <w:name w:val="正文文本缩进 2 字符"/>
    <w:basedOn w:val="43"/>
    <w:link w:val="25"/>
    <w:autoRedefine/>
    <w:qFormat/>
    <w:uiPriority w:val="99"/>
    <w:rPr>
      <w:rFonts w:ascii="Times New Roman" w:hAnsi="Times New Roman" w:eastAsia="宋体" w:cs="Times New Roman"/>
      <w:kern w:val="0"/>
      <w:szCs w:val="20"/>
    </w:rPr>
  </w:style>
  <w:style w:type="character" w:customStyle="1" w:styleId="77">
    <w:name w:val="Unresolved Mention"/>
    <w:basedOn w:val="43"/>
    <w:autoRedefine/>
    <w:semiHidden/>
    <w:unhideWhenUsed/>
    <w:qFormat/>
    <w:uiPriority w:val="99"/>
    <w:rPr>
      <w:color w:val="605E5C"/>
      <w:shd w:val="clear" w:color="auto" w:fill="E1DFDD"/>
    </w:rPr>
  </w:style>
  <w:style w:type="character" w:customStyle="1" w:styleId="78">
    <w:name w:val="日期 字符"/>
    <w:basedOn w:val="43"/>
    <w:link w:val="24"/>
    <w:autoRedefine/>
    <w:semiHidden/>
    <w:qFormat/>
    <w:uiPriority w:val="99"/>
    <w:rPr>
      <w:rFonts w:ascii="Times New Roman" w:hAnsi="Times New Roman" w:eastAsia="宋体" w:cs="Times New Roman"/>
      <w:kern w:val="0"/>
      <w:szCs w:val="20"/>
    </w:rPr>
  </w:style>
  <w:style w:type="character" w:customStyle="1" w:styleId="79">
    <w:name w:val="正文缩进 字符"/>
    <w:link w:val="13"/>
    <w:autoRedefine/>
    <w:qFormat/>
    <w:uiPriority w:val="0"/>
    <w:rPr>
      <w:rFonts w:ascii="宋体"/>
      <w:sz w:val="24"/>
    </w:rPr>
  </w:style>
  <w:style w:type="character" w:customStyle="1" w:styleId="80">
    <w:name w:val="正文文本 字符"/>
    <w:basedOn w:val="43"/>
    <w:link w:val="18"/>
    <w:autoRedefine/>
    <w:qFormat/>
    <w:uiPriority w:val="0"/>
    <w:rPr>
      <w:rFonts w:ascii="Times New Roman" w:hAnsi="Times New Roman" w:eastAsia="宋体" w:cs="Times New Roman"/>
      <w:kern w:val="0"/>
      <w:szCs w:val="20"/>
    </w:rPr>
  </w:style>
  <w:style w:type="paragraph" w:customStyle="1" w:styleId="81">
    <w:name w:val="Char Char Char Char Char Char Char Char"/>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2">
    <w:name w:val="WPSOffice手动目录 1"/>
    <w:autoRedefine/>
    <w:qFormat/>
    <w:uiPriority w:val="0"/>
    <w:rPr>
      <w:rFonts w:ascii="Times New Roman" w:hAnsi="Times New Roman" w:eastAsia="宋体" w:cs="Times New Roman"/>
      <w:lang w:val="en-US" w:eastAsia="zh-CN" w:bidi="ar-SA"/>
    </w:rPr>
  </w:style>
  <w:style w:type="paragraph" w:customStyle="1" w:styleId="83">
    <w:name w:val="Char Char Char Char Char Char Char Char1"/>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4">
    <w:name w:val="Char Char Char Char Char Char Char Char2"/>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5">
    <w:name w:val="Char Char Char Char Char Char Char Char3"/>
    <w:basedOn w:val="1"/>
    <w:autoRedefine/>
    <w:qFormat/>
    <w:uiPriority w:val="0"/>
    <w:pPr>
      <w:adjustRightInd/>
      <w:spacing w:after="160" w:line="240" w:lineRule="exact"/>
      <w:jc w:val="left"/>
    </w:pPr>
    <w:rPr>
      <w:rFonts w:ascii="Calibri" w:hAnsi="Calibri" w:eastAsia="微软雅黑"/>
      <w:kern w:val="2"/>
      <w:szCs w:val="22"/>
    </w:rPr>
  </w:style>
  <w:style w:type="character" w:customStyle="1" w:styleId="86">
    <w:name w:val="正文首行缩进 2 字符"/>
    <w:basedOn w:val="63"/>
    <w:link w:val="14"/>
    <w:autoRedefine/>
    <w:qFormat/>
    <w:uiPriority w:val="0"/>
    <w:rPr>
      <w:rFonts w:ascii="Times New Roman" w:hAnsi="Times New Roman" w:eastAsia="宋体" w:cs="Times New Roman"/>
      <w:kern w:val="0"/>
      <w:sz w:val="20"/>
      <w:szCs w:val="24"/>
      <w:lang w:bidi="he-IL"/>
    </w:rPr>
  </w:style>
  <w:style w:type="character" w:customStyle="1" w:styleId="87">
    <w:name w:val="正文首行缩进 字符"/>
    <w:basedOn w:val="80"/>
    <w:link w:val="40"/>
    <w:autoRedefine/>
    <w:semiHidden/>
    <w:qFormat/>
    <w:uiPriority w:val="99"/>
    <w:rPr>
      <w:rFonts w:ascii="Times New Roman" w:hAnsi="Times New Roman" w:eastAsia="宋体" w:cs="Times New Roman"/>
      <w:kern w:val="0"/>
      <w:szCs w:val="20"/>
    </w:rPr>
  </w:style>
  <w:style w:type="paragraph" w:customStyle="1" w:styleId="88">
    <w:name w:val="msonormal"/>
    <w:basedOn w:val="1"/>
    <w:autoRedefine/>
    <w:qFormat/>
    <w:uiPriority w:val="0"/>
    <w:pPr>
      <w:widowControl/>
      <w:adjustRightInd/>
      <w:spacing w:before="100" w:beforeAutospacing="1" w:after="100" w:afterAutospacing="1" w:line="240" w:lineRule="auto"/>
      <w:jc w:val="left"/>
    </w:pPr>
    <w:rPr>
      <w:rFonts w:ascii="宋体" w:hAnsi="宋体" w:cs="宋体"/>
      <w:sz w:val="24"/>
      <w:szCs w:val="24"/>
    </w:rPr>
  </w:style>
  <w:style w:type="paragraph" w:customStyle="1" w:styleId="89">
    <w:name w:val="font5"/>
    <w:basedOn w:val="1"/>
    <w:autoRedefine/>
    <w:qFormat/>
    <w:uiPriority w:val="0"/>
    <w:pPr>
      <w:widowControl/>
      <w:adjustRightInd/>
      <w:spacing w:before="100" w:beforeAutospacing="1" w:after="100" w:afterAutospacing="1" w:line="240" w:lineRule="auto"/>
      <w:jc w:val="left"/>
    </w:pPr>
    <w:rPr>
      <w:rFonts w:ascii="等线" w:hAnsi="等线" w:eastAsia="等线" w:cs="宋体"/>
      <w:sz w:val="18"/>
      <w:szCs w:val="18"/>
    </w:rPr>
  </w:style>
  <w:style w:type="paragraph" w:customStyle="1" w:styleId="90">
    <w:name w:val="xl63"/>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91">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92">
    <w:name w:val="xl6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color w:val="000000"/>
      <w:sz w:val="20"/>
    </w:rPr>
  </w:style>
  <w:style w:type="paragraph" w:customStyle="1" w:styleId="93">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94">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5">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96">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7">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8">
    <w:name w:val="xl7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99">
    <w:name w:val="xl7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0">
    <w:name w:val="xl7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1">
    <w:name w:val="xl75"/>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02">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03">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4"/>
      <w:szCs w:val="24"/>
    </w:rPr>
  </w:style>
  <w:style w:type="paragraph" w:customStyle="1" w:styleId="104">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05">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Cs w:val="21"/>
    </w:rPr>
  </w:style>
  <w:style w:type="paragraph" w:customStyle="1" w:styleId="106">
    <w:name w:val="xl8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right"/>
      <w:textAlignment w:val="center"/>
    </w:pPr>
    <w:rPr>
      <w:rFonts w:ascii="宋体" w:hAnsi="宋体" w:cs="宋体"/>
      <w:sz w:val="20"/>
    </w:rPr>
  </w:style>
  <w:style w:type="paragraph" w:customStyle="1" w:styleId="107">
    <w:name w:val="xl8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8">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9">
    <w:name w:val="xl83"/>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0">
    <w:name w:val="xl84"/>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1">
    <w:name w:val="xl85"/>
    <w:basedOn w:val="1"/>
    <w:qFormat/>
    <w:uiPriority w:val="0"/>
    <w:pPr>
      <w:widowControl/>
      <w:pBdr>
        <w:top w:val="single" w:color="auto" w:sz="4" w:space="0"/>
        <w:bottom w:val="single" w:color="auto" w:sz="4" w:space="0"/>
      </w:pBdr>
      <w:adjustRightInd/>
      <w:spacing w:before="100" w:beforeAutospacing="1" w:after="100" w:afterAutospacing="1" w:line="240" w:lineRule="auto"/>
      <w:jc w:val="right"/>
      <w:textAlignment w:val="center"/>
    </w:pPr>
    <w:rPr>
      <w:rFonts w:ascii="宋体" w:hAnsi="宋体" w:cs="宋体"/>
      <w:sz w:val="24"/>
      <w:szCs w:val="24"/>
    </w:rPr>
  </w:style>
  <w:style w:type="paragraph" w:customStyle="1" w:styleId="112">
    <w:name w:val="xl86"/>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3">
    <w:name w:val="xl87"/>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14">
    <w:name w:val="xl88"/>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5">
    <w:name w:val="xl89"/>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6">
    <w:name w:val="xl9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character" w:customStyle="1" w:styleId="117">
    <w:name w:val="批注文字 字符"/>
    <w:basedOn w:val="43"/>
    <w:link w:val="16"/>
    <w:autoRedefine/>
    <w:qFormat/>
    <w:uiPriority w:val="0"/>
    <w:rPr>
      <w:rFonts w:ascii="Times New Roman" w:hAnsi="Times New Roman" w:eastAsia="宋体" w:cs="Times New Roman"/>
      <w:kern w:val="0"/>
      <w:sz w:val="20"/>
      <w:szCs w:val="20"/>
    </w:rPr>
  </w:style>
  <w:style w:type="character" w:customStyle="1" w:styleId="118">
    <w:name w:val="纯文本 字符"/>
    <w:basedOn w:val="43"/>
    <w:link w:val="22"/>
    <w:autoRedefine/>
    <w:qFormat/>
    <w:uiPriority w:val="0"/>
    <w:rPr>
      <w:rFonts w:ascii="宋体" w:hAnsi="Courier New" w:eastAsia="宋体" w:cs="Times New Roman"/>
      <w:kern w:val="0"/>
      <w:szCs w:val="20"/>
    </w:rPr>
  </w:style>
  <w:style w:type="character" w:customStyle="1" w:styleId="119">
    <w:name w:val="信息标题 字符"/>
    <w:basedOn w:val="43"/>
    <w:link w:val="37"/>
    <w:autoRedefine/>
    <w:qFormat/>
    <w:uiPriority w:val="0"/>
    <w:rPr>
      <w:rFonts w:ascii="Cambria" w:hAnsi="Cambria" w:eastAsia="宋体" w:cs="Times New Roman"/>
      <w:sz w:val="24"/>
      <w:szCs w:val="20"/>
      <w:shd w:val="pct20" w:color="auto" w:fill="auto"/>
    </w:rPr>
  </w:style>
  <w:style w:type="character" w:customStyle="1" w:styleId="120">
    <w:name w:val="font41"/>
    <w:basedOn w:val="43"/>
    <w:autoRedefine/>
    <w:qFormat/>
    <w:uiPriority w:val="0"/>
    <w:rPr>
      <w:rFonts w:hint="eastAsia" w:ascii="黑体" w:eastAsia="黑体" w:cs="黑体"/>
      <w:color w:val="000000"/>
      <w:sz w:val="18"/>
      <w:szCs w:val="18"/>
      <w:u w:val="none"/>
    </w:rPr>
  </w:style>
  <w:style w:type="character" w:customStyle="1" w:styleId="121">
    <w:name w:val="font31"/>
    <w:autoRedefine/>
    <w:qFormat/>
    <w:uiPriority w:val="0"/>
    <w:rPr>
      <w:rFonts w:hint="eastAsia" w:ascii="宋体" w:hAnsi="宋体" w:eastAsia="宋体" w:cs="宋体"/>
      <w:color w:val="000000"/>
      <w:sz w:val="18"/>
      <w:szCs w:val="18"/>
      <w:u w:val="none"/>
    </w:rPr>
  </w:style>
  <w:style w:type="character" w:customStyle="1" w:styleId="122">
    <w:name w:val="NormalCharacter"/>
    <w:autoRedefine/>
    <w:semiHidden/>
    <w:qFormat/>
    <w:uiPriority w:val="0"/>
    <w:rPr>
      <w:rFonts w:ascii="Calibri" w:hAnsi="Calibri" w:cs="新宋体"/>
      <w:b/>
      <w:bCs/>
      <w:kern w:val="2"/>
      <w:sz w:val="28"/>
      <w:szCs w:val="36"/>
      <w:lang w:val="en-US" w:eastAsia="zh-CN" w:bidi="ar-SA"/>
    </w:rPr>
  </w:style>
  <w:style w:type="character" w:customStyle="1" w:styleId="123">
    <w:name w:val="font11"/>
    <w:basedOn w:val="43"/>
    <w:autoRedefine/>
    <w:qFormat/>
    <w:uiPriority w:val="0"/>
    <w:rPr>
      <w:rFonts w:hint="eastAsia" w:ascii="宋体" w:hAnsi="宋体" w:eastAsia="宋体"/>
      <w:b/>
      <w:color w:val="000000"/>
      <w:kern w:val="2"/>
      <w:sz w:val="18"/>
      <w:u w:val="none"/>
    </w:rPr>
  </w:style>
  <w:style w:type="paragraph" w:customStyle="1" w:styleId="124">
    <w:name w:val="模板普通正文"/>
    <w:basedOn w:val="15"/>
    <w:autoRedefine/>
    <w:qFormat/>
    <w:uiPriority w:val="0"/>
    <w:pPr>
      <w:adjustRightInd/>
      <w:spacing w:beforeLines="50" w:after="10" w:line="240" w:lineRule="auto"/>
      <w:ind w:left="0" w:firstLine="490" w:firstLineChars="175"/>
    </w:pPr>
    <w:rPr>
      <w:kern w:val="2"/>
      <w:lang w:bidi="ar-SA"/>
    </w:rPr>
  </w:style>
  <w:style w:type="paragraph" w:customStyle="1" w:styleId="125">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26">
    <w:name w:val="Char Char Char Char Char Char Char1 Char"/>
    <w:basedOn w:val="1"/>
    <w:autoRedefine/>
    <w:qFormat/>
    <w:uiPriority w:val="0"/>
    <w:pPr>
      <w:adjustRightInd/>
      <w:spacing w:line="240" w:lineRule="auto"/>
    </w:pPr>
    <w:rPr>
      <w:rFonts w:ascii="Tahoma" w:hAnsi="Tahoma"/>
      <w:kern w:val="2"/>
      <w:sz w:val="24"/>
    </w:rPr>
  </w:style>
  <w:style w:type="paragraph" w:customStyle="1" w:styleId="127">
    <w:name w:val="无间隔1"/>
    <w:autoRedefine/>
    <w:qFormat/>
    <w:uiPriority w:val="1"/>
    <w:rPr>
      <w:rFonts w:ascii="Calibri" w:hAnsi="Calibri" w:eastAsia="宋体" w:cs="黑体"/>
      <w:sz w:val="22"/>
      <w:szCs w:val="22"/>
      <w:lang w:val="en-US" w:eastAsia="zh-CN" w:bidi="ar-SA"/>
    </w:rPr>
  </w:style>
  <w:style w:type="character" w:customStyle="1" w:styleId="128">
    <w:name w:val="正文文本缩进 3 字符"/>
    <w:basedOn w:val="43"/>
    <w:link w:val="33"/>
    <w:autoRedefine/>
    <w:semiHidden/>
    <w:qFormat/>
    <w:uiPriority w:val="99"/>
    <w:rPr>
      <w:rFonts w:ascii="Times New Roman" w:hAnsi="Times New Roman" w:eastAsia="宋体" w:cs="Times New Roman"/>
      <w:kern w:val="0"/>
      <w:sz w:val="16"/>
      <w:szCs w:val="16"/>
    </w:rPr>
  </w:style>
  <w:style w:type="paragraph" w:customStyle="1" w:styleId="129">
    <w:name w:val="文本"/>
    <w:basedOn w:val="1"/>
    <w:link w:val="130"/>
    <w:autoRedefine/>
    <w:qFormat/>
    <w:uiPriority w:val="0"/>
    <w:pPr>
      <w:adjustRightInd/>
      <w:spacing w:line="360" w:lineRule="auto"/>
      <w:ind w:firstLine="480" w:firstLineChars="200"/>
    </w:pPr>
    <w:rPr>
      <w:rFonts w:ascii="仿宋_GB2312" w:eastAsia="仿宋_GB2312"/>
      <w:kern w:val="2"/>
      <w:sz w:val="24"/>
      <w:szCs w:val="24"/>
    </w:rPr>
  </w:style>
  <w:style w:type="character" w:customStyle="1" w:styleId="130">
    <w:name w:val="文本 Char"/>
    <w:link w:val="129"/>
    <w:autoRedefine/>
    <w:qFormat/>
    <w:uiPriority w:val="0"/>
    <w:rPr>
      <w:rFonts w:ascii="仿宋_GB2312" w:hAnsi="Times New Roman" w:eastAsia="仿宋_GB2312" w:cs="Times New Roman"/>
      <w:sz w:val="24"/>
      <w:szCs w:val="24"/>
    </w:rPr>
  </w:style>
  <w:style w:type="paragraph" w:customStyle="1" w:styleId="131">
    <w:name w:val="TJ方案正文"/>
    <w:basedOn w:val="1"/>
    <w:autoRedefine/>
    <w:qFormat/>
    <w:uiPriority w:val="0"/>
    <w:pPr>
      <w:adjustRightInd/>
      <w:spacing w:line="360" w:lineRule="auto"/>
      <w:ind w:firstLine="476" w:firstLineChars="200"/>
    </w:pPr>
    <w:rPr>
      <w:rFonts w:ascii="Calibri" w:hAnsi="Calibri"/>
      <w:kern w:val="2"/>
      <w:sz w:val="24"/>
      <w:szCs w:val="24"/>
    </w:rPr>
  </w:style>
  <w:style w:type="paragraph" w:styleId="132">
    <w:name w:val="No Spacing"/>
    <w:autoRedefine/>
    <w:qFormat/>
    <w:uiPriority w:val="1"/>
    <w:pPr>
      <w:widowControl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133">
    <w:name w:val="D&amp;L"/>
    <w:basedOn w:val="29"/>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table" w:customStyle="1" w:styleId="134">
    <w:name w:val="网格型1"/>
    <w:basedOn w:val="4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5">
    <w:name w:val="纯文本1"/>
    <w:basedOn w:val="1"/>
    <w:autoRedefine/>
    <w:qFormat/>
    <w:uiPriority w:val="0"/>
    <w:pPr>
      <w:adjustRightInd w:val="0"/>
      <w:textAlignment w:val="baseline"/>
    </w:pPr>
    <w:rPr>
      <w:rFonts w:ascii="宋体" w:hAnsi="宋体" w:eastAsia="楷体_GB2312" w:cs="宋体"/>
      <w:sz w:val="28"/>
    </w:rPr>
  </w:style>
  <w:style w:type="paragraph" w:customStyle="1" w:styleId="136">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7">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38">
    <w:name w:val="列出段落1"/>
    <w:basedOn w:val="1"/>
    <w:autoRedefine/>
    <w:qFormat/>
    <w:uiPriority w:val="0"/>
    <w:pPr>
      <w:ind w:firstLine="420" w:firstLineChars="200"/>
    </w:pPr>
    <w:rPr>
      <w:szCs w:val="21"/>
    </w:rPr>
  </w:style>
  <w:style w:type="paragraph" w:customStyle="1" w:styleId="139">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40">
    <w:name w:val="Table Text"/>
    <w:basedOn w:val="1"/>
    <w:autoRedefine/>
    <w:semiHidden/>
    <w:qFormat/>
    <w:uiPriority w:val="0"/>
    <w:rPr>
      <w:rFonts w:ascii="Arial" w:hAnsi="Arial" w:eastAsia="Arial" w:cs="Arial"/>
      <w:sz w:val="21"/>
      <w:szCs w:val="21"/>
      <w:lang w:val="en-US" w:eastAsia="en-US" w:bidi="ar-SA"/>
    </w:rPr>
  </w:style>
  <w:style w:type="table" w:customStyle="1" w:styleId="141">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01247E-442F-4284-9537-DBA7EB3153D2}">
  <ds:schemaRefs/>
</ds:datastoreItem>
</file>

<file path=docProps/app.xml><?xml version="1.0" encoding="utf-8"?>
<Properties xmlns="http://schemas.openxmlformats.org/officeDocument/2006/extended-properties" xmlns:vt="http://schemas.openxmlformats.org/officeDocument/2006/docPropsVTypes">
  <Template>Normal</Template>
  <Manager>陈婷</Manager>
  <Company>南京索象环境科技有限公司</Company>
  <Pages>44</Pages>
  <Words>8348</Words>
  <Characters>8916</Characters>
  <Lines>29</Lines>
  <Paragraphs>8</Paragraphs>
  <TotalTime>7</TotalTime>
  <ScaleCrop>false</ScaleCrop>
  <LinksUpToDate>false</LinksUpToDate>
  <CharactersWithSpaces>9213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2015-02-04T14:38:00Z</dcterms:created>
  <dc:creator>sosum</dc:creator>
  <dc:description>sosum</dc:description>
  <cp:lastModifiedBy>品诺酒店用品</cp:lastModifiedBy>
  <cp:lastPrinted>2022-08-19T09:30:00Z</cp:lastPrinted>
  <dcterms:modified xsi:type="dcterms:W3CDTF">2026-07-16T06:59:58Z</dcterms:modified>
  <dc:subject>合同文本</dc:subject>
  <cp:revision>721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FAA3039451564B028DAFDF7004F749C5_13</vt:lpwstr>
  </property>
  <property fmtid="{D5CDD505-2E9C-101B-9397-08002B2CF9AE}" pid="4" name="KSOTemplateDocerSaveRecord">
    <vt:lpwstr>eyJoZGlkIjoiNDFjNjc4MzM2NGNhOTY1ZjQ2ZmNmMWE4MmVlYzQxYjkiLCJ1c2VySWQiOiIzMDI1ODcyMjYifQ==</vt:lpwstr>
  </property>
</Properties>
</file>